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F4D78"/>
          <w:sz w:val="46"/>
        </w:rPr>
        <w:t>Seção B — Diagrama de arquitetura</w:t>
      </w:r>
    </w:p>
    <w:p>
      <w:pPr>
        <w:spacing w:after="320"/>
      </w:pPr>
      <w:r>
        <w:rPr>
          <w:rFonts w:ascii="Calibri" w:hAnsi="Calibri"/>
          <w:color w:val="555555"/>
          <w:sz w:val="24"/>
        </w:rPr>
        <w:t>Imagem para upload e código-fonte Mermaid</w:t>
      </w:r>
    </w:p>
    <w:p>
      <w:pPr>
        <w:spacing w:after="280"/>
      </w:pPr>
      <w:r>
        <w:rPr>
          <w:rFonts w:ascii="Calibri" w:hAnsi="Calibri"/>
          <w:color w:val="555555"/>
          <w:sz w:val="18"/>
        </w:rPr>
        <w:t>AGV Pick Voice  |  Equipe AGVTronic  |  AI Glasses Brasil 2026</w:t>
      </w:r>
    </w:p>
    <w:p>
      <w:pPr>
        <w:pStyle w:val="Heading1"/>
      </w:pPr>
      <w:r>
        <w:t>Diagrama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v-pick-voice-arquite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color w:val="555555"/>
          <w:sz w:val="18"/>
        </w:rPr>
        <w:t>Arquitetura do protótipo AGV Pick Voice</w:t>
      </w:r>
    </w:p>
    <w:p>
      <w:pPr>
        <w:pStyle w:val="Heading1"/>
      </w:pPr>
      <w:r>
        <w:t>Leitura do diagrama</w:t>
      </w:r>
    </w:p>
    <w:p>
      <w:pPr>
        <w:pStyle w:val="ListBullet"/>
        <w:spacing w:after="80"/>
      </w:pPr>
      <w:r>
        <w:t>Os óculos fornecem câmera e reprodução de áudio; o smartphone hospeda o aplicativo e o processamento.</w:t>
      </w:r>
    </w:p>
    <w:p>
      <w:pPr>
        <w:pStyle w:val="ListBullet"/>
        <w:spacing w:after="80"/>
      </w:pPr>
      <w:r>
        <w:t>PickingActor é o ponto único que aceita eventos e decide transições.</w:t>
      </w:r>
    </w:p>
    <w:p>
      <w:pPr>
        <w:pStyle w:val="ListBullet"/>
        <w:spacing w:after="80"/>
      </w:pPr>
      <w:r>
        <w:t>A central de configurações persistidas escolhe o motor ASR e calibra qualidade, FPS, rotação e captura por foto; alterações são aplicadas após reiniciar o app.</w:t>
      </w:r>
    </w:p>
    <w:p>
      <w:pPr>
        <w:pStyle w:val="ListBullet"/>
        <w:spacing w:after="80"/>
      </w:pPr>
      <w:r>
        <w:t>Ordem e dados de referência vêm de memória no protótipo; não há integração WMS nesta entrega.</w:t>
      </w:r>
    </w:p>
    <w:p>
      <w:pPr>
        <w:pStyle w:val="ListBullet"/>
        <w:spacing w:after="80"/>
      </w:pPr>
      <w:r>
        <w:t>A verificação assistida é opcional e só acontece depois da falha do caminho local.</w:t>
      </w:r>
    </w:p>
    <w:p>
      <w:pPr>
        <w:pStyle w:val="Heading1"/>
      </w:pPr>
      <w:r>
        <w:t>Código-fonte Mermaid</w:t>
      </w:r>
    </w:p>
    <w:p>
      <w:pPr>
        <w:spacing w:after="0" w:line="240" w:lineRule="auto"/>
      </w:pPr>
      <w:r>
        <w:rPr>
          <w:rFonts w:ascii="Courier New" w:hAnsi="Courier New"/>
          <w:color w:val="1F4D78"/>
          <w:sz w:val="14"/>
        </w:rPr>
        <w:t>flowchart TB</w:t>
      </w:r>
    </w:p>
    <w:p>
      <w:pPr>
        <w:spacing w:after="0" w:line="240" w:lineRule="auto"/>
      </w:pPr>
      <w:r>
        <w:rPr>
          <w:rFonts w:ascii="Courier New" w:hAnsi="Courier New"/>
          <w:color w:val="1F4D78"/>
          <w:sz w:val="14"/>
        </w:rPr>
        <w:t xml:space="preserve">  subgraph G[Óculos Meta]</w:t>
      </w:r>
    </w:p>
    <w:p>
      <w:pPr>
        <w:spacing w:after="0" w:line="240" w:lineRule="auto"/>
      </w:pPr>
      <w:r>
        <w:rPr>
          <w:rFonts w:ascii="Courier New" w:hAnsi="Courier New"/>
          <w:color w:val="1F4D78"/>
          <w:sz w:val="14"/>
        </w:rPr>
        <w:t xml:space="preserve">    CAM[Câmera]</w:t>
      </w:r>
    </w:p>
    <w:p>
      <w:pPr>
        <w:spacing w:after="0" w:line="240" w:lineRule="auto"/>
      </w:pPr>
      <w:r>
        <w:rPr>
          <w:rFonts w:ascii="Courier New" w:hAnsi="Courier New"/>
          <w:color w:val="1F4D78"/>
          <w:sz w:val="14"/>
        </w:rPr>
        <w:t xml:space="preserve">    SPK[Alto-falantes open-ear]</w:t>
      </w:r>
    </w:p>
    <w:p>
      <w:pPr>
        <w:spacing w:after="0" w:line="240" w:lineRule="auto"/>
      </w:pPr>
      <w:r>
        <w:rPr>
          <w:rFonts w:ascii="Courier New" w:hAnsi="Courier New"/>
          <w:color w:val="1F4D78"/>
          <w:sz w:val="14"/>
        </w:rPr>
        <w:t xml:space="preserve">  end</w:t>
      </w:r>
    </w:p>
    <w:p>
      <w:pPr>
        <w:spacing w:after="0" w:line="240" w:lineRule="auto"/>
      </w:pPr>
      <w:r>
        <w:rPr>
          <w:rFonts w:ascii="Courier New" w:hAnsi="Courier New"/>
          <w:color w:val="1F4D78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color w:val="1F4D78"/>
          <w:sz w:val="14"/>
        </w:rPr>
        <w:t xml:space="preserve">  subgraph A[Aplicativo Android Kotlin]</w:t>
      </w:r>
    </w:p>
    <w:p>
      <w:pPr>
        <w:spacing w:after="0" w:line="240" w:lineRule="auto"/>
      </w:pPr>
      <w:r>
        <w:rPr>
          <w:rFonts w:ascii="Courier New" w:hAnsi="Courier New"/>
          <w:color w:val="1F4D78"/>
          <w:sz w:val="14"/>
        </w:rPr>
        <w:t xml:space="preserve">    DAT[Meta Wearables DAT&lt;br/&gt;Sessão e permissões]</w:t>
      </w:r>
    </w:p>
    <w:p>
      <w:pPr>
        <w:spacing w:after="0" w:line="240" w:lineRule="auto"/>
      </w:pPr>
      <w:r>
        <w:rPr>
          <w:rFonts w:ascii="Courier New" w:hAnsi="Courier New"/>
          <w:color w:val="1F4D78"/>
          <w:sz w:val="14"/>
        </w:rPr>
        <w:t xml:space="preserve">    SM[PickingActor&lt;br/&gt;Máquina de estados]</w:t>
      </w:r>
    </w:p>
    <w:p>
      <w:pPr>
        <w:spacing w:after="0" w:line="240" w:lineRule="auto"/>
      </w:pPr>
      <w:r>
        <w:rPr>
          <w:rFonts w:ascii="Courier New" w:hAnsi="Courier New"/>
          <w:color w:val="1F4D78"/>
          <w:sz w:val="14"/>
        </w:rPr>
        <w:t xml:space="preserve">    CFG[Central de configurações&lt;br/&gt;ASR e câmera]</w:t>
      </w:r>
    </w:p>
    <w:p>
      <w:pPr>
        <w:spacing w:after="0" w:line="240" w:lineRule="auto"/>
      </w:pPr>
      <w:r>
        <w:rPr>
          <w:rFonts w:ascii="Courier New" w:hAnsi="Courier New"/>
          <w:color w:val="1F4D78"/>
          <w:sz w:val="14"/>
        </w:rPr>
        <w:t xml:space="preserve">    ASR[ASR local&lt;br/&gt;Rhino principal / Vosk alternativo]</w:t>
      </w:r>
    </w:p>
    <w:p>
      <w:pPr>
        <w:spacing w:after="0" w:line="240" w:lineRule="auto"/>
      </w:pPr>
      <w:r>
        <w:rPr>
          <w:rFonts w:ascii="Courier New" w:hAnsi="Courier New"/>
          <w:color w:val="1F4D78"/>
          <w:sz w:val="14"/>
        </w:rPr>
        <w:t xml:space="preserve">    TTS[TTS local&lt;br/&gt;Android TextToSpeech pt-BR]</w:t>
      </w:r>
    </w:p>
    <w:p>
      <w:pPr>
        <w:spacing w:after="0" w:line="240" w:lineRule="auto"/>
      </w:pPr>
      <w:r>
        <w:rPr>
          <w:rFonts w:ascii="Courier New" w:hAnsi="Courier New"/>
          <w:color w:val="1F4D78"/>
          <w:sz w:val="14"/>
        </w:rPr>
        <w:t xml:space="preserve">    VIS[Visão local&lt;br/&gt;HEVC -&gt; recorte -&gt; ML Kit]</w:t>
      </w:r>
    </w:p>
    <w:p>
      <w:pPr>
        <w:spacing w:after="0" w:line="240" w:lineRule="auto"/>
      </w:pPr>
      <w:r>
        <w:rPr>
          <w:rFonts w:ascii="Courier New" w:hAnsi="Courier New"/>
          <w:color w:val="1F4D78"/>
          <w:sz w:val="14"/>
        </w:rPr>
        <w:t xml:space="preserve">    CMP[Comparador de código&lt;br/&gt;+ consenso]</w:t>
      </w:r>
    </w:p>
    <w:p>
      <w:pPr>
        <w:spacing w:after="0" w:line="240" w:lineRule="auto"/>
      </w:pPr>
      <w:r>
        <w:rPr>
          <w:rFonts w:ascii="Courier New" w:hAnsi="Courier New"/>
          <w:color w:val="1F4D78"/>
          <w:sz w:val="14"/>
        </w:rPr>
        <w:t xml:space="preserve">    REPO[PickingRepository&lt;br/&gt;dados mockados em memória]</w:t>
      </w:r>
    </w:p>
    <w:p>
      <w:pPr>
        <w:spacing w:after="0" w:line="240" w:lineRule="auto"/>
      </w:pPr>
      <w:r>
        <w:rPr>
          <w:rFonts w:ascii="Courier New" w:hAnsi="Courier New"/>
          <w:color w:val="1F4D78"/>
          <w:sz w:val="14"/>
        </w:rPr>
        <w:t xml:space="preserve">    LOG[Logs e diagnóstico&lt;br/&gt;sem imagens]</w:t>
      </w:r>
    </w:p>
    <w:p>
      <w:pPr>
        <w:spacing w:after="0" w:line="240" w:lineRule="auto"/>
      </w:pPr>
      <w:r>
        <w:rPr>
          <w:rFonts w:ascii="Courier New" w:hAnsi="Courier New"/>
          <w:color w:val="1F4D78"/>
          <w:sz w:val="14"/>
        </w:rPr>
        <w:t xml:space="preserve">  end</w:t>
      </w:r>
    </w:p>
    <w:p>
      <w:pPr>
        <w:spacing w:after="0" w:line="240" w:lineRule="auto"/>
      </w:pPr>
      <w:r>
        <w:rPr>
          <w:rFonts w:ascii="Courier New" w:hAnsi="Courier New"/>
          <w:color w:val="1F4D78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color w:val="1F4D78"/>
          <w:sz w:val="14"/>
        </w:rPr>
        <w:t xml:space="preserve">  subgraph X[Exceção opcional]</w:t>
      </w:r>
    </w:p>
    <w:p>
      <w:pPr>
        <w:spacing w:after="0" w:line="240" w:lineRule="auto"/>
      </w:pPr>
      <w:r>
        <w:rPr>
          <w:rFonts w:ascii="Courier New" w:hAnsi="Courier New"/>
          <w:color w:val="1F4D78"/>
          <w:sz w:val="14"/>
        </w:rPr>
        <w:t xml:space="preserve">    VLM[Verificação assistida&lt;br/&gt;rede somente após falha local]</w:t>
      </w:r>
    </w:p>
    <w:p>
      <w:pPr>
        <w:spacing w:after="0" w:line="240" w:lineRule="auto"/>
      </w:pPr>
      <w:r>
        <w:rPr>
          <w:rFonts w:ascii="Courier New" w:hAnsi="Courier New"/>
          <w:color w:val="1F4D78"/>
          <w:sz w:val="14"/>
        </w:rPr>
        <w:t xml:space="preserve">  end</w:t>
      </w:r>
    </w:p>
    <w:p>
      <w:pPr>
        <w:spacing w:after="0" w:line="240" w:lineRule="auto"/>
      </w:pPr>
      <w:r>
        <w:rPr>
          <w:rFonts w:ascii="Courier New" w:hAnsi="Courier New"/>
          <w:color w:val="1F4D78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color w:val="1F4D78"/>
          <w:sz w:val="14"/>
        </w:rPr>
        <w:t xml:space="preserve">  CAM --&gt;|stream/foto sob demanda| DAT --&gt; VIS --&gt; CMP --&gt; SM</w:t>
      </w:r>
    </w:p>
    <w:p>
      <w:pPr>
        <w:spacing w:after="0" w:line="240" w:lineRule="auto"/>
      </w:pPr>
      <w:r>
        <w:rPr>
          <w:rFonts w:ascii="Courier New" w:hAnsi="Courier New"/>
          <w:color w:val="1F4D78"/>
          <w:sz w:val="14"/>
        </w:rPr>
        <w:t xml:space="preserve">  ASR --&gt;|comandos, dígitos e relato| SM</w:t>
      </w:r>
    </w:p>
    <w:p>
      <w:pPr>
        <w:spacing w:after="0" w:line="240" w:lineRule="auto"/>
      </w:pPr>
      <w:r>
        <w:rPr>
          <w:rFonts w:ascii="Courier New" w:hAnsi="Courier New"/>
          <w:color w:val="1F4D78"/>
          <w:sz w:val="14"/>
        </w:rPr>
        <w:t xml:space="preserve">  CFG -. escolhe motor .-&gt; ASR</w:t>
      </w:r>
    </w:p>
    <w:p>
      <w:pPr>
        <w:spacing w:after="0" w:line="240" w:lineRule="auto"/>
      </w:pPr>
      <w:r>
        <w:rPr>
          <w:rFonts w:ascii="Courier New" w:hAnsi="Courier New"/>
          <w:color w:val="1F4D78"/>
          <w:sz w:val="14"/>
        </w:rPr>
        <w:t xml:space="preserve">  CFG -. calibra vídeo .-&gt; VIS</w:t>
      </w:r>
    </w:p>
    <w:p>
      <w:pPr>
        <w:spacing w:after="0" w:line="240" w:lineRule="auto"/>
      </w:pPr>
      <w:r>
        <w:rPr>
          <w:rFonts w:ascii="Courier New" w:hAnsi="Courier New"/>
          <w:color w:val="1F4D78"/>
          <w:sz w:val="14"/>
        </w:rPr>
        <w:t xml:space="preserve">  REPO --&gt;|ordem, item e endereço| SM</w:t>
      </w:r>
    </w:p>
    <w:p>
      <w:pPr>
        <w:spacing w:after="0" w:line="240" w:lineRule="auto"/>
      </w:pPr>
      <w:r>
        <w:rPr>
          <w:rFonts w:ascii="Courier New" w:hAnsi="Courier New"/>
          <w:color w:val="1F4D78"/>
          <w:sz w:val="14"/>
        </w:rPr>
        <w:t xml:space="preserve">  SM --&gt;|instruções e alertas| TTS --&gt; SPK</w:t>
      </w:r>
    </w:p>
    <w:p>
      <w:pPr>
        <w:spacing w:after="0" w:line="240" w:lineRule="auto"/>
      </w:pPr>
      <w:r>
        <w:rPr>
          <w:rFonts w:ascii="Courier New" w:hAnsi="Courier New"/>
          <w:color w:val="1F4D78"/>
          <w:sz w:val="14"/>
        </w:rPr>
        <w:t xml:space="preserve">  SM --&gt; LOG</w:t>
      </w:r>
    </w:p>
    <w:p>
      <w:pPr>
        <w:spacing w:after="0" w:line="240" w:lineRule="auto"/>
      </w:pPr>
      <w:r>
        <w:rPr>
          <w:rFonts w:ascii="Courier New" w:hAnsi="Courier New"/>
          <w:color w:val="1F4D78"/>
          <w:sz w:val="14"/>
        </w:rPr>
        <w:t xml:space="preserve">  CMP -. leitura local sem resultado .-&gt; VLM</w:t>
      </w:r>
    </w:p>
    <w:p>
      <w:pPr>
        <w:spacing w:after="0" w:line="240" w:lineRule="auto"/>
      </w:pPr>
      <w:r>
        <w:rPr>
          <w:rFonts w:ascii="Courier New" w:hAnsi="Courier New"/>
          <w:color w:val="1F4D78"/>
          <w:sz w:val="14"/>
        </w:rPr>
        <w:t xml:space="preserve">  VLM -. resultado assistido .-&gt; SM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6"/>
      </w:rPr>
      <w:t>AGV Pick Voice — material de submissão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