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BCB6" w14:textId="0ED1388F" w:rsidR="00537237" w:rsidRPr="003E29D5" w:rsidRDefault="00537237" w:rsidP="003E29D5">
      <w:pPr>
        <w:jc w:val="center"/>
        <w:rPr>
          <w:b/>
          <w:bCs/>
        </w:rPr>
      </w:pPr>
      <w:r w:rsidRPr="003E29D5">
        <w:rPr>
          <w:b/>
          <w:bCs/>
        </w:rPr>
        <w:t>Macro Finance – Homework 2</w:t>
      </w:r>
    </w:p>
    <w:p w14:paraId="4ACAC32B" w14:textId="6E205329" w:rsidR="00A65B67" w:rsidRPr="00A65B67" w:rsidRDefault="00A65B67" w:rsidP="003E29D5">
      <w:pPr>
        <w:jc w:val="center"/>
        <w:rPr>
          <w:i/>
          <w:iCs/>
        </w:rPr>
      </w:pPr>
      <w:proofErr w:type="spellStart"/>
      <w:r w:rsidRPr="00A65B67">
        <w:rPr>
          <w:i/>
          <w:iCs/>
        </w:rPr>
        <w:t>Canberk</w:t>
      </w:r>
      <w:proofErr w:type="spellEnd"/>
      <w:r w:rsidRPr="00A65B67">
        <w:rPr>
          <w:i/>
          <w:iCs/>
        </w:rPr>
        <w:t xml:space="preserve"> </w:t>
      </w:r>
      <w:proofErr w:type="spellStart"/>
      <w:r w:rsidRPr="00A65B67">
        <w:rPr>
          <w:i/>
          <w:iCs/>
        </w:rPr>
        <w:t>Tahil</w:t>
      </w:r>
      <w:proofErr w:type="spellEnd"/>
    </w:p>
    <w:p w14:paraId="6B7B746F" w14:textId="3B3A6894" w:rsidR="00537237" w:rsidRDefault="00537237" w:rsidP="003E29D5">
      <w:pPr>
        <w:jc w:val="center"/>
        <w:rPr>
          <w:i/>
          <w:iCs/>
        </w:rPr>
      </w:pPr>
      <w:r w:rsidRPr="00A65B67">
        <w:rPr>
          <w:i/>
          <w:iCs/>
        </w:rPr>
        <w:t>Matheus Raka Pradnyatama</w:t>
      </w:r>
    </w:p>
    <w:p w14:paraId="188595EE" w14:textId="77777777" w:rsidR="00A65B67" w:rsidRPr="00A65B67" w:rsidRDefault="00A65B67" w:rsidP="00A65B67">
      <w:pPr>
        <w:jc w:val="center"/>
        <w:rPr>
          <w:i/>
          <w:iCs/>
        </w:rPr>
      </w:pPr>
      <w:r w:rsidRPr="00A65B67">
        <w:rPr>
          <w:i/>
          <w:iCs/>
        </w:rPr>
        <w:t>Oakley Liu</w:t>
      </w:r>
    </w:p>
    <w:p w14:paraId="53C71BE2" w14:textId="77777777" w:rsidR="00A65B67" w:rsidRPr="00A65B67" w:rsidRDefault="00A65B67" w:rsidP="003E29D5">
      <w:pPr>
        <w:jc w:val="center"/>
        <w:rPr>
          <w:i/>
          <w:iCs/>
        </w:rPr>
      </w:pPr>
    </w:p>
    <w:p w14:paraId="1E6BB71D" w14:textId="77777777" w:rsidR="00537237" w:rsidRDefault="00537237" w:rsidP="00C74DE8"/>
    <w:p w14:paraId="6B2FBEB0" w14:textId="009580CB" w:rsidR="00537237" w:rsidRPr="00537237" w:rsidRDefault="00537237" w:rsidP="000F06AB">
      <w:pPr>
        <w:jc w:val="center"/>
        <w:rPr>
          <w:b/>
          <w:bCs/>
        </w:rPr>
      </w:pPr>
      <w:r w:rsidRPr="00537237">
        <w:rPr>
          <w:b/>
          <w:bCs/>
        </w:rPr>
        <w:t xml:space="preserve">Section </w:t>
      </w:r>
      <w:r w:rsidR="000F06AB">
        <w:rPr>
          <w:b/>
          <w:bCs/>
        </w:rPr>
        <w:t>I</w:t>
      </w:r>
      <w:r w:rsidRPr="00537237">
        <w:rPr>
          <w:b/>
          <w:bCs/>
        </w:rPr>
        <w:t>: Financial Cycles</w:t>
      </w:r>
    </w:p>
    <w:p w14:paraId="5165AC5B" w14:textId="77777777" w:rsidR="00537237" w:rsidRDefault="00537237" w:rsidP="00C74DE8"/>
    <w:p w14:paraId="12BF29E5" w14:textId="3D81CFD8" w:rsidR="006428FC" w:rsidRPr="006428FC" w:rsidRDefault="006428FC" w:rsidP="00C74DE8">
      <w:pPr>
        <w:rPr>
          <w:b/>
          <w:bCs/>
        </w:rPr>
      </w:pPr>
      <w:r w:rsidRPr="006428FC">
        <w:rPr>
          <w:b/>
          <w:bCs/>
        </w:rPr>
        <w:t>Question 1</w:t>
      </w:r>
    </w:p>
    <w:p w14:paraId="2B704436" w14:textId="1FF33C86" w:rsidR="002954A4" w:rsidRDefault="002954A4" w:rsidP="00C74DE8">
      <w:r>
        <w:t>A</w:t>
      </w:r>
      <w:r w:rsidR="00C74DE8">
        <w:t>ccording to the CME Group’s FedWatch</w:t>
      </w:r>
      <w:r>
        <w:t xml:space="preserve">, interest rate </w:t>
      </w:r>
      <w:r w:rsidR="00C74DE8">
        <w:t xml:space="preserve">traders are pricing: </w:t>
      </w:r>
    </w:p>
    <w:p w14:paraId="45B914B8" w14:textId="77777777" w:rsidR="002954A4" w:rsidRDefault="002954A4" w:rsidP="00C74DE8"/>
    <w:tbl>
      <w:tblPr>
        <w:tblStyle w:val="GridTable4-Accent4"/>
        <w:tblW w:w="9174" w:type="dxa"/>
        <w:jc w:val="center"/>
        <w:tblLook w:val="04A0" w:firstRow="1" w:lastRow="0" w:firstColumn="1" w:lastColumn="0" w:noHBand="0" w:noVBand="1"/>
      </w:tblPr>
      <w:tblGrid>
        <w:gridCol w:w="2785"/>
        <w:gridCol w:w="3060"/>
        <w:gridCol w:w="1355"/>
        <w:gridCol w:w="1974"/>
      </w:tblGrid>
      <w:tr w:rsidR="002954A4" w14:paraId="19B644C3" w14:textId="5E0077FF" w:rsidTr="007C7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5E2B147D" w14:textId="58306B7C" w:rsidR="00C74DE8" w:rsidRDefault="002954A4" w:rsidP="00C74DE8">
            <w:pPr>
              <w:jc w:val="center"/>
            </w:pPr>
            <w:r>
              <w:t xml:space="preserve">FOMC </w:t>
            </w:r>
            <w:r w:rsidR="00C74DE8">
              <w:t>Meeting Date</w:t>
            </w:r>
          </w:p>
        </w:tc>
        <w:tc>
          <w:tcPr>
            <w:tcW w:w="3060" w:type="dxa"/>
          </w:tcPr>
          <w:p w14:paraId="541E8EFC" w14:textId="41DCA7C3" w:rsidR="00C74DE8" w:rsidRDefault="00F418F1" w:rsidP="00C74DE8">
            <w:pPr>
              <w:jc w:val="center"/>
              <w:cnfStyle w:val="100000000000" w:firstRow="1" w:lastRow="0" w:firstColumn="0" w:lastColumn="0" w:oddVBand="0" w:evenVBand="0" w:oddHBand="0" w:evenHBand="0" w:firstRowFirstColumn="0" w:firstRowLastColumn="0" w:lastRowFirstColumn="0" w:lastRowLastColumn="0"/>
            </w:pPr>
            <w:r>
              <w:t xml:space="preserve">Predicted </w:t>
            </w:r>
            <w:r w:rsidR="00C74DE8">
              <w:t>Fed Target Rate</w:t>
            </w:r>
          </w:p>
        </w:tc>
        <w:tc>
          <w:tcPr>
            <w:tcW w:w="1355" w:type="dxa"/>
          </w:tcPr>
          <w:p w14:paraId="3360308A" w14:textId="3DCACE8E" w:rsidR="00C74DE8" w:rsidRDefault="00C74DE8" w:rsidP="00C74DE8">
            <w:pPr>
              <w:jc w:val="center"/>
              <w:cnfStyle w:val="100000000000" w:firstRow="1" w:lastRow="0" w:firstColumn="0" w:lastColumn="0" w:oddVBand="0" w:evenVBand="0" w:oddHBand="0" w:evenHBand="0" w:firstRowFirstColumn="0" w:firstRowLastColumn="0" w:lastRowFirstColumn="0" w:lastRowLastColumn="0"/>
            </w:pPr>
            <w:r>
              <w:t>Change</w:t>
            </w:r>
          </w:p>
        </w:tc>
        <w:tc>
          <w:tcPr>
            <w:tcW w:w="1974" w:type="dxa"/>
          </w:tcPr>
          <w:p w14:paraId="53084DA6" w14:textId="20248AC8" w:rsidR="00C74DE8" w:rsidRDefault="00C74DE8" w:rsidP="00C74DE8">
            <w:pPr>
              <w:jc w:val="center"/>
              <w:cnfStyle w:val="100000000000" w:firstRow="1" w:lastRow="0" w:firstColumn="0" w:lastColumn="0" w:oddVBand="0" w:evenVBand="0" w:oddHBand="0" w:evenHBand="0" w:firstRowFirstColumn="0" w:firstRowLastColumn="0" w:lastRowFirstColumn="0" w:lastRowLastColumn="0"/>
            </w:pPr>
            <w:r>
              <w:t>Probability</w:t>
            </w:r>
          </w:p>
        </w:tc>
      </w:tr>
      <w:tr w:rsidR="00537237" w14:paraId="711F6C73" w14:textId="3D811ADD" w:rsidTr="007C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40135F9A" w14:textId="6F51BDE7" w:rsidR="00C74DE8" w:rsidRPr="00C74DE8" w:rsidRDefault="00C74DE8" w:rsidP="002954A4">
            <w:pPr>
              <w:jc w:val="right"/>
              <w:rPr>
                <w:b w:val="0"/>
                <w:bCs w:val="0"/>
              </w:rPr>
            </w:pPr>
            <w:r w:rsidRPr="00C74DE8">
              <w:rPr>
                <w:b w:val="0"/>
                <w:bCs w:val="0"/>
              </w:rPr>
              <w:t>June 18, 2025</w:t>
            </w:r>
          </w:p>
        </w:tc>
        <w:tc>
          <w:tcPr>
            <w:tcW w:w="3060" w:type="dxa"/>
          </w:tcPr>
          <w:p w14:paraId="2A9582A3" w14:textId="62B11F87" w:rsidR="00C74DE8" w:rsidRDefault="00C74DE8" w:rsidP="00C74DE8">
            <w:pPr>
              <w:jc w:val="center"/>
              <w:cnfStyle w:val="000000100000" w:firstRow="0" w:lastRow="0" w:firstColumn="0" w:lastColumn="0" w:oddVBand="0" w:evenVBand="0" w:oddHBand="1" w:evenHBand="0" w:firstRowFirstColumn="0" w:firstRowLastColumn="0" w:lastRowFirstColumn="0" w:lastRowLastColumn="0"/>
            </w:pPr>
            <w:r>
              <w:t>4.25% - 4.50%</w:t>
            </w:r>
          </w:p>
        </w:tc>
        <w:tc>
          <w:tcPr>
            <w:tcW w:w="1355" w:type="dxa"/>
          </w:tcPr>
          <w:p w14:paraId="44C16F85" w14:textId="3927DA43" w:rsidR="00C74DE8" w:rsidRDefault="00F418F1" w:rsidP="00F418F1">
            <w:pPr>
              <w:jc w:val="center"/>
              <w:cnfStyle w:val="000000100000" w:firstRow="0" w:lastRow="0" w:firstColumn="0" w:lastColumn="0" w:oddVBand="0" w:evenVBand="0" w:oddHBand="1" w:evenHBand="0" w:firstRowFirstColumn="0" w:firstRowLastColumn="0" w:lastRowFirstColumn="0" w:lastRowLastColumn="0"/>
            </w:pPr>
            <w:r>
              <w:t>No change</w:t>
            </w:r>
          </w:p>
        </w:tc>
        <w:tc>
          <w:tcPr>
            <w:tcW w:w="1974" w:type="dxa"/>
          </w:tcPr>
          <w:p w14:paraId="1CF07477" w14:textId="205A66AA" w:rsidR="00C74DE8" w:rsidRDefault="00F418F1" w:rsidP="00F418F1">
            <w:pPr>
              <w:jc w:val="center"/>
              <w:cnfStyle w:val="000000100000" w:firstRow="0" w:lastRow="0" w:firstColumn="0" w:lastColumn="0" w:oddVBand="0" w:evenVBand="0" w:oddHBand="1" w:evenHBand="0" w:firstRowFirstColumn="0" w:firstRowLastColumn="0" w:lastRowFirstColumn="0" w:lastRowLastColumn="0"/>
            </w:pPr>
            <w:r>
              <w:t>65.1%</w:t>
            </w:r>
          </w:p>
        </w:tc>
      </w:tr>
      <w:tr w:rsidR="002954A4" w14:paraId="4EE25E78" w14:textId="4FB0CD73" w:rsidTr="007C73D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46D9020F" w14:textId="409BF31A" w:rsidR="00C74DE8" w:rsidRPr="00C74DE8" w:rsidRDefault="00C74DE8" w:rsidP="002954A4">
            <w:pPr>
              <w:jc w:val="right"/>
              <w:rPr>
                <w:b w:val="0"/>
                <w:bCs w:val="0"/>
              </w:rPr>
            </w:pPr>
            <w:r w:rsidRPr="00C74DE8">
              <w:rPr>
                <w:b w:val="0"/>
                <w:bCs w:val="0"/>
              </w:rPr>
              <w:t>July 30, 2025</w:t>
            </w:r>
          </w:p>
        </w:tc>
        <w:tc>
          <w:tcPr>
            <w:tcW w:w="3060" w:type="dxa"/>
          </w:tcPr>
          <w:p w14:paraId="5D90616D" w14:textId="6D2993A6" w:rsidR="00C74DE8" w:rsidRPr="007C73D4" w:rsidRDefault="00C74DE8" w:rsidP="00C74DE8">
            <w:pPr>
              <w:jc w:val="center"/>
              <w:cnfStyle w:val="000000000000" w:firstRow="0" w:lastRow="0" w:firstColumn="0" w:lastColumn="0" w:oddVBand="0" w:evenVBand="0" w:oddHBand="0" w:evenHBand="0" w:firstRowFirstColumn="0" w:firstRowLastColumn="0" w:lastRowFirstColumn="0" w:lastRowLastColumn="0"/>
              <w:rPr>
                <w:color w:val="FF0000"/>
              </w:rPr>
            </w:pPr>
            <w:r w:rsidRPr="007C73D4">
              <w:rPr>
                <w:color w:val="FF0000"/>
              </w:rPr>
              <w:t>4.</w:t>
            </w:r>
            <w:r w:rsidR="00F418F1" w:rsidRPr="007C73D4">
              <w:rPr>
                <w:color w:val="FF0000"/>
              </w:rPr>
              <w:t>00</w:t>
            </w:r>
            <w:r w:rsidRPr="007C73D4">
              <w:rPr>
                <w:color w:val="FF0000"/>
              </w:rPr>
              <w:t>% - 4.</w:t>
            </w:r>
            <w:r w:rsidR="00F418F1" w:rsidRPr="007C73D4">
              <w:rPr>
                <w:color w:val="FF0000"/>
              </w:rPr>
              <w:t>25</w:t>
            </w:r>
            <w:r w:rsidRPr="007C73D4">
              <w:rPr>
                <w:color w:val="FF0000"/>
              </w:rPr>
              <w:t>%</w:t>
            </w:r>
          </w:p>
        </w:tc>
        <w:tc>
          <w:tcPr>
            <w:tcW w:w="1355" w:type="dxa"/>
          </w:tcPr>
          <w:p w14:paraId="06F670C9" w14:textId="2C2EBA99" w:rsidR="00C74DE8" w:rsidRPr="007C73D4" w:rsidRDefault="00F418F1" w:rsidP="00F418F1">
            <w:pPr>
              <w:jc w:val="center"/>
              <w:cnfStyle w:val="000000000000" w:firstRow="0" w:lastRow="0" w:firstColumn="0" w:lastColumn="0" w:oddVBand="0" w:evenVBand="0" w:oddHBand="0" w:evenHBand="0" w:firstRowFirstColumn="0" w:firstRowLastColumn="0" w:lastRowFirstColumn="0" w:lastRowLastColumn="0"/>
              <w:rPr>
                <w:color w:val="FF0000"/>
              </w:rPr>
            </w:pPr>
            <w:r w:rsidRPr="007C73D4">
              <w:rPr>
                <w:color w:val="FF0000"/>
              </w:rPr>
              <w:t>-25 bps</w:t>
            </w:r>
          </w:p>
        </w:tc>
        <w:tc>
          <w:tcPr>
            <w:tcW w:w="1974" w:type="dxa"/>
          </w:tcPr>
          <w:p w14:paraId="4CC694E9" w14:textId="69F14798" w:rsidR="00C74DE8" w:rsidRDefault="00F418F1" w:rsidP="00F418F1">
            <w:pPr>
              <w:jc w:val="center"/>
              <w:cnfStyle w:val="000000000000" w:firstRow="0" w:lastRow="0" w:firstColumn="0" w:lastColumn="0" w:oddVBand="0" w:evenVBand="0" w:oddHBand="0" w:evenHBand="0" w:firstRowFirstColumn="0" w:firstRowLastColumn="0" w:lastRowFirstColumn="0" w:lastRowLastColumn="0"/>
            </w:pPr>
            <w:r>
              <w:t>55.2%</w:t>
            </w:r>
          </w:p>
        </w:tc>
      </w:tr>
      <w:tr w:rsidR="00537237" w14:paraId="0AE22825" w14:textId="794B8A34" w:rsidTr="007C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0071A337" w14:textId="66CD8655" w:rsidR="00C74DE8" w:rsidRPr="00C74DE8" w:rsidRDefault="00C74DE8" w:rsidP="002954A4">
            <w:pPr>
              <w:jc w:val="right"/>
              <w:rPr>
                <w:b w:val="0"/>
                <w:bCs w:val="0"/>
              </w:rPr>
            </w:pPr>
            <w:r w:rsidRPr="00C74DE8">
              <w:rPr>
                <w:b w:val="0"/>
                <w:bCs w:val="0"/>
              </w:rPr>
              <w:t>Sep 17, 2025</w:t>
            </w:r>
          </w:p>
        </w:tc>
        <w:tc>
          <w:tcPr>
            <w:tcW w:w="3060" w:type="dxa"/>
          </w:tcPr>
          <w:p w14:paraId="5D4F058C" w14:textId="5E4784CF" w:rsidR="00C74DE8" w:rsidRPr="007C73D4" w:rsidRDefault="00F418F1" w:rsidP="00C74DE8">
            <w:pPr>
              <w:jc w:val="center"/>
              <w:cnfStyle w:val="000000100000" w:firstRow="0" w:lastRow="0" w:firstColumn="0" w:lastColumn="0" w:oddVBand="0" w:evenVBand="0" w:oddHBand="1" w:evenHBand="0" w:firstRowFirstColumn="0" w:firstRowLastColumn="0" w:lastRowFirstColumn="0" w:lastRowLastColumn="0"/>
              <w:rPr>
                <w:color w:val="FF0000"/>
              </w:rPr>
            </w:pPr>
            <w:r w:rsidRPr="007C73D4">
              <w:rPr>
                <w:color w:val="FF0000"/>
              </w:rPr>
              <w:t>3.75</w:t>
            </w:r>
            <w:r w:rsidR="00C74DE8" w:rsidRPr="007C73D4">
              <w:rPr>
                <w:color w:val="FF0000"/>
              </w:rPr>
              <w:t>% - 4.</w:t>
            </w:r>
            <w:r w:rsidRPr="007C73D4">
              <w:rPr>
                <w:color w:val="FF0000"/>
              </w:rPr>
              <w:t>0</w:t>
            </w:r>
            <w:r w:rsidR="00C74DE8" w:rsidRPr="007C73D4">
              <w:rPr>
                <w:color w:val="FF0000"/>
              </w:rPr>
              <w:t>0%</w:t>
            </w:r>
          </w:p>
        </w:tc>
        <w:tc>
          <w:tcPr>
            <w:tcW w:w="1355" w:type="dxa"/>
          </w:tcPr>
          <w:p w14:paraId="3B94B18A" w14:textId="2C416057" w:rsidR="00C74DE8" w:rsidRPr="007C73D4" w:rsidRDefault="00F418F1" w:rsidP="00F418F1">
            <w:pPr>
              <w:jc w:val="center"/>
              <w:cnfStyle w:val="000000100000" w:firstRow="0" w:lastRow="0" w:firstColumn="0" w:lastColumn="0" w:oddVBand="0" w:evenVBand="0" w:oddHBand="1" w:evenHBand="0" w:firstRowFirstColumn="0" w:firstRowLastColumn="0" w:lastRowFirstColumn="0" w:lastRowLastColumn="0"/>
              <w:rPr>
                <w:color w:val="FF0000"/>
              </w:rPr>
            </w:pPr>
            <w:r w:rsidRPr="007C73D4">
              <w:rPr>
                <w:color w:val="FF0000"/>
              </w:rPr>
              <w:t>-25 bps</w:t>
            </w:r>
          </w:p>
        </w:tc>
        <w:tc>
          <w:tcPr>
            <w:tcW w:w="1974" w:type="dxa"/>
          </w:tcPr>
          <w:p w14:paraId="6201EBBE" w14:textId="1ABB14BC" w:rsidR="00C74DE8" w:rsidRDefault="00F418F1" w:rsidP="00F418F1">
            <w:pPr>
              <w:jc w:val="center"/>
              <w:cnfStyle w:val="000000100000" w:firstRow="0" w:lastRow="0" w:firstColumn="0" w:lastColumn="0" w:oddVBand="0" w:evenVBand="0" w:oddHBand="1" w:evenHBand="0" w:firstRowFirstColumn="0" w:firstRowLastColumn="0" w:lastRowFirstColumn="0" w:lastRowLastColumn="0"/>
            </w:pPr>
            <w:r>
              <w:t>48.9%</w:t>
            </w:r>
          </w:p>
        </w:tc>
      </w:tr>
      <w:tr w:rsidR="00537237" w14:paraId="01384C95" w14:textId="77777777" w:rsidTr="007C73D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E30B400" w14:textId="60B016B6" w:rsidR="00C74DE8" w:rsidRPr="00C74DE8" w:rsidRDefault="00C74DE8" w:rsidP="002954A4">
            <w:pPr>
              <w:jc w:val="right"/>
              <w:rPr>
                <w:b w:val="0"/>
                <w:bCs w:val="0"/>
              </w:rPr>
            </w:pPr>
            <w:r>
              <w:rPr>
                <w:b w:val="0"/>
                <w:bCs w:val="0"/>
              </w:rPr>
              <w:t>Oct 29, 2025</w:t>
            </w:r>
          </w:p>
        </w:tc>
        <w:tc>
          <w:tcPr>
            <w:tcW w:w="3060" w:type="dxa"/>
          </w:tcPr>
          <w:p w14:paraId="2D7668A0" w14:textId="06329B1B" w:rsidR="00C74DE8" w:rsidRPr="007C73D4" w:rsidRDefault="00F418F1" w:rsidP="00C74DE8">
            <w:pPr>
              <w:jc w:val="center"/>
              <w:cnfStyle w:val="000000000000" w:firstRow="0" w:lastRow="0" w:firstColumn="0" w:lastColumn="0" w:oddVBand="0" w:evenVBand="0" w:oddHBand="0" w:evenHBand="0" w:firstRowFirstColumn="0" w:firstRowLastColumn="0" w:lastRowFirstColumn="0" w:lastRowLastColumn="0"/>
              <w:rPr>
                <w:color w:val="FF0000"/>
              </w:rPr>
            </w:pPr>
            <w:r w:rsidRPr="007C73D4">
              <w:rPr>
                <w:color w:val="FF0000"/>
              </w:rPr>
              <w:t>3</w:t>
            </w:r>
            <w:r w:rsidR="00C74DE8" w:rsidRPr="007C73D4">
              <w:rPr>
                <w:color w:val="FF0000"/>
              </w:rPr>
              <w:t>.</w:t>
            </w:r>
            <w:r w:rsidRPr="007C73D4">
              <w:rPr>
                <w:color w:val="FF0000"/>
              </w:rPr>
              <w:t>50</w:t>
            </w:r>
            <w:r w:rsidR="00C74DE8" w:rsidRPr="007C73D4">
              <w:rPr>
                <w:color w:val="FF0000"/>
              </w:rPr>
              <w:t xml:space="preserve">% - </w:t>
            </w:r>
            <w:r w:rsidRPr="007C73D4">
              <w:rPr>
                <w:color w:val="FF0000"/>
              </w:rPr>
              <w:t>3.75</w:t>
            </w:r>
            <w:r w:rsidR="00C74DE8" w:rsidRPr="007C73D4">
              <w:rPr>
                <w:color w:val="FF0000"/>
              </w:rPr>
              <w:t>%</w:t>
            </w:r>
          </w:p>
        </w:tc>
        <w:tc>
          <w:tcPr>
            <w:tcW w:w="1355" w:type="dxa"/>
          </w:tcPr>
          <w:p w14:paraId="329888EF" w14:textId="256D6378" w:rsidR="00C74DE8" w:rsidRPr="007C73D4" w:rsidRDefault="00F418F1" w:rsidP="00F418F1">
            <w:pPr>
              <w:jc w:val="center"/>
              <w:cnfStyle w:val="000000000000" w:firstRow="0" w:lastRow="0" w:firstColumn="0" w:lastColumn="0" w:oddVBand="0" w:evenVBand="0" w:oddHBand="0" w:evenHBand="0" w:firstRowFirstColumn="0" w:firstRowLastColumn="0" w:lastRowFirstColumn="0" w:lastRowLastColumn="0"/>
              <w:rPr>
                <w:color w:val="FF0000"/>
              </w:rPr>
            </w:pPr>
            <w:r w:rsidRPr="007C73D4">
              <w:rPr>
                <w:color w:val="FF0000"/>
              </w:rPr>
              <w:t>-25 bps</w:t>
            </w:r>
          </w:p>
        </w:tc>
        <w:tc>
          <w:tcPr>
            <w:tcW w:w="1974" w:type="dxa"/>
          </w:tcPr>
          <w:p w14:paraId="20CA0541" w14:textId="37F621F5" w:rsidR="00C74DE8" w:rsidRDefault="00F418F1" w:rsidP="00F418F1">
            <w:pPr>
              <w:jc w:val="center"/>
              <w:cnfStyle w:val="000000000000" w:firstRow="0" w:lastRow="0" w:firstColumn="0" w:lastColumn="0" w:oddVBand="0" w:evenVBand="0" w:oddHBand="0" w:evenHBand="0" w:firstRowFirstColumn="0" w:firstRowLastColumn="0" w:lastRowFirstColumn="0" w:lastRowLastColumn="0"/>
            </w:pPr>
            <w:r>
              <w:t>36.9%</w:t>
            </w:r>
          </w:p>
        </w:tc>
      </w:tr>
      <w:tr w:rsidR="002954A4" w14:paraId="74C63F21" w14:textId="7EBDC5CA" w:rsidTr="007C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6AE18D39" w14:textId="3056C1A2" w:rsidR="00F418F1" w:rsidRPr="00C74DE8" w:rsidRDefault="00F418F1" w:rsidP="002954A4">
            <w:pPr>
              <w:jc w:val="right"/>
              <w:rPr>
                <w:b w:val="0"/>
                <w:bCs w:val="0"/>
              </w:rPr>
            </w:pPr>
            <w:r w:rsidRPr="00C74DE8">
              <w:rPr>
                <w:b w:val="0"/>
                <w:bCs w:val="0"/>
              </w:rPr>
              <w:t>Dec 10, 2025</w:t>
            </w:r>
          </w:p>
        </w:tc>
        <w:tc>
          <w:tcPr>
            <w:tcW w:w="3060" w:type="dxa"/>
          </w:tcPr>
          <w:p w14:paraId="212AD023" w14:textId="1EDDC11C"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3.50% - 3.75%</w:t>
            </w:r>
          </w:p>
        </w:tc>
        <w:tc>
          <w:tcPr>
            <w:tcW w:w="1355" w:type="dxa"/>
          </w:tcPr>
          <w:p w14:paraId="027F8724" w14:textId="2D000EDC"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No change</w:t>
            </w:r>
          </w:p>
        </w:tc>
        <w:tc>
          <w:tcPr>
            <w:tcW w:w="1974" w:type="dxa"/>
          </w:tcPr>
          <w:p w14:paraId="5159DA8E" w14:textId="299CE204"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36.4%</w:t>
            </w:r>
          </w:p>
        </w:tc>
      </w:tr>
      <w:tr w:rsidR="00537237" w14:paraId="51AA913C" w14:textId="7F22634E" w:rsidTr="007C73D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47076AD8" w14:textId="00F2F3AA" w:rsidR="00C74DE8" w:rsidRPr="00C74DE8" w:rsidRDefault="00C74DE8" w:rsidP="002954A4">
            <w:pPr>
              <w:jc w:val="right"/>
              <w:rPr>
                <w:b w:val="0"/>
                <w:bCs w:val="0"/>
              </w:rPr>
            </w:pPr>
            <w:r w:rsidRPr="00C74DE8">
              <w:rPr>
                <w:b w:val="0"/>
                <w:bCs w:val="0"/>
              </w:rPr>
              <w:t>Jan 28, 2026</w:t>
            </w:r>
          </w:p>
        </w:tc>
        <w:tc>
          <w:tcPr>
            <w:tcW w:w="3060" w:type="dxa"/>
          </w:tcPr>
          <w:p w14:paraId="7470D2F1" w14:textId="3F1B1F05" w:rsidR="00C74DE8" w:rsidRPr="007C73D4" w:rsidRDefault="00F418F1" w:rsidP="00C74DE8">
            <w:pPr>
              <w:jc w:val="center"/>
              <w:cnfStyle w:val="000000000000" w:firstRow="0" w:lastRow="0" w:firstColumn="0" w:lastColumn="0" w:oddVBand="0" w:evenVBand="0" w:oddHBand="0" w:evenHBand="0" w:firstRowFirstColumn="0" w:firstRowLastColumn="0" w:lastRowFirstColumn="0" w:lastRowLastColumn="0"/>
              <w:rPr>
                <w:color w:val="FF0000"/>
              </w:rPr>
            </w:pPr>
            <w:r w:rsidRPr="007C73D4">
              <w:rPr>
                <w:color w:val="FF0000"/>
              </w:rPr>
              <w:t>3.25% - 3.50%</w:t>
            </w:r>
          </w:p>
        </w:tc>
        <w:tc>
          <w:tcPr>
            <w:tcW w:w="1355" w:type="dxa"/>
          </w:tcPr>
          <w:p w14:paraId="27594E6E" w14:textId="22B038E0" w:rsidR="00C74DE8" w:rsidRPr="007C73D4" w:rsidRDefault="00F418F1" w:rsidP="00F418F1">
            <w:pPr>
              <w:jc w:val="center"/>
              <w:cnfStyle w:val="000000000000" w:firstRow="0" w:lastRow="0" w:firstColumn="0" w:lastColumn="0" w:oddVBand="0" w:evenVBand="0" w:oddHBand="0" w:evenHBand="0" w:firstRowFirstColumn="0" w:firstRowLastColumn="0" w:lastRowFirstColumn="0" w:lastRowLastColumn="0"/>
              <w:rPr>
                <w:color w:val="FF0000"/>
              </w:rPr>
            </w:pPr>
            <w:r w:rsidRPr="007C73D4">
              <w:rPr>
                <w:color w:val="FF0000"/>
              </w:rPr>
              <w:t>-25 bps</w:t>
            </w:r>
          </w:p>
        </w:tc>
        <w:tc>
          <w:tcPr>
            <w:tcW w:w="1974" w:type="dxa"/>
          </w:tcPr>
          <w:p w14:paraId="6548B2DA" w14:textId="272722E1" w:rsidR="00C74DE8" w:rsidRDefault="00F418F1" w:rsidP="00F418F1">
            <w:pPr>
              <w:jc w:val="center"/>
              <w:cnfStyle w:val="000000000000" w:firstRow="0" w:lastRow="0" w:firstColumn="0" w:lastColumn="0" w:oddVBand="0" w:evenVBand="0" w:oddHBand="0" w:evenHBand="0" w:firstRowFirstColumn="0" w:firstRowLastColumn="0" w:lastRowFirstColumn="0" w:lastRowLastColumn="0"/>
            </w:pPr>
            <w:r>
              <w:t>31.7%</w:t>
            </w:r>
          </w:p>
        </w:tc>
      </w:tr>
      <w:tr w:rsidR="002954A4" w14:paraId="222088DF" w14:textId="31023747" w:rsidTr="007C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05F58E59" w14:textId="755363CA" w:rsidR="00F418F1" w:rsidRPr="00C74DE8" w:rsidRDefault="00F418F1" w:rsidP="002954A4">
            <w:pPr>
              <w:jc w:val="right"/>
              <w:rPr>
                <w:b w:val="0"/>
                <w:bCs w:val="0"/>
              </w:rPr>
            </w:pPr>
            <w:r w:rsidRPr="00C74DE8">
              <w:rPr>
                <w:b w:val="0"/>
                <w:bCs w:val="0"/>
              </w:rPr>
              <w:t>Mar 18, 2026</w:t>
            </w:r>
          </w:p>
        </w:tc>
        <w:tc>
          <w:tcPr>
            <w:tcW w:w="3060" w:type="dxa"/>
          </w:tcPr>
          <w:p w14:paraId="17928FBA" w14:textId="061A2178"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3.25% - 3.50%</w:t>
            </w:r>
          </w:p>
        </w:tc>
        <w:tc>
          <w:tcPr>
            <w:tcW w:w="1355" w:type="dxa"/>
          </w:tcPr>
          <w:p w14:paraId="6CA09FBE" w14:textId="3F90B5E4"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No change</w:t>
            </w:r>
          </w:p>
        </w:tc>
        <w:tc>
          <w:tcPr>
            <w:tcW w:w="1974" w:type="dxa"/>
          </w:tcPr>
          <w:p w14:paraId="3D0F6FB7" w14:textId="7CBAF8F0"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31.2%</w:t>
            </w:r>
          </w:p>
        </w:tc>
      </w:tr>
      <w:tr w:rsidR="00F418F1" w14:paraId="38DBE65A" w14:textId="77777777" w:rsidTr="007C73D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4E2D754" w14:textId="2EE31328" w:rsidR="00F418F1" w:rsidRPr="00C74DE8" w:rsidRDefault="00F418F1" w:rsidP="002954A4">
            <w:pPr>
              <w:jc w:val="right"/>
              <w:rPr>
                <w:b w:val="0"/>
                <w:bCs w:val="0"/>
              </w:rPr>
            </w:pPr>
            <w:r w:rsidRPr="00C74DE8">
              <w:rPr>
                <w:b w:val="0"/>
                <w:bCs w:val="0"/>
              </w:rPr>
              <w:t>Apr 29, 2026</w:t>
            </w:r>
          </w:p>
        </w:tc>
        <w:tc>
          <w:tcPr>
            <w:tcW w:w="3060" w:type="dxa"/>
          </w:tcPr>
          <w:p w14:paraId="1D6B9ADE" w14:textId="2CD4D229"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3.25% - 3.50%</w:t>
            </w:r>
          </w:p>
        </w:tc>
        <w:tc>
          <w:tcPr>
            <w:tcW w:w="1355" w:type="dxa"/>
          </w:tcPr>
          <w:p w14:paraId="4420F8F6" w14:textId="7B8F4AFA"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No change</w:t>
            </w:r>
          </w:p>
        </w:tc>
        <w:tc>
          <w:tcPr>
            <w:tcW w:w="1974" w:type="dxa"/>
          </w:tcPr>
          <w:p w14:paraId="3FFBC5B1" w14:textId="468A98F8"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29.8%</w:t>
            </w:r>
          </w:p>
        </w:tc>
      </w:tr>
      <w:tr w:rsidR="00F418F1" w14:paraId="570300CE" w14:textId="77777777" w:rsidTr="007C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6720D65F" w14:textId="2F1E1C6D" w:rsidR="00F418F1" w:rsidRPr="00C74DE8" w:rsidRDefault="00F418F1" w:rsidP="002954A4">
            <w:pPr>
              <w:jc w:val="right"/>
              <w:rPr>
                <w:b w:val="0"/>
                <w:bCs w:val="0"/>
              </w:rPr>
            </w:pPr>
            <w:r w:rsidRPr="00C74DE8">
              <w:rPr>
                <w:b w:val="0"/>
                <w:bCs w:val="0"/>
              </w:rPr>
              <w:t>June 17, 2026</w:t>
            </w:r>
          </w:p>
        </w:tc>
        <w:tc>
          <w:tcPr>
            <w:tcW w:w="3060" w:type="dxa"/>
          </w:tcPr>
          <w:p w14:paraId="71CCE5E2" w14:textId="68F186D3"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3.25% - 3.50%</w:t>
            </w:r>
          </w:p>
        </w:tc>
        <w:tc>
          <w:tcPr>
            <w:tcW w:w="1355" w:type="dxa"/>
          </w:tcPr>
          <w:p w14:paraId="5C9BF41A" w14:textId="14CE28AB"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No change</w:t>
            </w:r>
          </w:p>
        </w:tc>
        <w:tc>
          <w:tcPr>
            <w:tcW w:w="1974" w:type="dxa"/>
          </w:tcPr>
          <w:p w14:paraId="65F083F3" w14:textId="2E04673E"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27.5%</w:t>
            </w:r>
          </w:p>
        </w:tc>
      </w:tr>
      <w:tr w:rsidR="00F418F1" w14:paraId="513C592E" w14:textId="77777777" w:rsidTr="007C73D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2942BE85" w14:textId="47AA3FBD" w:rsidR="00F418F1" w:rsidRPr="00C74DE8" w:rsidRDefault="00F418F1" w:rsidP="002954A4">
            <w:pPr>
              <w:jc w:val="right"/>
              <w:rPr>
                <w:b w:val="0"/>
                <w:bCs w:val="0"/>
              </w:rPr>
            </w:pPr>
            <w:r w:rsidRPr="00C74DE8">
              <w:rPr>
                <w:b w:val="0"/>
                <w:bCs w:val="0"/>
              </w:rPr>
              <w:t>Jul 29, 2026</w:t>
            </w:r>
          </w:p>
        </w:tc>
        <w:tc>
          <w:tcPr>
            <w:tcW w:w="3060" w:type="dxa"/>
          </w:tcPr>
          <w:p w14:paraId="0093CC70" w14:textId="028DA8AD"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3.25% - 3.50%</w:t>
            </w:r>
          </w:p>
        </w:tc>
        <w:tc>
          <w:tcPr>
            <w:tcW w:w="1355" w:type="dxa"/>
          </w:tcPr>
          <w:p w14:paraId="4116892E" w14:textId="0F8C9824"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No change</w:t>
            </w:r>
          </w:p>
        </w:tc>
        <w:tc>
          <w:tcPr>
            <w:tcW w:w="1974" w:type="dxa"/>
          </w:tcPr>
          <w:p w14:paraId="18996ECC" w14:textId="0C0AEF08"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26.3%</w:t>
            </w:r>
          </w:p>
        </w:tc>
      </w:tr>
      <w:tr w:rsidR="007C73D4" w14:paraId="199E82EB" w14:textId="77777777" w:rsidTr="007C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3362815" w14:textId="0493DABB" w:rsidR="007C73D4" w:rsidRPr="00C74DE8" w:rsidRDefault="007C73D4" w:rsidP="007C73D4">
            <w:pPr>
              <w:jc w:val="right"/>
              <w:rPr>
                <w:b w:val="0"/>
                <w:bCs w:val="0"/>
              </w:rPr>
            </w:pPr>
            <w:r w:rsidRPr="00C74DE8">
              <w:rPr>
                <w:b w:val="0"/>
                <w:bCs w:val="0"/>
              </w:rPr>
              <w:t>Sep 16, 2026</w:t>
            </w:r>
          </w:p>
        </w:tc>
        <w:tc>
          <w:tcPr>
            <w:tcW w:w="3060" w:type="dxa"/>
          </w:tcPr>
          <w:p w14:paraId="1FAC7676" w14:textId="21431D4B" w:rsidR="007C73D4" w:rsidRDefault="007C73D4" w:rsidP="007C73D4">
            <w:pPr>
              <w:jc w:val="center"/>
              <w:cnfStyle w:val="000000100000" w:firstRow="0" w:lastRow="0" w:firstColumn="0" w:lastColumn="0" w:oddVBand="0" w:evenVBand="0" w:oddHBand="1" w:evenHBand="0" w:firstRowFirstColumn="0" w:firstRowLastColumn="0" w:lastRowFirstColumn="0" w:lastRowLastColumn="0"/>
            </w:pPr>
            <w:r w:rsidRPr="007C73D4">
              <w:rPr>
                <w:color w:val="FF0000"/>
              </w:rPr>
              <w:t>3.00% - 3.25%</w:t>
            </w:r>
          </w:p>
        </w:tc>
        <w:tc>
          <w:tcPr>
            <w:tcW w:w="1355" w:type="dxa"/>
          </w:tcPr>
          <w:p w14:paraId="364955A0" w14:textId="75D5C135" w:rsidR="007C73D4" w:rsidRDefault="007C73D4" w:rsidP="007C73D4">
            <w:pPr>
              <w:jc w:val="center"/>
              <w:cnfStyle w:val="000000100000" w:firstRow="0" w:lastRow="0" w:firstColumn="0" w:lastColumn="0" w:oddVBand="0" w:evenVBand="0" w:oddHBand="1" w:evenHBand="0" w:firstRowFirstColumn="0" w:firstRowLastColumn="0" w:lastRowFirstColumn="0" w:lastRowLastColumn="0"/>
            </w:pPr>
            <w:r w:rsidRPr="00537237">
              <w:rPr>
                <w:color w:val="FF0000"/>
              </w:rPr>
              <w:t>-25 bps</w:t>
            </w:r>
          </w:p>
        </w:tc>
        <w:tc>
          <w:tcPr>
            <w:tcW w:w="1974" w:type="dxa"/>
          </w:tcPr>
          <w:p w14:paraId="36669CEA" w14:textId="2621C545" w:rsidR="007C73D4" w:rsidRDefault="007C73D4" w:rsidP="007C73D4">
            <w:pPr>
              <w:jc w:val="center"/>
              <w:cnfStyle w:val="000000100000" w:firstRow="0" w:lastRow="0" w:firstColumn="0" w:lastColumn="0" w:oddVBand="0" w:evenVBand="0" w:oddHBand="1" w:evenHBand="0" w:firstRowFirstColumn="0" w:firstRowLastColumn="0" w:lastRowFirstColumn="0" w:lastRowLastColumn="0"/>
            </w:pPr>
            <w:r>
              <w:t>25.9%</w:t>
            </w:r>
          </w:p>
        </w:tc>
      </w:tr>
      <w:tr w:rsidR="00F418F1" w14:paraId="6077DCAD" w14:textId="77777777" w:rsidTr="007C73D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711136E7" w14:textId="3DFFF424" w:rsidR="00F418F1" w:rsidRPr="00C74DE8" w:rsidRDefault="00F418F1" w:rsidP="002954A4">
            <w:pPr>
              <w:jc w:val="right"/>
              <w:rPr>
                <w:b w:val="0"/>
                <w:bCs w:val="0"/>
              </w:rPr>
            </w:pPr>
            <w:r w:rsidRPr="00C74DE8">
              <w:rPr>
                <w:b w:val="0"/>
                <w:bCs w:val="0"/>
              </w:rPr>
              <w:t>Oct 28, 2026</w:t>
            </w:r>
          </w:p>
        </w:tc>
        <w:tc>
          <w:tcPr>
            <w:tcW w:w="3060" w:type="dxa"/>
          </w:tcPr>
          <w:p w14:paraId="3C742B56" w14:textId="1E19FB36"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3.00% - 3.25%</w:t>
            </w:r>
          </w:p>
        </w:tc>
        <w:tc>
          <w:tcPr>
            <w:tcW w:w="1355" w:type="dxa"/>
          </w:tcPr>
          <w:p w14:paraId="4FAF5FFA" w14:textId="65C6FF43"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No change</w:t>
            </w:r>
          </w:p>
        </w:tc>
        <w:tc>
          <w:tcPr>
            <w:tcW w:w="1974" w:type="dxa"/>
          </w:tcPr>
          <w:p w14:paraId="1601DC94" w14:textId="13445F01" w:rsidR="00F418F1" w:rsidRDefault="00F418F1" w:rsidP="00F418F1">
            <w:pPr>
              <w:jc w:val="center"/>
              <w:cnfStyle w:val="000000000000" w:firstRow="0" w:lastRow="0" w:firstColumn="0" w:lastColumn="0" w:oddVBand="0" w:evenVBand="0" w:oddHBand="0" w:evenHBand="0" w:firstRowFirstColumn="0" w:firstRowLastColumn="0" w:lastRowFirstColumn="0" w:lastRowLastColumn="0"/>
            </w:pPr>
            <w:r>
              <w:t>25.8%</w:t>
            </w:r>
          </w:p>
        </w:tc>
      </w:tr>
      <w:tr w:rsidR="00F418F1" w14:paraId="15B2C006" w14:textId="77777777" w:rsidTr="007C73D4">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785" w:type="dxa"/>
          </w:tcPr>
          <w:p w14:paraId="7159BA8D" w14:textId="15A90E77" w:rsidR="00F418F1" w:rsidRPr="00C74DE8" w:rsidRDefault="007C73D4" w:rsidP="002954A4">
            <w:pPr>
              <w:jc w:val="right"/>
              <w:rPr>
                <w:b w:val="0"/>
                <w:bCs w:val="0"/>
              </w:rPr>
            </w:pPr>
            <w:r>
              <w:rPr>
                <w:b w:val="0"/>
                <w:bCs w:val="0"/>
              </w:rPr>
              <w:t xml:space="preserve"> Scenario 1: </w:t>
            </w:r>
            <w:r w:rsidR="00F418F1" w:rsidRPr="00C74DE8">
              <w:rPr>
                <w:b w:val="0"/>
                <w:bCs w:val="0"/>
              </w:rPr>
              <w:t>Dec 9, 2026</w:t>
            </w:r>
          </w:p>
        </w:tc>
        <w:tc>
          <w:tcPr>
            <w:tcW w:w="3060" w:type="dxa"/>
          </w:tcPr>
          <w:p w14:paraId="1A56AE08" w14:textId="51C432B0" w:rsidR="00F418F1" w:rsidRPr="007C73D4" w:rsidRDefault="00F418F1" w:rsidP="00F418F1">
            <w:pPr>
              <w:jc w:val="center"/>
              <w:cnfStyle w:val="000000100000" w:firstRow="0" w:lastRow="0" w:firstColumn="0" w:lastColumn="0" w:oddVBand="0" w:evenVBand="0" w:oddHBand="1" w:evenHBand="0" w:firstRowFirstColumn="0" w:firstRowLastColumn="0" w:lastRowFirstColumn="0" w:lastRowLastColumn="0"/>
              <w:rPr>
                <w:color w:val="0070C0"/>
              </w:rPr>
            </w:pPr>
            <w:r w:rsidRPr="007C73D4">
              <w:rPr>
                <w:color w:val="0070C0"/>
              </w:rPr>
              <w:t>3.25% - 3.50%</w:t>
            </w:r>
          </w:p>
        </w:tc>
        <w:tc>
          <w:tcPr>
            <w:tcW w:w="1355" w:type="dxa"/>
          </w:tcPr>
          <w:p w14:paraId="0A5F37A9" w14:textId="0EC9C8EB" w:rsidR="00F418F1" w:rsidRPr="007C73D4" w:rsidRDefault="00F418F1" w:rsidP="00F418F1">
            <w:pPr>
              <w:jc w:val="center"/>
              <w:cnfStyle w:val="000000100000" w:firstRow="0" w:lastRow="0" w:firstColumn="0" w:lastColumn="0" w:oddVBand="0" w:evenVBand="0" w:oddHBand="1" w:evenHBand="0" w:firstRowFirstColumn="0" w:firstRowLastColumn="0" w:lastRowFirstColumn="0" w:lastRowLastColumn="0"/>
              <w:rPr>
                <w:color w:val="0070C0"/>
              </w:rPr>
            </w:pPr>
            <w:r w:rsidRPr="007C73D4">
              <w:rPr>
                <w:color w:val="0070C0"/>
              </w:rPr>
              <w:t>+25 bps</w:t>
            </w:r>
          </w:p>
        </w:tc>
        <w:tc>
          <w:tcPr>
            <w:tcW w:w="1974" w:type="dxa"/>
          </w:tcPr>
          <w:p w14:paraId="01E6FE34" w14:textId="01C3B977" w:rsidR="00F418F1" w:rsidRDefault="00F418F1" w:rsidP="00F418F1">
            <w:pPr>
              <w:jc w:val="center"/>
              <w:cnfStyle w:val="000000100000" w:firstRow="0" w:lastRow="0" w:firstColumn="0" w:lastColumn="0" w:oddVBand="0" w:evenVBand="0" w:oddHBand="1" w:evenHBand="0" w:firstRowFirstColumn="0" w:firstRowLastColumn="0" w:lastRowFirstColumn="0" w:lastRowLastColumn="0"/>
            </w:pPr>
            <w:r>
              <w:t>25.2%</w:t>
            </w:r>
          </w:p>
        </w:tc>
      </w:tr>
      <w:tr w:rsidR="007C73D4" w14:paraId="02DCBF1F" w14:textId="77777777" w:rsidTr="007C73D4">
        <w:tblPrEx>
          <w:jc w:val="left"/>
        </w:tblPrEx>
        <w:tc>
          <w:tcPr>
            <w:cnfStyle w:val="001000000000" w:firstRow="0" w:lastRow="0" w:firstColumn="1" w:lastColumn="0" w:oddVBand="0" w:evenVBand="0" w:oddHBand="0" w:evenHBand="0" w:firstRowFirstColumn="0" w:firstRowLastColumn="0" w:lastRowFirstColumn="0" w:lastRowLastColumn="0"/>
            <w:tcW w:w="2785" w:type="dxa"/>
          </w:tcPr>
          <w:p w14:paraId="3A242C46" w14:textId="157B3936" w:rsidR="007C73D4" w:rsidRPr="00C74DE8" w:rsidRDefault="007C73D4" w:rsidP="007C73D4">
            <w:pPr>
              <w:jc w:val="right"/>
              <w:rPr>
                <w:b w:val="0"/>
                <w:bCs w:val="0"/>
              </w:rPr>
            </w:pPr>
            <w:r>
              <w:rPr>
                <w:b w:val="0"/>
                <w:bCs w:val="0"/>
              </w:rPr>
              <w:t xml:space="preserve"> Scenario 2: </w:t>
            </w:r>
            <w:r w:rsidRPr="00C74DE8">
              <w:rPr>
                <w:b w:val="0"/>
                <w:bCs w:val="0"/>
              </w:rPr>
              <w:t>Dec 9, 2026</w:t>
            </w:r>
          </w:p>
        </w:tc>
        <w:tc>
          <w:tcPr>
            <w:tcW w:w="3060" w:type="dxa"/>
          </w:tcPr>
          <w:p w14:paraId="18C35D50" w14:textId="16CC3823" w:rsidR="007C73D4" w:rsidRDefault="007C73D4" w:rsidP="007C73D4">
            <w:pPr>
              <w:jc w:val="center"/>
              <w:cnfStyle w:val="000000000000" w:firstRow="0" w:lastRow="0" w:firstColumn="0" w:lastColumn="0" w:oddVBand="0" w:evenVBand="0" w:oddHBand="0" w:evenHBand="0" w:firstRowFirstColumn="0" w:firstRowLastColumn="0" w:lastRowFirstColumn="0" w:lastRowLastColumn="0"/>
            </w:pPr>
            <w:r>
              <w:t>3.00% - 3.25%</w:t>
            </w:r>
          </w:p>
        </w:tc>
        <w:tc>
          <w:tcPr>
            <w:tcW w:w="1355" w:type="dxa"/>
          </w:tcPr>
          <w:p w14:paraId="19DF7E69" w14:textId="7643E5AE" w:rsidR="007C73D4" w:rsidRDefault="007C73D4" w:rsidP="007C73D4">
            <w:pPr>
              <w:jc w:val="center"/>
              <w:cnfStyle w:val="000000000000" w:firstRow="0" w:lastRow="0" w:firstColumn="0" w:lastColumn="0" w:oddVBand="0" w:evenVBand="0" w:oddHBand="0" w:evenHBand="0" w:firstRowFirstColumn="0" w:firstRowLastColumn="0" w:lastRowFirstColumn="0" w:lastRowLastColumn="0"/>
            </w:pPr>
            <w:r>
              <w:t>No change</w:t>
            </w:r>
          </w:p>
        </w:tc>
        <w:tc>
          <w:tcPr>
            <w:tcW w:w="1974" w:type="dxa"/>
          </w:tcPr>
          <w:p w14:paraId="2E014C66" w14:textId="75FDAEB7" w:rsidR="007C73D4" w:rsidRDefault="007C73D4" w:rsidP="007C73D4">
            <w:pPr>
              <w:jc w:val="center"/>
              <w:cnfStyle w:val="000000000000" w:firstRow="0" w:lastRow="0" w:firstColumn="0" w:lastColumn="0" w:oddVBand="0" w:evenVBand="0" w:oddHBand="0" w:evenHBand="0" w:firstRowFirstColumn="0" w:firstRowLastColumn="0" w:lastRowFirstColumn="0" w:lastRowLastColumn="0"/>
            </w:pPr>
            <w:r>
              <w:t>21.3%</w:t>
            </w:r>
          </w:p>
        </w:tc>
      </w:tr>
    </w:tbl>
    <w:p w14:paraId="01BB061E" w14:textId="77777777" w:rsidR="00C74DE8" w:rsidRDefault="00C74DE8" w:rsidP="00C74DE8"/>
    <w:p w14:paraId="6451D3CC" w14:textId="703B423A" w:rsidR="00537237" w:rsidRPr="00537237" w:rsidRDefault="002954A4" w:rsidP="00C74DE8">
      <w:pPr>
        <w:rPr>
          <w:i/>
          <w:iCs/>
        </w:rPr>
      </w:pPr>
      <w:r w:rsidRPr="00537237">
        <w:rPr>
          <w:i/>
          <w:iCs/>
        </w:rPr>
        <w:t xml:space="preserve">Source: </w:t>
      </w:r>
      <w:hyperlink r:id="rId7" w:history="1">
        <w:r w:rsidRPr="00630353">
          <w:rPr>
            <w:rStyle w:val="Hyperlink"/>
            <w:i/>
            <w:iCs/>
          </w:rPr>
          <w:t>CME Group as of May 3, 2025</w:t>
        </w:r>
      </w:hyperlink>
    </w:p>
    <w:p w14:paraId="2693E78B" w14:textId="77777777" w:rsidR="00537237" w:rsidRDefault="00537237" w:rsidP="00C74DE8"/>
    <w:p w14:paraId="09B5D9B9" w14:textId="52A37496" w:rsidR="00537237" w:rsidRDefault="00537237" w:rsidP="00537237">
      <w:pPr>
        <w:ind w:firstLine="720"/>
        <w:jc w:val="both"/>
      </w:pPr>
      <w:r>
        <w:t xml:space="preserve">The current </w:t>
      </w:r>
      <w:r w:rsidR="007C73D4">
        <w:t xml:space="preserve">effective </w:t>
      </w:r>
      <w:r>
        <w:t xml:space="preserve">Fed Funds Rate is 4.33%, with a target rate of 4.25% - 4.50%. Most market participants are pricing around 100 – 125 bps of cut from today until the end of 2026. This translates to </w:t>
      </w:r>
      <w:r w:rsidR="007C73D4">
        <w:t>5</w:t>
      </w:r>
      <w:r>
        <w:t xml:space="preserve"> interest rate cuts in the next year, with a possibility of one rate hike on the December 2026 meeting. </w:t>
      </w:r>
    </w:p>
    <w:p w14:paraId="72B0ABDD" w14:textId="710E6972" w:rsidR="00537237" w:rsidRDefault="00537237" w:rsidP="00537237">
      <w:pPr>
        <w:ind w:firstLine="720"/>
        <w:jc w:val="both"/>
      </w:pPr>
      <w:r>
        <w:t xml:space="preserve">These number make sense given the latest macroeconomic landscape. The current government administration has a pro-growth outlook. Therefore, pushing for rate cuts that can lower borrowing costs and stimulate growth is aligned with the promises of the administration. The </w:t>
      </w:r>
      <w:r w:rsidRPr="00537237">
        <w:t>latest</w:t>
      </w:r>
      <w:r>
        <w:t xml:space="preserve"> quarterly GDP growth number that was released on April 30</w:t>
      </w:r>
      <w:r w:rsidR="00630353" w:rsidRPr="00630353">
        <w:rPr>
          <w:vertAlign w:val="superscript"/>
        </w:rPr>
        <w:t>th</w:t>
      </w:r>
      <w:r w:rsidR="00630353">
        <w:t xml:space="preserve"> has</w:t>
      </w:r>
      <w:r>
        <w:t xml:space="preserve"> shown that economic activity can slump due to uncertainties and government policies, further supporting the </w:t>
      </w:r>
      <w:r w:rsidR="00630353">
        <w:t>possibility of several</w:t>
      </w:r>
      <w:r>
        <w:t xml:space="preserve"> rate cuts this year. </w:t>
      </w:r>
    </w:p>
    <w:p w14:paraId="53962B30" w14:textId="77777777" w:rsidR="00DA5091" w:rsidRDefault="00DA5091" w:rsidP="00537237">
      <w:pPr>
        <w:ind w:firstLine="720"/>
        <w:jc w:val="both"/>
      </w:pPr>
    </w:p>
    <w:p w14:paraId="62D1DD75" w14:textId="77777777" w:rsidR="00DA5091" w:rsidRDefault="00DA5091" w:rsidP="00537237">
      <w:pPr>
        <w:ind w:firstLine="720"/>
        <w:jc w:val="both"/>
      </w:pPr>
    </w:p>
    <w:p w14:paraId="4315E18D" w14:textId="77777777" w:rsidR="006428FC" w:rsidRDefault="006428FC">
      <w:r>
        <w:br w:type="page"/>
      </w:r>
    </w:p>
    <w:p w14:paraId="49C67A4B" w14:textId="380F6EAE" w:rsidR="00DA5091" w:rsidRPr="00DA5091" w:rsidRDefault="00DA5091" w:rsidP="00DA5091">
      <w:pPr>
        <w:jc w:val="both"/>
        <w:rPr>
          <w:b/>
          <w:bCs/>
        </w:rPr>
      </w:pPr>
      <w:r w:rsidRPr="00DA5091">
        <w:rPr>
          <w:b/>
          <w:bCs/>
        </w:rPr>
        <w:lastRenderedPageBreak/>
        <w:t>Question 2</w:t>
      </w:r>
    </w:p>
    <w:p w14:paraId="61635238" w14:textId="77777777" w:rsidR="00DA5091" w:rsidRDefault="00DA5091" w:rsidP="00DA5091">
      <w:pPr>
        <w:jc w:val="both"/>
      </w:pPr>
    </w:p>
    <w:p w14:paraId="159CD176" w14:textId="3F819E30" w:rsidR="000F06AB" w:rsidRDefault="000F06AB" w:rsidP="00013D30">
      <w:pPr>
        <w:ind w:firstLine="720"/>
        <w:jc w:val="both"/>
      </w:pPr>
      <w:r>
        <w:t xml:space="preserve">Let’s observe how Fed Funds Rate move with 2 macro assets: equities and government bonds.  </w:t>
      </w:r>
      <w:r w:rsidR="00DA5091">
        <w:t xml:space="preserve">The pictures are from the python files. </w:t>
      </w:r>
    </w:p>
    <w:p w14:paraId="5BD9BD8D" w14:textId="77777777" w:rsidR="00013D30" w:rsidRDefault="00013D30" w:rsidP="00013D30">
      <w:pPr>
        <w:ind w:firstLine="720"/>
        <w:jc w:val="both"/>
      </w:pPr>
    </w:p>
    <w:p w14:paraId="11BB624B" w14:textId="09212C2B" w:rsidR="00DA5091" w:rsidRDefault="00013D30" w:rsidP="00DA5091">
      <w:pPr>
        <w:jc w:val="both"/>
      </w:pPr>
      <w:r w:rsidRPr="00013D30">
        <w:rPr>
          <w:noProof/>
        </w:rPr>
        <w:drawing>
          <wp:inline distT="0" distB="0" distL="0" distR="0" wp14:anchorId="58A835C7" wp14:editId="4F8F1767">
            <wp:extent cx="5943600" cy="2668905"/>
            <wp:effectExtent l="0" t="0" r="0" b="0"/>
            <wp:docPr id="153123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32819" name=""/>
                    <pic:cNvPicPr/>
                  </pic:nvPicPr>
                  <pic:blipFill>
                    <a:blip r:embed="rId8"/>
                    <a:stretch>
                      <a:fillRect/>
                    </a:stretch>
                  </pic:blipFill>
                  <pic:spPr>
                    <a:xfrm>
                      <a:off x="0" y="0"/>
                      <a:ext cx="5943600" cy="2668905"/>
                    </a:xfrm>
                    <a:prstGeom prst="rect">
                      <a:avLst/>
                    </a:prstGeom>
                  </pic:spPr>
                </pic:pic>
              </a:graphicData>
            </a:graphic>
          </wp:inline>
        </w:drawing>
      </w:r>
    </w:p>
    <w:p w14:paraId="7E6C0B39" w14:textId="77777777" w:rsidR="00DA5091" w:rsidRDefault="00DA5091" w:rsidP="00DA5091">
      <w:pPr>
        <w:jc w:val="both"/>
      </w:pPr>
    </w:p>
    <w:p w14:paraId="1ED8690B" w14:textId="76ABF9AC" w:rsidR="00DA5091" w:rsidRDefault="00DA5091" w:rsidP="00E63410">
      <w:pPr>
        <w:ind w:left="360"/>
        <w:jc w:val="both"/>
      </w:pPr>
      <w:r>
        <w:t xml:space="preserve">During periods of market downturns, the Fed significantly lowers interest rates to </w:t>
      </w:r>
      <w:r w:rsidR="000F06AB">
        <w:t>~</w:t>
      </w:r>
      <w:r>
        <w:t>0%:</w:t>
      </w:r>
    </w:p>
    <w:p w14:paraId="6F427C72" w14:textId="06050253" w:rsidR="00DA5091" w:rsidRDefault="00DA5091" w:rsidP="00E63410">
      <w:pPr>
        <w:pStyle w:val="ListParagraph"/>
        <w:numPr>
          <w:ilvl w:val="0"/>
          <w:numId w:val="4"/>
        </w:numPr>
        <w:ind w:left="1080"/>
        <w:jc w:val="both"/>
      </w:pPr>
      <w:r>
        <w:t>Dot-com Bubble Burst (2000 - 2001)</w:t>
      </w:r>
    </w:p>
    <w:p w14:paraId="64AD1D1E" w14:textId="097BEE41" w:rsidR="00DA5091" w:rsidRDefault="00DA5091" w:rsidP="00E63410">
      <w:pPr>
        <w:pStyle w:val="ListParagraph"/>
        <w:numPr>
          <w:ilvl w:val="0"/>
          <w:numId w:val="4"/>
        </w:numPr>
        <w:ind w:left="1080"/>
        <w:jc w:val="both"/>
      </w:pPr>
      <w:r>
        <w:t>Global Financial Crisis (2008 - 2009)</w:t>
      </w:r>
    </w:p>
    <w:p w14:paraId="05F9A65D" w14:textId="1353891C" w:rsidR="00DA5091" w:rsidRDefault="00DA5091" w:rsidP="00E63410">
      <w:pPr>
        <w:pStyle w:val="ListParagraph"/>
        <w:numPr>
          <w:ilvl w:val="0"/>
          <w:numId w:val="4"/>
        </w:numPr>
        <w:ind w:left="1080"/>
        <w:jc w:val="both"/>
      </w:pPr>
      <w:r>
        <w:t>COVID-19 Pandemic (Early 2020)</w:t>
      </w:r>
    </w:p>
    <w:p w14:paraId="00B2231D" w14:textId="77777777" w:rsidR="00DA5091" w:rsidRDefault="00DA5091" w:rsidP="00AD3370">
      <w:pPr>
        <w:jc w:val="both"/>
      </w:pPr>
    </w:p>
    <w:p w14:paraId="428D28C1" w14:textId="469375DE" w:rsidR="00DA5091" w:rsidRDefault="00DA5091" w:rsidP="00E63410">
      <w:pPr>
        <w:ind w:firstLine="720"/>
        <w:jc w:val="both"/>
      </w:pPr>
      <w:r>
        <w:t xml:space="preserve">However, pre- and post- financial crisis, after the Fed </w:t>
      </w:r>
      <w:r w:rsidR="0009066E">
        <w:t xml:space="preserve">had </w:t>
      </w:r>
      <w:r>
        <w:t>lower</w:t>
      </w:r>
      <w:r w:rsidR="0009066E">
        <w:t>ed</w:t>
      </w:r>
      <w:r>
        <w:t xml:space="preserve"> its target rate, there</w:t>
      </w:r>
      <w:r w:rsidR="00E63410">
        <w:t xml:space="preserve"> wa</w:t>
      </w:r>
      <w:r>
        <w:t>s always a period of economic boom (</w:t>
      </w:r>
      <w:r w:rsidR="00013D30">
        <w:t>equities</w:t>
      </w:r>
      <w:r>
        <w:t xml:space="preserve"> climbing up). The Fed in turn, </w:t>
      </w:r>
      <w:r w:rsidR="00E63410">
        <w:t>began</w:t>
      </w:r>
      <w:r>
        <w:t xml:space="preserve"> to raise rate and eventually, hold it at high levels, to combat inflation and reduce excessive lending conducted by banks. </w:t>
      </w:r>
    </w:p>
    <w:p w14:paraId="7EEFC46F" w14:textId="383F924B" w:rsidR="00DA5091" w:rsidRDefault="00DA5091" w:rsidP="00E63410">
      <w:pPr>
        <w:ind w:firstLine="720"/>
        <w:jc w:val="both"/>
      </w:pPr>
      <w:r>
        <w:t xml:space="preserve">Equities as an asset class benefit from a lower interest rate period and even during a rising rate environment, due to the cheaper borrowing cost and </w:t>
      </w:r>
      <w:r w:rsidR="000F06AB">
        <w:t xml:space="preserve">an </w:t>
      </w:r>
      <w:r>
        <w:t>increased economic activity. However, equities can be expected to exhibit negative returns when the Fed aggressively lower rates (which only happens when there's a financial crisis).</w:t>
      </w:r>
    </w:p>
    <w:p w14:paraId="29C367F8" w14:textId="1F14E656" w:rsidR="00DA5091" w:rsidRDefault="00DA5091" w:rsidP="00E63410">
      <w:pPr>
        <w:ind w:firstLine="720"/>
        <w:jc w:val="both"/>
      </w:pPr>
      <w:r>
        <w:t>This thought process is proven to be correct 100% the time in the past 25 years (6 out of 6 times), when the Fed raise and lower rates in significant amounts. The Fed raise rates to slow down an overstimulated economy</w:t>
      </w:r>
      <w:r w:rsidR="00157B6E">
        <w:t xml:space="preserve"> </w:t>
      </w:r>
      <w:r>
        <w:t xml:space="preserve">and lower rates to stimulate </w:t>
      </w:r>
      <w:r w:rsidR="00157B6E">
        <w:t>an</w:t>
      </w:r>
      <w:r>
        <w:t xml:space="preserve"> economy that is in a recession</w:t>
      </w:r>
      <w:r w:rsidR="00157B6E">
        <w:t>.</w:t>
      </w:r>
    </w:p>
    <w:p w14:paraId="4E53235C" w14:textId="58BF5514" w:rsidR="00DA5091" w:rsidRDefault="00AE7615" w:rsidP="00DA5091">
      <w:pPr>
        <w:jc w:val="both"/>
      </w:pPr>
      <w:r w:rsidRPr="00AE7615">
        <w:rPr>
          <w:noProof/>
        </w:rPr>
        <w:lastRenderedPageBreak/>
        <w:drawing>
          <wp:inline distT="0" distB="0" distL="0" distR="0" wp14:anchorId="3F2FB60F" wp14:editId="5C589C8A">
            <wp:extent cx="5943600" cy="2750185"/>
            <wp:effectExtent l="0" t="0" r="0" b="5715"/>
            <wp:docPr id="10615349" name="Picture 1" descr="A graph of a graph showing the valu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349" name="Picture 1" descr="A graph of a graph showing the value of a stock market&#10;&#10;AI-generated content may be incorrect."/>
                    <pic:cNvPicPr/>
                  </pic:nvPicPr>
                  <pic:blipFill>
                    <a:blip r:embed="rId9"/>
                    <a:stretch>
                      <a:fillRect/>
                    </a:stretch>
                  </pic:blipFill>
                  <pic:spPr>
                    <a:xfrm>
                      <a:off x="0" y="0"/>
                      <a:ext cx="5943600" cy="2750185"/>
                    </a:xfrm>
                    <a:prstGeom prst="rect">
                      <a:avLst/>
                    </a:prstGeom>
                  </pic:spPr>
                </pic:pic>
              </a:graphicData>
            </a:graphic>
          </wp:inline>
        </w:drawing>
      </w:r>
    </w:p>
    <w:p w14:paraId="4DFDF7F5" w14:textId="263E0563" w:rsidR="00DA5091" w:rsidRDefault="00DA5091" w:rsidP="00DA5091">
      <w:pPr>
        <w:ind w:firstLine="720"/>
        <w:jc w:val="both"/>
      </w:pPr>
      <w:r>
        <w:t>During market downturns, the yield on UST 30Y goes down.</w:t>
      </w:r>
      <w:r w:rsidR="00AD3370">
        <w:t xml:space="preserve"> I</w:t>
      </w:r>
      <w:r>
        <w:t>nvestors flock to safe-haven assets such as long-dated US treasuries. As the demand increase for those Treasuries, their price goes up and yields go down. Government bond as an asset class benefits from a lower interest rate environment.</w:t>
      </w:r>
    </w:p>
    <w:p w14:paraId="76BA66C8" w14:textId="0BFADD34" w:rsidR="00DA5091" w:rsidRDefault="00DA5091" w:rsidP="00DA5091">
      <w:pPr>
        <w:ind w:firstLine="720"/>
        <w:jc w:val="both"/>
      </w:pPr>
      <w:r>
        <w:t>However, this isn’t always the case. In the past 25 years, this logic is true during the 2008 GFC and COVID-19 Pandemic. But this was not realized when the Fed lowe</w:t>
      </w:r>
      <w:r w:rsidR="000F06AB">
        <w:t>red</w:t>
      </w:r>
      <w:r>
        <w:t xml:space="preserve"> interest rate in the period of 2001 – </w:t>
      </w:r>
      <w:r w:rsidR="000F06AB">
        <w:t>2002</w:t>
      </w:r>
      <w:r>
        <w:t xml:space="preserve">. There </w:t>
      </w:r>
      <w:r w:rsidR="000F06AB">
        <w:t>was no</w:t>
      </w:r>
      <w:r>
        <w:t xml:space="preserve"> abrupt drop in UST yields during that period. Thus, the fraction of the time this thought process is true is 2/3 times (~67% of the time) in the past 25 years.</w:t>
      </w:r>
    </w:p>
    <w:p w14:paraId="7E325CC4" w14:textId="300C4C7C" w:rsidR="00DA5091" w:rsidRDefault="000F06AB" w:rsidP="00537237">
      <w:pPr>
        <w:ind w:firstLine="720"/>
        <w:jc w:val="both"/>
      </w:pPr>
      <w:r>
        <w:t>The high</w:t>
      </w:r>
      <w:r w:rsidR="00DA5091">
        <w:t xml:space="preserve"> </w:t>
      </w:r>
      <w:r>
        <w:t>probability</w:t>
      </w:r>
      <w:r w:rsidR="00DA5091">
        <w:t xml:space="preserve"> of</w:t>
      </w:r>
      <w:r>
        <w:t xml:space="preserve"> several</w:t>
      </w:r>
      <w:r w:rsidR="00DA5091">
        <w:t xml:space="preserve"> rate cuts </w:t>
      </w:r>
      <w:r w:rsidR="00AD3370">
        <w:t>over the</w:t>
      </w:r>
      <w:r w:rsidR="00DA5091">
        <w:t xml:space="preserve"> next year</w:t>
      </w:r>
      <w:r>
        <w:t xml:space="preserve"> </w:t>
      </w:r>
      <w:r w:rsidR="00DA5091">
        <w:t>signal</w:t>
      </w:r>
      <w:r>
        <w:t>s</w:t>
      </w:r>
      <w:r w:rsidR="00DA5091">
        <w:t xml:space="preserve"> the possibility of a recession and a time where equities as an asset class suffers. Due to the high </w:t>
      </w:r>
      <w:r w:rsidR="006428FC">
        <w:t>volatility</w:t>
      </w:r>
      <w:r w:rsidR="00DA5091">
        <w:t xml:space="preserve"> and the </w:t>
      </w:r>
      <w:r w:rsidR="00E63410">
        <w:t>proposed</w:t>
      </w:r>
      <w:r w:rsidR="00DA5091">
        <w:t xml:space="preserve"> trade barriers, a recession</w:t>
      </w:r>
      <w:r>
        <w:t xml:space="preserve"> is likely to happen</w:t>
      </w:r>
      <w:r w:rsidR="00DA5091">
        <w:t xml:space="preserve">. Investors should sell (short) equities and buy government bonds before Treasuries rally. Historically, the price of UST goes up and equities </w:t>
      </w:r>
      <w:r>
        <w:t>fall</w:t>
      </w:r>
      <w:r w:rsidR="00DA5091">
        <w:t xml:space="preserve"> when a recession</w:t>
      </w:r>
      <w:r>
        <w:t xml:space="preserve"> </w:t>
      </w:r>
      <w:r w:rsidR="00013D30">
        <w:t>occurs,</w:t>
      </w:r>
      <w:r>
        <w:t xml:space="preserve"> </w:t>
      </w:r>
      <w:r w:rsidR="00DA5091">
        <w:t>and interest rates</w:t>
      </w:r>
      <w:r>
        <w:t xml:space="preserve"> decline.</w:t>
      </w:r>
      <w:r w:rsidR="00DA5091">
        <w:t xml:space="preserve"> </w:t>
      </w:r>
    </w:p>
    <w:p w14:paraId="44C6F5A2" w14:textId="77777777" w:rsidR="00DA5091" w:rsidRDefault="00DA5091" w:rsidP="00537237">
      <w:pPr>
        <w:ind w:firstLine="720"/>
        <w:jc w:val="both"/>
      </w:pPr>
    </w:p>
    <w:p w14:paraId="258FF699" w14:textId="50C4A62D" w:rsidR="00DA5091" w:rsidRPr="00DA5091" w:rsidRDefault="00DA5091" w:rsidP="00DA5091">
      <w:pPr>
        <w:jc w:val="both"/>
        <w:rPr>
          <w:b/>
          <w:bCs/>
        </w:rPr>
      </w:pPr>
      <w:r w:rsidRPr="00DA5091">
        <w:rPr>
          <w:b/>
          <w:bCs/>
        </w:rPr>
        <w:t>Question 3</w:t>
      </w:r>
    </w:p>
    <w:p w14:paraId="66AD5611" w14:textId="714EEE3C" w:rsidR="00DA5091" w:rsidRDefault="00DA5091" w:rsidP="00DA5091">
      <w:pPr>
        <w:jc w:val="both"/>
      </w:pPr>
      <w:r>
        <w:tab/>
        <w:t xml:space="preserve">It makes sense to extrapolate how investors should behave right now, because history always repeats itself. Despite short-term price movements that </w:t>
      </w:r>
      <w:r w:rsidR="000F06AB">
        <w:t>may not</w:t>
      </w:r>
      <w:r>
        <w:t xml:space="preserve"> conform to historical patterns, in the medium- and long- term, asset prices will behave according to historical patterns. </w:t>
      </w:r>
    </w:p>
    <w:p w14:paraId="5DBA0BE7" w14:textId="6D0ACEBE" w:rsidR="00DA5091" w:rsidRDefault="00DA5091" w:rsidP="00AD3370">
      <w:pPr>
        <w:ind w:firstLine="720"/>
        <w:jc w:val="both"/>
      </w:pPr>
      <w:r>
        <w:t xml:space="preserve">When macro assets such as equities decreased significantly, the government has incentive to stimulate economic growth. We can reverse the logic by thinking that if the government </w:t>
      </w:r>
      <w:r w:rsidR="00A467FA">
        <w:t>is</w:t>
      </w:r>
      <w:r>
        <w:t xml:space="preserve"> lowering borrowing costs, it means that equities are in a decline. Investors should buy equities as the government is behind them to push equities to higher levels.</w:t>
      </w:r>
    </w:p>
    <w:p w14:paraId="506B266E" w14:textId="6892E01A" w:rsidR="008241E8" w:rsidRDefault="00DA5091" w:rsidP="00DA5091">
      <w:pPr>
        <w:ind w:firstLine="720"/>
        <w:jc w:val="both"/>
      </w:pPr>
      <w:r>
        <w:t xml:space="preserve">On the other hand, the Fed will raise rates to </w:t>
      </w:r>
      <w:r w:rsidR="000F06AB">
        <w:t>slow</w:t>
      </w:r>
      <w:r>
        <w:t xml:space="preserve"> an overstimulated economy (equities at all-time highs). We can reverse the logic to see that if there are huge probabilities that the Fed is going to raise rates, investors should sell equities (given that they are at all-time highs) before the bubble burst. </w:t>
      </w:r>
    </w:p>
    <w:p w14:paraId="37B0B6A3" w14:textId="77777777" w:rsidR="008241E8" w:rsidRDefault="008241E8">
      <w:r>
        <w:br w:type="page"/>
      </w:r>
    </w:p>
    <w:p w14:paraId="555CCF3E" w14:textId="26DF2981" w:rsidR="00DA5091" w:rsidRPr="008241E8" w:rsidRDefault="008241E8" w:rsidP="008241E8">
      <w:pPr>
        <w:ind w:firstLine="720"/>
        <w:jc w:val="center"/>
        <w:rPr>
          <w:b/>
          <w:bCs/>
        </w:rPr>
      </w:pPr>
      <w:r w:rsidRPr="008241E8">
        <w:rPr>
          <w:b/>
          <w:bCs/>
        </w:rPr>
        <w:lastRenderedPageBreak/>
        <w:t>Section II: Macro Regimes</w:t>
      </w:r>
    </w:p>
    <w:p w14:paraId="15C1E4C3" w14:textId="77777777" w:rsidR="008241E8" w:rsidRDefault="008241E8" w:rsidP="008241E8">
      <w:pPr>
        <w:jc w:val="both"/>
      </w:pPr>
    </w:p>
    <w:p w14:paraId="06B658B8" w14:textId="634072E2" w:rsidR="008241E8" w:rsidRPr="00AD5401" w:rsidRDefault="008241E8" w:rsidP="008241E8">
      <w:pPr>
        <w:jc w:val="both"/>
        <w:rPr>
          <w:b/>
          <w:bCs/>
        </w:rPr>
      </w:pPr>
      <w:r w:rsidRPr="008241E8">
        <w:rPr>
          <w:b/>
          <w:bCs/>
        </w:rPr>
        <w:t>Question 4</w:t>
      </w:r>
    </w:p>
    <w:p w14:paraId="3B785784" w14:textId="3A842FA7" w:rsidR="008241E8" w:rsidRDefault="008241E8" w:rsidP="008241E8">
      <w:pPr>
        <w:jc w:val="both"/>
      </w:pPr>
      <w:r>
        <w:t xml:space="preserve">The macro variable data </w:t>
      </w:r>
      <w:r w:rsidR="00CF72C9">
        <w:t>used are</w:t>
      </w:r>
      <w:r>
        <w:t xml:space="preserve">: </w:t>
      </w:r>
    </w:p>
    <w:p w14:paraId="3D0D595C" w14:textId="44B7C3E0" w:rsidR="008241E8" w:rsidRDefault="008241E8" w:rsidP="008241E8">
      <w:pPr>
        <w:pStyle w:val="ListParagraph"/>
        <w:numPr>
          <w:ilvl w:val="0"/>
          <w:numId w:val="5"/>
        </w:numPr>
        <w:jc w:val="both"/>
      </w:pPr>
      <w:r>
        <w:t>Interest Rate (measured by the Effective Fed Funds Rate)</w:t>
      </w:r>
    </w:p>
    <w:p w14:paraId="2D24B4F8" w14:textId="46EF2C2E" w:rsidR="008241E8" w:rsidRDefault="000B5449" w:rsidP="008241E8">
      <w:pPr>
        <w:pStyle w:val="ListParagraph"/>
        <w:numPr>
          <w:ilvl w:val="0"/>
          <w:numId w:val="5"/>
        </w:numPr>
        <w:jc w:val="both"/>
      </w:pPr>
      <w:r>
        <w:t xml:space="preserve">Growth (measured by the US Industrial Production Index) </w:t>
      </w:r>
    </w:p>
    <w:p w14:paraId="11D344C9" w14:textId="7E69B6E1" w:rsidR="008241E8" w:rsidRDefault="008241E8" w:rsidP="008241E8">
      <w:pPr>
        <w:jc w:val="both"/>
      </w:pPr>
    </w:p>
    <w:p w14:paraId="1962DA08" w14:textId="6C296C3F" w:rsidR="000B5449" w:rsidRDefault="00CF72C9" w:rsidP="000B5449">
      <w:pPr>
        <w:ind w:firstLine="720"/>
        <w:jc w:val="both"/>
      </w:pPr>
      <w:r>
        <w:t>The level of interest rate</w:t>
      </w:r>
      <w:r w:rsidR="008241E8">
        <w:t xml:space="preserve"> </w:t>
      </w:r>
      <w:r>
        <w:t xml:space="preserve">in the US </w:t>
      </w:r>
      <w:r w:rsidR="008241E8">
        <w:t>dictates how much liquidity is accessible in the market and the borrowing costs for individuals and companies in the US (and indirectly, all over the world).</w:t>
      </w:r>
      <w:r w:rsidR="00A35922">
        <w:t xml:space="preserve"> </w:t>
      </w:r>
    </w:p>
    <w:p w14:paraId="403628D2" w14:textId="4B230425" w:rsidR="000B5449" w:rsidRDefault="000B5449" w:rsidP="000B5449">
      <w:pPr>
        <w:ind w:firstLine="720"/>
        <w:jc w:val="both"/>
      </w:pPr>
      <w:r>
        <w:t>As the world’s largest economy, the growth of the US production level reflects regional and even, global trade and economic activities. As it relates to the US GDP growth, it can be used to assess whether there’s a recession in the US. The rule-of-thumb is that 2 consecutive negative quarterly GDP growth is indicative of a recession.</w:t>
      </w:r>
    </w:p>
    <w:p w14:paraId="2F971F03" w14:textId="7A41BC00" w:rsidR="008241E8" w:rsidRDefault="000B5449" w:rsidP="000B5449">
      <w:pPr>
        <w:ind w:firstLine="360"/>
        <w:jc w:val="both"/>
      </w:pPr>
      <w:r>
        <w:t>During a recession, when the US Industrial Production Index (i.e., growth) falls and the Fed lowers interest rates</w:t>
      </w:r>
      <w:r w:rsidR="008241E8">
        <w:t xml:space="preserve">, I would expect: </w:t>
      </w:r>
    </w:p>
    <w:p w14:paraId="38273AF6" w14:textId="2B7C8293" w:rsidR="008241E8" w:rsidRDefault="008241E8" w:rsidP="008241E8">
      <w:pPr>
        <w:pStyle w:val="ListParagraph"/>
        <w:numPr>
          <w:ilvl w:val="0"/>
          <w:numId w:val="6"/>
        </w:numPr>
        <w:jc w:val="both"/>
      </w:pPr>
      <w:r>
        <w:t>Equities to</w:t>
      </w:r>
      <w:r w:rsidR="00CF72C9">
        <w:t xml:space="preserve"> go </w:t>
      </w:r>
      <w:r>
        <w:t>in</w:t>
      </w:r>
      <w:r w:rsidR="00CF72C9">
        <w:t xml:space="preserve"> a</w:t>
      </w:r>
      <w:r>
        <w:t xml:space="preserve"> </w:t>
      </w:r>
      <w:r w:rsidR="00CF72C9">
        <w:t>downward</w:t>
      </w:r>
      <w:r>
        <w:t xml:space="preserve"> direction </w:t>
      </w:r>
    </w:p>
    <w:p w14:paraId="41513758" w14:textId="0EC82F6A" w:rsidR="000B5449" w:rsidRDefault="000B5449" w:rsidP="000B5449">
      <w:pPr>
        <w:pStyle w:val="ListParagraph"/>
        <w:numPr>
          <w:ilvl w:val="1"/>
          <w:numId w:val="6"/>
        </w:numPr>
        <w:jc w:val="both"/>
      </w:pPr>
      <w:r>
        <w:t xml:space="preserve">Factories </w:t>
      </w:r>
      <w:r w:rsidR="00A35922">
        <w:t>will not</w:t>
      </w:r>
      <w:r>
        <w:t xml:space="preserve"> increas</w:t>
      </w:r>
      <w:r w:rsidR="00A35922">
        <w:t xml:space="preserve">e </w:t>
      </w:r>
      <w:r>
        <w:t xml:space="preserve">production, </w:t>
      </w:r>
      <w:r w:rsidR="00A35922">
        <w:t xml:space="preserve">will </w:t>
      </w:r>
      <w:r>
        <w:t>focus instead on cost-savings measures such as layoffs</w:t>
      </w:r>
    </w:p>
    <w:p w14:paraId="40151AE5" w14:textId="6CBC26B3" w:rsidR="000B5449" w:rsidRDefault="000B5449" w:rsidP="000B5449">
      <w:pPr>
        <w:pStyle w:val="ListParagraph"/>
        <w:numPr>
          <w:ilvl w:val="1"/>
          <w:numId w:val="6"/>
        </w:numPr>
        <w:jc w:val="both"/>
      </w:pPr>
      <w:r>
        <w:t xml:space="preserve">Companies </w:t>
      </w:r>
      <w:r w:rsidR="00A35922">
        <w:t>will</w:t>
      </w:r>
      <w:r>
        <w:t xml:space="preserve"> delay major acquisitions</w:t>
      </w:r>
    </w:p>
    <w:p w14:paraId="303D444E" w14:textId="2DAE4EEC" w:rsidR="008241E8" w:rsidRDefault="00CF72C9" w:rsidP="008241E8">
      <w:pPr>
        <w:pStyle w:val="ListParagraph"/>
        <w:numPr>
          <w:ilvl w:val="1"/>
          <w:numId w:val="6"/>
        </w:numPr>
        <w:jc w:val="both"/>
      </w:pPr>
      <w:r>
        <w:t xml:space="preserve">The </w:t>
      </w:r>
      <w:r w:rsidR="008241E8">
        <w:t xml:space="preserve">Fed is </w:t>
      </w:r>
      <w:r w:rsidR="002E7E34">
        <w:t>lowering</w:t>
      </w:r>
      <w:r w:rsidR="008241E8">
        <w:t xml:space="preserve"> borrowing cost to stimulate economic activity</w:t>
      </w:r>
    </w:p>
    <w:p w14:paraId="38BD1B13" w14:textId="21E7DD07" w:rsidR="002E7E34" w:rsidRDefault="008241E8" w:rsidP="002E7E34">
      <w:pPr>
        <w:pStyle w:val="ListParagraph"/>
        <w:numPr>
          <w:ilvl w:val="0"/>
          <w:numId w:val="6"/>
        </w:numPr>
        <w:jc w:val="both"/>
      </w:pPr>
      <w:r>
        <w:t xml:space="preserve">Government bonds to go in </w:t>
      </w:r>
      <w:r w:rsidR="00CF72C9">
        <w:t xml:space="preserve">an upward </w:t>
      </w:r>
      <w:r>
        <w:t>direction</w:t>
      </w:r>
    </w:p>
    <w:p w14:paraId="154C3665" w14:textId="130A4B84" w:rsidR="002E7E34" w:rsidRDefault="00CF72C9" w:rsidP="00CF72C9">
      <w:pPr>
        <w:pStyle w:val="ListParagraph"/>
        <w:numPr>
          <w:ilvl w:val="1"/>
          <w:numId w:val="6"/>
        </w:numPr>
        <w:jc w:val="both"/>
      </w:pPr>
      <w:r>
        <w:t>I</w:t>
      </w:r>
      <w:r w:rsidR="002E7E34">
        <w:t xml:space="preserve">nvestors </w:t>
      </w:r>
      <w:r>
        <w:t xml:space="preserve">will buy </w:t>
      </w:r>
      <w:r w:rsidR="002E7E34">
        <w:t>safe assets such as US treasuries</w:t>
      </w:r>
    </w:p>
    <w:p w14:paraId="752D297D" w14:textId="7411CF0E" w:rsidR="002E7E34" w:rsidRDefault="002E7E34" w:rsidP="002E7E34">
      <w:pPr>
        <w:pStyle w:val="ListParagraph"/>
        <w:numPr>
          <w:ilvl w:val="1"/>
          <w:numId w:val="6"/>
        </w:numPr>
        <w:jc w:val="both"/>
      </w:pPr>
      <w:r>
        <w:t xml:space="preserve">Demand and price for government bonds will </w:t>
      </w:r>
      <w:r w:rsidR="00CF72C9">
        <w:t>rise</w:t>
      </w:r>
    </w:p>
    <w:p w14:paraId="56F86005" w14:textId="74F70CE0" w:rsidR="008241E8" w:rsidRDefault="008241E8" w:rsidP="008241E8">
      <w:pPr>
        <w:pStyle w:val="ListParagraph"/>
        <w:numPr>
          <w:ilvl w:val="0"/>
          <w:numId w:val="6"/>
        </w:numPr>
        <w:jc w:val="both"/>
      </w:pPr>
      <w:r>
        <w:t xml:space="preserve">Credit (Corporate bonds) to go in </w:t>
      </w:r>
      <w:r w:rsidR="00CF72C9">
        <w:t>a downward</w:t>
      </w:r>
      <w:r>
        <w:t xml:space="preserve"> direction</w:t>
      </w:r>
    </w:p>
    <w:p w14:paraId="3639EF28" w14:textId="77777777" w:rsidR="00A35922" w:rsidRDefault="00CF72C9" w:rsidP="00CF72C9">
      <w:pPr>
        <w:pStyle w:val="ListParagraph"/>
        <w:numPr>
          <w:ilvl w:val="1"/>
          <w:numId w:val="6"/>
        </w:numPr>
        <w:jc w:val="both"/>
      </w:pPr>
      <w:r>
        <w:t>Default risk increase</w:t>
      </w:r>
    </w:p>
    <w:p w14:paraId="49B6DE99" w14:textId="655F4F64" w:rsidR="00CF72C9" w:rsidRDefault="00A35922" w:rsidP="00CF72C9">
      <w:pPr>
        <w:pStyle w:val="ListParagraph"/>
        <w:numPr>
          <w:ilvl w:val="1"/>
          <w:numId w:val="6"/>
        </w:numPr>
        <w:jc w:val="both"/>
      </w:pPr>
      <w:r>
        <w:t>D</w:t>
      </w:r>
      <w:r w:rsidR="00CF72C9">
        <w:t>emand and price for corporate bonds will decline</w:t>
      </w:r>
    </w:p>
    <w:p w14:paraId="7E30827F" w14:textId="4A8AA13C" w:rsidR="002E7E34" w:rsidRDefault="008241E8" w:rsidP="008241E8">
      <w:pPr>
        <w:pStyle w:val="ListParagraph"/>
        <w:numPr>
          <w:ilvl w:val="0"/>
          <w:numId w:val="6"/>
        </w:numPr>
        <w:jc w:val="both"/>
      </w:pPr>
      <w:r>
        <w:t xml:space="preserve">Commodities </w:t>
      </w:r>
      <w:r w:rsidR="00CF72C9">
        <w:t>can go in an upward or downward direction</w:t>
      </w:r>
    </w:p>
    <w:p w14:paraId="7A86FCFD" w14:textId="1631707A" w:rsidR="000B5449" w:rsidRDefault="000B5449" w:rsidP="002E7E34">
      <w:pPr>
        <w:pStyle w:val="ListParagraph"/>
        <w:numPr>
          <w:ilvl w:val="1"/>
          <w:numId w:val="6"/>
        </w:numPr>
        <w:jc w:val="both"/>
      </w:pPr>
      <w:r>
        <w:t xml:space="preserve">Reduced US production </w:t>
      </w:r>
      <w:r>
        <w:sym w:font="Wingdings" w:char="F0E0"/>
      </w:r>
      <w:r>
        <w:t xml:space="preserve"> reduced trade</w:t>
      </w:r>
      <w:r w:rsidR="00A35922">
        <w:t xml:space="preserve"> activities</w:t>
      </w:r>
      <w:r>
        <w:t xml:space="preserve"> involving USD </w:t>
      </w:r>
      <w:r>
        <w:sym w:font="Wingdings" w:char="F0E0"/>
      </w:r>
      <w:r>
        <w:t xml:space="preserve"> </w:t>
      </w:r>
      <w:r w:rsidR="00A35922">
        <w:t>Lower</w:t>
      </w:r>
      <w:r>
        <w:t xml:space="preserve"> demand for USD</w:t>
      </w:r>
    </w:p>
    <w:p w14:paraId="519E7269" w14:textId="647E5A5A" w:rsidR="000B5449" w:rsidRDefault="000B5449" w:rsidP="000B5449">
      <w:pPr>
        <w:pStyle w:val="ListParagraph"/>
        <w:numPr>
          <w:ilvl w:val="1"/>
          <w:numId w:val="6"/>
        </w:numPr>
        <w:jc w:val="both"/>
      </w:pPr>
      <w:r>
        <w:t xml:space="preserve">Lower rates </w:t>
      </w:r>
      <w:r w:rsidR="00A35922">
        <w:t xml:space="preserve">also </w:t>
      </w:r>
      <w:r>
        <w:t xml:space="preserve">translate into a weaker USD </w:t>
      </w:r>
    </w:p>
    <w:p w14:paraId="5642BF1E" w14:textId="312D8155" w:rsidR="002E7E34" w:rsidRDefault="002E7E34" w:rsidP="002E7E34">
      <w:pPr>
        <w:pStyle w:val="ListParagraph"/>
        <w:numPr>
          <w:ilvl w:val="1"/>
          <w:numId w:val="6"/>
        </w:numPr>
        <w:jc w:val="both"/>
      </w:pPr>
      <w:r>
        <w:t>Investors</w:t>
      </w:r>
      <w:r w:rsidR="00CF72C9">
        <w:t xml:space="preserve"> will </w:t>
      </w:r>
      <w:r>
        <w:t>buy an alternative safe asset: Gold</w:t>
      </w:r>
      <w:r w:rsidR="00A35922">
        <w:t xml:space="preserve"> (</w:t>
      </w:r>
      <w:r w:rsidR="00CF72C9">
        <w:t>increased demand</w:t>
      </w:r>
      <w:r w:rsidR="00A35922">
        <w:t xml:space="preserve"> for commodities</w:t>
      </w:r>
      <w:r w:rsidR="00CF72C9">
        <w:t>)</w:t>
      </w:r>
    </w:p>
    <w:p w14:paraId="2E046AC7" w14:textId="44E397C2" w:rsidR="00CF72C9" w:rsidRDefault="00CF72C9" w:rsidP="008241E8">
      <w:pPr>
        <w:pStyle w:val="ListParagraph"/>
        <w:numPr>
          <w:ilvl w:val="1"/>
          <w:numId w:val="6"/>
        </w:numPr>
        <w:jc w:val="both"/>
      </w:pPr>
      <w:r>
        <w:t xml:space="preserve">But there might be lower demand for other commodities such as precious metals and oil </w:t>
      </w:r>
      <w:r>
        <w:sym w:font="Wingdings" w:char="F0E0"/>
      </w:r>
      <w:r>
        <w:t xml:space="preserve"> which can lower commodities as an asset class</w:t>
      </w:r>
    </w:p>
    <w:p w14:paraId="7A609FA7" w14:textId="77777777" w:rsidR="000B5449" w:rsidRDefault="000B5449" w:rsidP="000B5449">
      <w:pPr>
        <w:jc w:val="both"/>
      </w:pPr>
    </w:p>
    <w:p w14:paraId="5676826A" w14:textId="77777777" w:rsidR="00AD5401" w:rsidRDefault="00AD5401">
      <w:pPr>
        <w:rPr>
          <w:b/>
          <w:bCs/>
        </w:rPr>
      </w:pPr>
      <w:r>
        <w:rPr>
          <w:b/>
          <w:bCs/>
        </w:rPr>
        <w:br w:type="page"/>
      </w:r>
    </w:p>
    <w:p w14:paraId="12A5EE10" w14:textId="44949480" w:rsidR="00CF72C9" w:rsidRPr="00AD5401" w:rsidRDefault="00CF72C9" w:rsidP="00AD5401">
      <w:pPr>
        <w:jc w:val="both"/>
        <w:rPr>
          <w:b/>
          <w:bCs/>
        </w:rPr>
      </w:pPr>
      <w:r w:rsidRPr="00AD5401">
        <w:rPr>
          <w:b/>
          <w:bCs/>
        </w:rPr>
        <w:lastRenderedPageBreak/>
        <w:t>Question 5</w:t>
      </w:r>
      <w:r w:rsidR="00AD5401" w:rsidRPr="00AD5401">
        <w:rPr>
          <w:b/>
          <w:bCs/>
        </w:rPr>
        <w:t xml:space="preserve"> Macro Regimes</w:t>
      </w:r>
    </w:p>
    <w:p w14:paraId="3A8D1CFA" w14:textId="3C5647D5" w:rsidR="00AD5401" w:rsidRDefault="00D84DF7" w:rsidP="00AD5401">
      <w:pPr>
        <w:jc w:val="both"/>
      </w:pPr>
      <w:r w:rsidRPr="00D84DF7">
        <w:rPr>
          <w:noProof/>
        </w:rPr>
        <w:drawing>
          <wp:inline distT="0" distB="0" distL="0" distR="0" wp14:anchorId="550E996F" wp14:editId="7F7CF0C9">
            <wp:extent cx="5943600" cy="2708910"/>
            <wp:effectExtent l="0" t="0" r="0" b="0"/>
            <wp:docPr id="283185532" name="Picture 1"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85532" name="Picture 1" descr="A graph showing the growth of the stock market&#10;&#10;AI-generated content may be incorrect."/>
                    <pic:cNvPicPr/>
                  </pic:nvPicPr>
                  <pic:blipFill>
                    <a:blip r:embed="rId10"/>
                    <a:stretch>
                      <a:fillRect/>
                    </a:stretch>
                  </pic:blipFill>
                  <pic:spPr>
                    <a:xfrm>
                      <a:off x="0" y="0"/>
                      <a:ext cx="5943600" cy="2708910"/>
                    </a:xfrm>
                    <a:prstGeom prst="rect">
                      <a:avLst/>
                    </a:prstGeom>
                  </pic:spPr>
                </pic:pic>
              </a:graphicData>
            </a:graphic>
          </wp:inline>
        </w:drawing>
      </w:r>
    </w:p>
    <w:p w14:paraId="07B8EE52" w14:textId="77777777" w:rsidR="00AD5401" w:rsidRDefault="00AD5401" w:rsidP="00AD5401">
      <w:pPr>
        <w:jc w:val="both"/>
      </w:pPr>
    </w:p>
    <w:p w14:paraId="5C9B870B" w14:textId="5032E242" w:rsidR="00AD5401" w:rsidRDefault="00AD5401" w:rsidP="00AD5401">
      <w:pPr>
        <w:jc w:val="both"/>
      </w:pPr>
      <w:r>
        <w:t>Period</w:t>
      </w:r>
      <w:r w:rsidR="00C31B09">
        <w:t>s of</w:t>
      </w:r>
      <w:r>
        <w:t xml:space="preserve"> sustained economic growth (</w:t>
      </w:r>
      <w:r w:rsidR="00C31B09">
        <w:t>Low</w:t>
      </w:r>
      <w:r>
        <w:t xml:space="preserve"> rates environment, followed by a rising rate period</w:t>
      </w:r>
      <w:r w:rsidR="00A35922">
        <w:t>, and US production level is increasing</w:t>
      </w:r>
      <w:r>
        <w:t>):</w:t>
      </w:r>
    </w:p>
    <w:p w14:paraId="43E94A65" w14:textId="1B4769D1" w:rsidR="00582BBC" w:rsidRDefault="00D84DF7" w:rsidP="00AD5401">
      <w:pPr>
        <w:pStyle w:val="ListParagraph"/>
        <w:numPr>
          <w:ilvl w:val="0"/>
          <w:numId w:val="10"/>
        </w:numPr>
        <w:jc w:val="both"/>
      </w:pPr>
      <w:r>
        <w:t>1995-01-01 – 200</w:t>
      </w:r>
      <w:r w:rsidR="00A35922">
        <w:t>0</w:t>
      </w:r>
      <w:r>
        <w:t>-0</w:t>
      </w:r>
      <w:r w:rsidR="00A35922">
        <w:t>4</w:t>
      </w:r>
      <w:r>
        <w:t>-01</w:t>
      </w:r>
    </w:p>
    <w:p w14:paraId="44AB20FC" w14:textId="054A7525" w:rsidR="00582BBC" w:rsidRDefault="00D84DF7" w:rsidP="00582BBC">
      <w:pPr>
        <w:ind w:left="360" w:firstLine="360"/>
        <w:jc w:val="both"/>
      </w:pPr>
      <w:r>
        <w:t>Dotcom bubble, fueled by the rise of internet and telecom companies</w:t>
      </w:r>
    </w:p>
    <w:p w14:paraId="1F532174" w14:textId="028D0C2E" w:rsidR="00582BBC" w:rsidRPr="00582BBC" w:rsidRDefault="00AD5401" w:rsidP="00AD5401">
      <w:pPr>
        <w:pStyle w:val="ListParagraph"/>
        <w:numPr>
          <w:ilvl w:val="0"/>
          <w:numId w:val="10"/>
        </w:numPr>
        <w:jc w:val="both"/>
      </w:pPr>
      <w:r w:rsidRPr="00582BBC">
        <w:t xml:space="preserve">2003-09-01 </w:t>
      </w:r>
      <w:r w:rsidR="00C31B09" w:rsidRPr="00582BBC">
        <w:t>–</w:t>
      </w:r>
      <w:r w:rsidRPr="00582BBC">
        <w:t xml:space="preserve"> 2007-07-01</w:t>
      </w:r>
    </w:p>
    <w:p w14:paraId="10931112" w14:textId="1CF52FF0" w:rsidR="00582BBC" w:rsidRDefault="00AD5401" w:rsidP="00582BBC">
      <w:pPr>
        <w:pStyle w:val="ListParagraph"/>
        <w:jc w:val="both"/>
      </w:pPr>
      <w:r>
        <w:t xml:space="preserve">Economic boom supported by Mortgage-Back Securities </w:t>
      </w:r>
      <w:r w:rsidR="00582BBC">
        <w:t xml:space="preserve">being issued and traded by banks and insurance companies, </w:t>
      </w:r>
      <w:r>
        <w:t>and the rise in home prices</w:t>
      </w:r>
    </w:p>
    <w:p w14:paraId="6DDE83D2" w14:textId="1F398827" w:rsidR="00582BBC" w:rsidRDefault="00AD5401" w:rsidP="00AD5401">
      <w:pPr>
        <w:pStyle w:val="ListParagraph"/>
        <w:numPr>
          <w:ilvl w:val="0"/>
          <w:numId w:val="10"/>
        </w:numPr>
        <w:jc w:val="both"/>
      </w:pPr>
      <w:r>
        <w:t xml:space="preserve">2009-07-01 </w:t>
      </w:r>
      <w:r w:rsidR="00C31B09">
        <w:t>–</w:t>
      </w:r>
      <w:r>
        <w:t xml:space="preserve"> 2019-04-01</w:t>
      </w:r>
    </w:p>
    <w:p w14:paraId="289BE128" w14:textId="71AC773F" w:rsidR="00582BBC" w:rsidRDefault="00AD5401" w:rsidP="00582BBC">
      <w:pPr>
        <w:pStyle w:val="ListParagraph"/>
        <w:jc w:val="both"/>
      </w:pPr>
      <w:r>
        <w:t>Near 0% interest rate, extremely low borrowing cost, high liquidity</w:t>
      </w:r>
    </w:p>
    <w:p w14:paraId="58418C06" w14:textId="0F79DBF4" w:rsidR="00582BBC" w:rsidRDefault="00AD5401" w:rsidP="00AD5401">
      <w:pPr>
        <w:pStyle w:val="ListParagraph"/>
        <w:numPr>
          <w:ilvl w:val="0"/>
          <w:numId w:val="10"/>
        </w:numPr>
        <w:jc w:val="both"/>
      </w:pPr>
      <w:r>
        <w:t xml:space="preserve">2020-10-01 </w:t>
      </w:r>
      <w:r w:rsidR="00C31B09">
        <w:t>–</w:t>
      </w:r>
      <w:r>
        <w:t xml:space="preserve"> 2024-08-01</w:t>
      </w:r>
    </w:p>
    <w:p w14:paraId="4A4341B5" w14:textId="0C73F9C4" w:rsidR="00C31B09" w:rsidRDefault="00AD5401" w:rsidP="00582BBC">
      <w:pPr>
        <w:pStyle w:val="ListParagraph"/>
        <w:jc w:val="both"/>
      </w:pPr>
      <w:r>
        <w:t>Government stimulus checks for US citizens, rise of retail investors</w:t>
      </w:r>
    </w:p>
    <w:p w14:paraId="5DB1C825" w14:textId="77777777" w:rsidR="00C31B09" w:rsidRDefault="00C31B09" w:rsidP="00C31B09">
      <w:pPr>
        <w:jc w:val="both"/>
      </w:pPr>
    </w:p>
    <w:p w14:paraId="76BAE24B" w14:textId="24D3BC4D" w:rsidR="00582BBC" w:rsidRDefault="00582BBC" w:rsidP="00582BBC">
      <w:pPr>
        <w:jc w:val="both"/>
      </w:pPr>
      <w:r>
        <w:t xml:space="preserve">Periods of market downturns (Fed is lowering interest rate and US production level </w:t>
      </w:r>
      <w:r w:rsidR="00A35922">
        <w:t>is falling</w:t>
      </w:r>
      <w:r>
        <w:t>):</w:t>
      </w:r>
    </w:p>
    <w:p w14:paraId="7A8849A9" w14:textId="77777777" w:rsidR="00582BBC" w:rsidRDefault="00582BBC" w:rsidP="00582BBC">
      <w:pPr>
        <w:pStyle w:val="ListParagraph"/>
        <w:numPr>
          <w:ilvl w:val="0"/>
          <w:numId w:val="8"/>
        </w:numPr>
        <w:jc w:val="both"/>
      </w:pPr>
      <w:r>
        <w:t>2000-12-01 – 2002-07-01</w:t>
      </w:r>
    </w:p>
    <w:p w14:paraId="597EC052" w14:textId="77777777" w:rsidR="00582BBC" w:rsidRDefault="00582BBC" w:rsidP="00582BBC">
      <w:pPr>
        <w:pStyle w:val="ListParagraph"/>
        <w:jc w:val="both"/>
      </w:pPr>
      <w:r>
        <w:t>Dot-com Bubble Burst (recession)</w:t>
      </w:r>
    </w:p>
    <w:p w14:paraId="6EA4E13A" w14:textId="77777777" w:rsidR="00582BBC" w:rsidRDefault="00582BBC" w:rsidP="00582BBC">
      <w:pPr>
        <w:pStyle w:val="ListParagraph"/>
        <w:numPr>
          <w:ilvl w:val="0"/>
          <w:numId w:val="8"/>
        </w:numPr>
        <w:jc w:val="both"/>
      </w:pPr>
      <w:r>
        <w:t>2008-01-01 – 2009-06-01</w:t>
      </w:r>
    </w:p>
    <w:p w14:paraId="46616D4C" w14:textId="77777777" w:rsidR="00582BBC" w:rsidRDefault="00582BBC" w:rsidP="00582BBC">
      <w:pPr>
        <w:pStyle w:val="ListParagraph"/>
        <w:jc w:val="both"/>
      </w:pPr>
      <w:r>
        <w:t>Global Financial Crisis (recession)</w:t>
      </w:r>
    </w:p>
    <w:p w14:paraId="22AAE6C9" w14:textId="77777777" w:rsidR="00582BBC" w:rsidRDefault="00582BBC" w:rsidP="00582BBC">
      <w:pPr>
        <w:pStyle w:val="ListParagraph"/>
        <w:numPr>
          <w:ilvl w:val="0"/>
          <w:numId w:val="8"/>
        </w:numPr>
        <w:jc w:val="both"/>
      </w:pPr>
      <w:r>
        <w:t>2020-01-30 – 2020-06-01</w:t>
      </w:r>
    </w:p>
    <w:p w14:paraId="11646F42" w14:textId="77777777" w:rsidR="00582BBC" w:rsidRDefault="00582BBC" w:rsidP="00582BBC">
      <w:pPr>
        <w:pStyle w:val="ListParagraph"/>
        <w:jc w:val="both"/>
      </w:pPr>
      <w:r>
        <w:t>COVID-19 Pandemic (recession)</w:t>
      </w:r>
    </w:p>
    <w:p w14:paraId="6ED2900C" w14:textId="16CB68C7" w:rsidR="00C31B09" w:rsidRDefault="00582BBC">
      <w:pPr>
        <w:rPr>
          <w:b/>
          <w:bCs/>
        </w:rPr>
      </w:pPr>
      <w:r>
        <w:rPr>
          <w:b/>
          <w:bCs/>
        </w:rPr>
        <w:br w:type="page"/>
      </w:r>
    </w:p>
    <w:p w14:paraId="2FC93D9B" w14:textId="58EEB044" w:rsidR="00C31B09" w:rsidRPr="00C31B09" w:rsidRDefault="00C31B09" w:rsidP="00C31B09">
      <w:pPr>
        <w:jc w:val="both"/>
        <w:rPr>
          <w:b/>
          <w:bCs/>
        </w:rPr>
      </w:pPr>
      <w:r w:rsidRPr="00C31B09">
        <w:rPr>
          <w:b/>
          <w:bCs/>
        </w:rPr>
        <w:lastRenderedPageBreak/>
        <w:t>Question 6</w:t>
      </w:r>
      <w:r>
        <w:rPr>
          <w:b/>
          <w:bCs/>
        </w:rPr>
        <w:t>: Macro Asset Performance during Different Regimes</w:t>
      </w:r>
    </w:p>
    <w:p w14:paraId="47FDD2F1" w14:textId="77777777" w:rsidR="00C31B09" w:rsidRDefault="00C31B09" w:rsidP="00C31B09">
      <w:pPr>
        <w:jc w:val="both"/>
      </w:pPr>
    </w:p>
    <w:p w14:paraId="63278DDF" w14:textId="30BF06DD" w:rsidR="00AD5401" w:rsidRDefault="00D84DF7" w:rsidP="00C31B09">
      <w:pPr>
        <w:jc w:val="both"/>
      </w:pPr>
      <w:r>
        <w:rPr>
          <w:noProof/>
        </w:rPr>
        <w:drawing>
          <wp:inline distT="0" distB="0" distL="0" distR="0" wp14:anchorId="2B7710FF" wp14:editId="733415D0">
            <wp:extent cx="5943600" cy="1426210"/>
            <wp:effectExtent l="0" t="0" r="0" b="0"/>
            <wp:docPr id="1678197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7016"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6210"/>
                    </a:xfrm>
                    <a:prstGeom prst="rect">
                      <a:avLst/>
                    </a:prstGeom>
                  </pic:spPr>
                </pic:pic>
              </a:graphicData>
            </a:graphic>
          </wp:inline>
        </w:drawing>
      </w:r>
    </w:p>
    <w:p w14:paraId="49E5733D" w14:textId="77777777" w:rsidR="00C31B09" w:rsidRDefault="00C31B09" w:rsidP="00C31B09">
      <w:pPr>
        <w:jc w:val="both"/>
      </w:pPr>
    </w:p>
    <w:p w14:paraId="0462F4FF" w14:textId="5EFAAB4D" w:rsidR="00D84DF7" w:rsidRDefault="00C31B09" w:rsidP="00C31B09">
      <w:pPr>
        <w:ind w:firstLine="720"/>
        <w:jc w:val="both"/>
      </w:pPr>
      <w:r>
        <w:t xml:space="preserve">During recessions, the mean return for equities and </w:t>
      </w:r>
      <w:r w:rsidR="00D84DF7">
        <w:t>commodities</w:t>
      </w:r>
      <w:r>
        <w:t xml:space="preserve"> are always negative. This makes sense as companies become more conservative in their business expansions, earnings, profit, P/E ratio all fall. Additionally, </w:t>
      </w:r>
      <w:r w:rsidR="00D84DF7">
        <w:t>reduced</w:t>
      </w:r>
      <w:r>
        <w:t xml:space="preserve"> economic activity</w:t>
      </w:r>
      <w:r w:rsidR="00D84DF7">
        <w:t xml:space="preserve"> resulted in a </w:t>
      </w:r>
      <w:r w:rsidR="000C6F1A">
        <w:t>lower</w:t>
      </w:r>
      <w:r>
        <w:t xml:space="preserve"> demand for industrial commodities such as precious metals and oil, causing commodities to have negative returns. </w:t>
      </w:r>
    </w:p>
    <w:p w14:paraId="70F13E75" w14:textId="44D97C61" w:rsidR="00C31B09" w:rsidRDefault="00C31B09" w:rsidP="00C31B09">
      <w:pPr>
        <w:ind w:firstLine="720"/>
        <w:jc w:val="both"/>
      </w:pPr>
      <w:r>
        <w:t>During economic booms, returns for equities are soaring high, as companies conduct major acquisitions and invest in new products and research. An exception can be made for commodities that is showing around 0% return post 2008. This can be explained by the 2014 – 2016 oil price plunge</w:t>
      </w:r>
      <w:r w:rsidR="000C6F1A">
        <w:t xml:space="preserve"> (pushing commodities’ price and return down)</w:t>
      </w:r>
      <w:r>
        <w:t xml:space="preserve">. </w:t>
      </w:r>
    </w:p>
    <w:p w14:paraId="3AE3598F" w14:textId="30761007" w:rsidR="00C31B09" w:rsidRDefault="00C31B09" w:rsidP="00C31B09">
      <w:pPr>
        <w:ind w:firstLine="720"/>
        <w:jc w:val="both"/>
      </w:pPr>
      <w:r>
        <w:t>Most of the time, government bonds are showing positive returns. However, as expected, the</w:t>
      </w:r>
      <w:r w:rsidR="00D84DF7">
        <w:t>ir</w:t>
      </w:r>
      <w:r>
        <w:t xml:space="preserve"> returns are </w:t>
      </w:r>
      <w:r w:rsidR="00D84DF7">
        <w:t xml:space="preserve">generally </w:t>
      </w:r>
      <w:r>
        <w:t xml:space="preserve">higher during periods of recessions compared to returns during economic booms. During periods of high volatility, investors buy long-dated Treasuries which are considered safe-haven assets, driving up their price and returns. </w:t>
      </w:r>
    </w:p>
    <w:p w14:paraId="1DD5E5A1" w14:textId="43CC8B03" w:rsidR="00C31B09" w:rsidRDefault="00D84DF7" w:rsidP="00C31B09">
      <w:pPr>
        <w:ind w:firstLine="720"/>
        <w:jc w:val="both"/>
      </w:pPr>
      <w:r>
        <w:t>Unsurprisingly</w:t>
      </w:r>
      <w:r w:rsidR="000C6F1A">
        <w:t>,</w:t>
      </w:r>
      <w:r>
        <w:t xml:space="preserve"> </w:t>
      </w:r>
      <w:r w:rsidR="00C31B09">
        <w:t>corporate bonds</w:t>
      </w:r>
      <w:r>
        <w:t xml:space="preserve"> </w:t>
      </w:r>
      <w:r w:rsidR="00C31B09">
        <w:t>are showing low and negative returns during recessions. As default rate</w:t>
      </w:r>
      <w:r>
        <w:t>s</w:t>
      </w:r>
      <w:r w:rsidR="00C31B09">
        <w:t xml:space="preserve"> increase</w:t>
      </w:r>
      <w:r w:rsidR="000C6F1A">
        <w:t xml:space="preserve">d </w:t>
      </w:r>
      <w:r w:rsidR="00C31B09">
        <w:t>for various companies (</w:t>
      </w:r>
      <w:r w:rsidR="000C6F1A">
        <w:t xml:space="preserve">due to </w:t>
      </w:r>
      <w:r w:rsidR="00C31B09">
        <w:t>lower sales and profit margin), the demand for those corporate bonds f</w:t>
      </w:r>
      <w:r>
        <w:t>e</w:t>
      </w:r>
      <w:r w:rsidR="00C31B09">
        <w:t xml:space="preserve">ll. During periods of growth, investors are risk-takers and are inclined to invest in riskier assets, driving up the demand and thus, return for credit. </w:t>
      </w:r>
    </w:p>
    <w:p w14:paraId="6EC89487" w14:textId="77777777" w:rsidR="00C31B09" w:rsidRDefault="00C31B09" w:rsidP="00C31B09">
      <w:pPr>
        <w:ind w:firstLine="720"/>
        <w:jc w:val="both"/>
      </w:pPr>
    </w:p>
    <w:p w14:paraId="5D6F3650" w14:textId="54B153B7" w:rsidR="00C31B09" w:rsidRPr="00C31B09" w:rsidRDefault="00C31B09" w:rsidP="00C31B09">
      <w:pPr>
        <w:jc w:val="both"/>
        <w:rPr>
          <w:b/>
          <w:bCs/>
        </w:rPr>
      </w:pPr>
      <w:r w:rsidRPr="00C31B09">
        <w:rPr>
          <w:b/>
          <w:bCs/>
        </w:rPr>
        <w:t>Question 7</w:t>
      </w:r>
    </w:p>
    <w:p w14:paraId="4C4615F1" w14:textId="17225536" w:rsidR="00C31B09" w:rsidRDefault="00C31B09" w:rsidP="00C31B09">
      <w:pPr>
        <w:jc w:val="both"/>
      </w:pPr>
      <w:r>
        <w:tab/>
        <w:t xml:space="preserve">For each macro regime, we must use different risk metrics to capture the changing volatility. During economic busts such as the September of 2008 and March of 2020, there </w:t>
      </w:r>
      <w:r w:rsidR="000C6F1A">
        <w:t>was</w:t>
      </w:r>
      <w:r>
        <w:t xml:space="preserve"> significant volatility in the market. Investors should reduce their capital allocation from equities (which </w:t>
      </w:r>
      <w:r w:rsidR="001D3D83">
        <w:t>were</w:t>
      </w:r>
      <w:r>
        <w:t xml:space="preserve"> showing low returns and high volatility) and move them to bonds. On the other hand, during a</w:t>
      </w:r>
      <w:r w:rsidR="000C6F1A">
        <w:t xml:space="preserve">n </w:t>
      </w:r>
      <w:r>
        <w:t xml:space="preserve">economic boom, </w:t>
      </w:r>
      <w:r w:rsidR="000C6F1A">
        <w:t>when there’s a higher liquidity and</w:t>
      </w:r>
      <w:r>
        <w:t xml:space="preserve"> equity returns are risin</w:t>
      </w:r>
      <w:r w:rsidR="000C6F1A">
        <w:t>g</w:t>
      </w:r>
      <w:r>
        <w:t xml:space="preserve">, investors should move towards equities. One way to capture this dynamic volatility is by using a trailing </w:t>
      </w:r>
      <w:r w:rsidR="000C6F1A">
        <w:t>one</w:t>
      </w:r>
      <w:r>
        <w:t>-year return volatility in a risk-parity strategy.</w:t>
      </w:r>
    </w:p>
    <w:p w14:paraId="42A2F567" w14:textId="6DC2DB40" w:rsidR="00C31B09" w:rsidRDefault="00C31B09" w:rsidP="00C31B09">
      <w:pPr>
        <w:jc w:val="both"/>
      </w:pPr>
      <w:r>
        <w:tab/>
        <w:t xml:space="preserve">This idea was popularized by Ray Dalio from Bridgewater Associates. Essentially, we allocate more resources towards assets that have lower volatility. </w:t>
      </w:r>
      <w:r w:rsidR="000C6F1A">
        <w:t>However, as</w:t>
      </w:r>
      <w:r>
        <w:t xml:space="preserve"> volatility changes </w:t>
      </w:r>
      <w:r w:rsidR="000C6F1A">
        <w:t>in</w:t>
      </w:r>
      <w:r>
        <w:t xml:space="preserve"> different regime</w:t>
      </w:r>
      <w:r w:rsidR="000C6F1A">
        <w:t>s</w:t>
      </w:r>
      <w:r>
        <w:t xml:space="preserve">, </w:t>
      </w:r>
      <w:r w:rsidR="000C6F1A">
        <w:t>the asset</w:t>
      </w:r>
      <w:r>
        <w:t xml:space="preserve"> allocation</w:t>
      </w:r>
      <w:r w:rsidR="000C6F1A">
        <w:t xml:space="preserve"> process</w:t>
      </w:r>
      <w:r>
        <w:t xml:space="preserve"> should be dynamic: </w:t>
      </w:r>
    </w:p>
    <w:p w14:paraId="5982502E" w14:textId="65E50EB2" w:rsidR="00C31B09" w:rsidRDefault="000C6F1A" w:rsidP="00C31B09">
      <w:pPr>
        <w:pStyle w:val="ListParagraph"/>
        <w:numPr>
          <w:ilvl w:val="0"/>
          <w:numId w:val="11"/>
        </w:numPr>
        <w:jc w:val="both"/>
      </w:pPr>
      <w:r>
        <w:t>During</w:t>
      </w:r>
      <w:r w:rsidR="00C31B09">
        <w:t xml:space="preserve"> a recession, equities are riskier, give more allocation towards bonds</w:t>
      </w:r>
      <w:r w:rsidR="00582BBC">
        <w:t>.</w:t>
      </w:r>
    </w:p>
    <w:p w14:paraId="2C8B7E5B" w14:textId="3302C8B2" w:rsidR="00A710D2" w:rsidRDefault="000C6F1A" w:rsidP="00D84DF7">
      <w:pPr>
        <w:pStyle w:val="ListParagraph"/>
        <w:numPr>
          <w:ilvl w:val="0"/>
          <w:numId w:val="11"/>
        </w:numPr>
        <w:jc w:val="both"/>
      </w:pPr>
      <w:r>
        <w:t>During</w:t>
      </w:r>
      <w:r w:rsidR="00C31B09">
        <w:t xml:space="preserve"> an economic boom, equities are showing lower levels of volatility, give higher allocation to equitie</w:t>
      </w:r>
      <w:r w:rsidR="00D84DF7">
        <w:t>s</w:t>
      </w:r>
      <w:r w:rsidR="00582BBC">
        <w:t>.</w:t>
      </w:r>
    </w:p>
    <w:p w14:paraId="26EEC963" w14:textId="42C4CF2C" w:rsidR="00C31B09" w:rsidRPr="00A710D2" w:rsidRDefault="00A710D2" w:rsidP="00A710D2">
      <w:pPr>
        <w:jc w:val="center"/>
        <w:rPr>
          <w:b/>
          <w:bCs/>
        </w:rPr>
      </w:pPr>
      <w:r w:rsidRPr="00A710D2">
        <w:rPr>
          <w:b/>
          <w:bCs/>
        </w:rPr>
        <w:lastRenderedPageBreak/>
        <w:t>Section III: Risk Parity Fund</w:t>
      </w:r>
    </w:p>
    <w:p w14:paraId="7B51075E" w14:textId="77777777" w:rsidR="00A710D2" w:rsidRDefault="00A710D2" w:rsidP="00C31B09">
      <w:pPr>
        <w:jc w:val="both"/>
      </w:pPr>
    </w:p>
    <w:p w14:paraId="2697A11C" w14:textId="2B7977F9" w:rsidR="00A710D2" w:rsidRDefault="00A710D2" w:rsidP="00C31B09">
      <w:pPr>
        <w:jc w:val="both"/>
        <w:rPr>
          <w:b/>
          <w:bCs/>
        </w:rPr>
      </w:pPr>
      <w:r w:rsidRPr="00A710D2">
        <w:rPr>
          <w:b/>
          <w:bCs/>
        </w:rPr>
        <w:t>Question 8: Correlations between Equities and Bonds</w:t>
      </w:r>
    </w:p>
    <w:p w14:paraId="05513719" w14:textId="77777777" w:rsidR="00A710D2" w:rsidRPr="00A710D2" w:rsidRDefault="00A710D2" w:rsidP="00C31B09">
      <w:pPr>
        <w:jc w:val="both"/>
        <w:rPr>
          <w:b/>
          <w:bCs/>
        </w:rPr>
      </w:pPr>
    </w:p>
    <w:p w14:paraId="57D0BA33" w14:textId="67ECEE60" w:rsidR="00A710D2" w:rsidRDefault="00A710D2" w:rsidP="00C31B09">
      <w:pPr>
        <w:jc w:val="both"/>
      </w:pPr>
      <w:r w:rsidRPr="00A710D2">
        <w:rPr>
          <w:noProof/>
        </w:rPr>
        <w:drawing>
          <wp:inline distT="0" distB="0" distL="0" distR="0" wp14:anchorId="0781B87D" wp14:editId="33F6B006">
            <wp:extent cx="5943600" cy="3258185"/>
            <wp:effectExtent l="0" t="0" r="0" b="5715"/>
            <wp:docPr id="1914909875"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9875" name="Picture 1" descr="A graph with blue lines&#10;&#10;AI-generated content may be incorrect."/>
                    <pic:cNvPicPr/>
                  </pic:nvPicPr>
                  <pic:blipFill>
                    <a:blip r:embed="rId12"/>
                    <a:stretch>
                      <a:fillRect/>
                    </a:stretch>
                  </pic:blipFill>
                  <pic:spPr>
                    <a:xfrm>
                      <a:off x="0" y="0"/>
                      <a:ext cx="5943600" cy="3258185"/>
                    </a:xfrm>
                    <a:prstGeom prst="rect">
                      <a:avLst/>
                    </a:prstGeom>
                  </pic:spPr>
                </pic:pic>
              </a:graphicData>
            </a:graphic>
          </wp:inline>
        </w:drawing>
      </w:r>
    </w:p>
    <w:p w14:paraId="33D97C43" w14:textId="77777777" w:rsidR="00A710D2" w:rsidRDefault="00A710D2" w:rsidP="00A710D2">
      <w:pPr>
        <w:ind w:firstLine="720"/>
        <w:jc w:val="both"/>
      </w:pPr>
    </w:p>
    <w:p w14:paraId="0F4676C9" w14:textId="0015B320" w:rsidR="00A710D2" w:rsidRDefault="00A710D2" w:rsidP="00A710D2">
      <w:pPr>
        <w:ind w:firstLine="720"/>
        <w:jc w:val="both"/>
      </w:pPr>
      <w:r>
        <w:t xml:space="preserve">The </w:t>
      </w:r>
      <w:r w:rsidR="004A5380">
        <w:t xml:space="preserve">weekly </w:t>
      </w:r>
      <w:r>
        <w:t xml:space="preserve">returns for </w:t>
      </w:r>
      <w:r w:rsidRPr="00A710D2">
        <w:t>US equities and bonds (specifically, high-yield corporate bonds) have a moderate positive correlation with one another, almost 50%</w:t>
      </w:r>
      <w:r w:rsidR="00851978">
        <w:t xml:space="preserve"> </w:t>
      </w:r>
      <w:r>
        <w:t>for the period of 2000 – 2019</w:t>
      </w:r>
      <w:r w:rsidR="004A5380">
        <w:t xml:space="preserve"> (to be exact: </w:t>
      </w:r>
      <w:r w:rsidR="004A5380" w:rsidRPr="004A5380">
        <w:t>48.89</w:t>
      </w:r>
      <w:r w:rsidR="004A5380">
        <w:t>%)</w:t>
      </w:r>
      <w:r>
        <w:t xml:space="preserve">. For the rolling 1-year correlation, we noticed that the correlation revolves around 20 </w:t>
      </w:r>
      <w:r w:rsidR="00851978">
        <w:t>and</w:t>
      </w:r>
      <w:r>
        <w:t xml:space="preserve"> 60%. </w:t>
      </w:r>
      <w:r w:rsidR="00224C5E">
        <w:t>Over time</w:t>
      </w:r>
      <w:r>
        <w:t>, we can see an increasing correlation between stocks and bonds:</w:t>
      </w:r>
    </w:p>
    <w:p w14:paraId="4201927A" w14:textId="5C18E89E" w:rsidR="00A710D2" w:rsidRDefault="00A710D2" w:rsidP="00A710D2">
      <w:pPr>
        <w:pStyle w:val="ListParagraph"/>
        <w:numPr>
          <w:ilvl w:val="0"/>
          <w:numId w:val="12"/>
        </w:numPr>
        <w:jc w:val="both"/>
      </w:pPr>
      <w:r>
        <w:t>For the period of 2010 – 2018, the correlations are between 50% to 60%</w:t>
      </w:r>
    </w:p>
    <w:p w14:paraId="579164C5" w14:textId="4128FA58" w:rsidR="00A710D2" w:rsidRDefault="00A710D2" w:rsidP="00A710D2">
      <w:pPr>
        <w:pStyle w:val="ListParagraph"/>
        <w:numPr>
          <w:ilvl w:val="0"/>
          <w:numId w:val="12"/>
        </w:numPr>
        <w:jc w:val="both"/>
      </w:pPr>
      <w:r>
        <w:t>For the period of 2018 – 2019, the correlations are between 60% to 80%</w:t>
      </w:r>
    </w:p>
    <w:p w14:paraId="2404C58F" w14:textId="77777777" w:rsidR="00A710D2" w:rsidRDefault="00A710D2" w:rsidP="00A710D2">
      <w:pPr>
        <w:jc w:val="both"/>
      </w:pPr>
    </w:p>
    <w:p w14:paraId="048596DC" w14:textId="77777777" w:rsidR="00A710D2" w:rsidRDefault="00A710D2">
      <w:pPr>
        <w:rPr>
          <w:b/>
          <w:bCs/>
        </w:rPr>
      </w:pPr>
      <w:r>
        <w:rPr>
          <w:b/>
          <w:bCs/>
        </w:rPr>
        <w:br w:type="page"/>
      </w:r>
    </w:p>
    <w:p w14:paraId="70802495" w14:textId="7EBF1B41" w:rsidR="00A710D2" w:rsidRDefault="00A710D2" w:rsidP="00A710D2">
      <w:pPr>
        <w:jc w:val="both"/>
        <w:rPr>
          <w:b/>
          <w:bCs/>
        </w:rPr>
      </w:pPr>
      <w:r w:rsidRPr="00A710D2">
        <w:rPr>
          <w:b/>
          <w:bCs/>
        </w:rPr>
        <w:lastRenderedPageBreak/>
        <w:t xml:space="preserve">Question </w:t>
      </w:r>
      <w:r>
        <w:rPr>
          <w:b/>
          <w:bCs/>
        </w:rPr>
        <w:t>9</w:t>
      </w:r>
      <w:r w:rsidRPr="00A710D2">
        <w:rPr>
          <w:b/>
          <w:bCs/>
        </w:rPr>
        <w:t xml:space="preserve">: </w:t>
      </w:r>
      <w:r>
        <w:rPr>
          <w:b/>
          <w:bCs/>
        </w:rPr>
        <w:t>Risk (Volatility)</w:t>
      </w:r>
    </w:p>
    <w:p w14:paraId="2E7DE2D1" w14:textId="707624CC" w:rsidR="00A710D2" w:rsidRDefault="00A710D2" w:rsidP="00A710D2">
      <w:pPr>
        <w:jc w:val="both"/>
      </w:pPr>
      <w:r w:rsidRPr="00A710D2">
        <w:rPr>
          <w:noProof/>
        </w:rPr>
        <w:drawing>
          <wp:inline distT="0" distB="0" distL="0" distR="0" wp14:anchorId="7F6EAB7A" wp14:editId="002FDD26">
            <wp:extent cx="5943600" cy="3258185"/>
            <wp:effectExtent l="0" t="0" r="0" b="5715"/>
            <wp:docPr id="896865354" name="Picture 1" descr="A graph of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65354" name="Picture 1" descr="A graph of orange and blue lines&#10;&#10;AI-generated content may be incorrect."/>
                    <pic:cNvPicPr/>
                  </pic:nvPicPr>
                  <pic:blipFill>
                    <a:blip r:embed="rId13"/>
                    <a:stretch>
                      <a:fillRect/>
                    </a:stretch>
                  </pic:blipFill>
                  <pic:spPr>
                    <a:xfrm>
                      <a:off x="0" y="0"/>
                      <a:ext cx="5943600" cy="3258185"/>
                    </a:xfrm>
                    <a:prstGeom prst="rect">
                      <a:avLst/>
                    </a:prstGeom>
                  </pic:spPr>
                </pic:pic>
              </a:graphicData>
            </a:graphic>
          </wp:inline>
        </w:drawing>
      </w:r>
    </w:p>
    <w:p w14:paraId="148CA494" w14:textId="6978E0AB" w:rsidR="00A710D2" w:rsidRDefault="00A710D2" w:rsidP="001D3D83">
      <w:pPr>
        <w:ind w:firstLine="720"/>
        <w:jc w:val="both"/>
      </w:pPr>
      <w:r>
        <w:t>Over the life of the fund (from 2000 – 2019), the average allocation is 26.71%</w:t>
      </w:r>
      <w:r w:rsidRPr="00A710D2">
        <w:t xml:space="preserve"> </w:t>
      </w:r>
      <w:r>
        <w:t xml:space="preserve">for equities and bonds: 73.29%. This makes sense because most of the time, equities show a higher volatility compared to bonds. The </w:t>
      </w:r>
      <w:r w:rsidR="00224C5E">
        <w:t>average weekly risk of the fund</w:t>
      </w:r>
      <w:r>
        <w:t xml:space="preserve"> is 1.03% (annualized: 7.41%). The average contribution towards volatility for equities is 49.54% whereas from bonds is 49.42%. This is expected as in a risk-parity fund, we are trying to equalize the source of risk so that most of the time, we are capturing the same level of volatility from each asset class. </w:t>
      </w:r>
    </w:p>
    <w:p w14:paraId="5793E3B0" w14:textId="77777777" w:rsidR="00A710D2" w:rsidRDefault="00A710D2" w:rsidP="00A710D2">
      <w:pPr>
        <w:ind w:firstLine="720"/>
      </w:pPr>
    </w:p>
    <w:p w14:paraId="5DD47CF1" w14:textId="2ECE5852" w:rsidR="00A710D2" w:rsidRDefault="00A710D2" w:rsidP="00A710D2">
      <w:r w:rsidRPr="00A710D2">
        <w:rPr>
          <w:noProof/>
        </w:rPr>
        <w:drawing>
          <wp:inline distT="0" distB="0" distL="0" distR="0" wp14:anchorId="3D1F169C" wp14:editId="5A86409E">
            <wp:extent cx="5943600" cy="2951480"/>
            <wp:effectExtent l="0" t="0" r="0" b="0"/>
            <wp:docPr id="201518411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84111" name="Picture 1" descr="A graph with blue and orange lines&#10;&#10;AI-generated content may be incorrect."/>
                    <pic:cNvPicPr/>
                  </pic:nvPicPr>
                  <pic:blipFill>
                    <a:blip r:embed="rId14"/>
                    <a:stretch>
                      <a:fillRect/>
                    </a:stretch>
                  </pic:blipFill>
                  <pic:spPr>
                    <a:xfrm>
                      <a:off x="0" y="0"/>
                      <a:ext cx="5943600" cy="2951480"/>
                    </a:xfrm>
                    <a:prstGeom prst="rect">
                      <a:avLst/>
                    </a:prstGeom>
                  </pic:spPr>
                </pic:pic>
              </a:graphicData>
            </a:graphic>
          </wp:inline>
        </w:drawing>
      </w:r>
    </w:p>
    <w:p w14:paraId="19DF509B" w14:textId="77777777" w:rsidR="00A710D2" w:rsidRDefault="00A710D2" w:rsidP="00A710D2"/>
    <w:p w14:paraId="2BEB4CC3" w14:textId="31058D53" w:rsidR="00A710D2" w:rsidRDefault="00A710D2" w:rsidP="00A710D2">
      <w:pPr>
        <w:jc w:val="both"/>
      </w:pPr>
      <w:r>
        <w:lastRenderedPageBreak/>
        <w:tab/>
        <w:t>The risk-parity strategy is widely followed as it provides investors with a level of certainty of gaining returns in both market downturns and economic boom</w:t>
      </w:r>
      <w:r w:rsidR="00224C5E">
        <w:t>s</w:t>
      </w:r>
      <w:r>
        <w:t xml:space="preserve">. Most investors want a stable portfolio. They want to capture the gains </w:t>
      </w:r>
      <w:r w:rsidR="00224C5E">
        <w:t>from</w:t>
      </w:r>
      <w:r>
        <w:t xml:space="preserve"> equities being in all-time highs, yet to also generate returns that they can be proud of when all other funds are losing money. The risk-parity strategy provides just that. During periods of economic growth, investors are exposed more to equities and receive high returns. During periods of high volatility in the equity markets, they are </w:t>
      </w:r>
      <w:r w:rsidR="003445DB">
        <w:t xml:space="preserve">more </w:t>
      </w:r>
      <w:r>
        <w:t xml:space="preserve">exposed to </w:t>
      </w:r>
      <w:r w:rsidR="003445DB">
        <w:t>less volatile</w:t>
      </w:r>
      <w:r>
        <w:t xml:space="preserve"> assets such as bonds (</w:t>
      </w:r>
      <w:r w:rsidR="003445DB">
        <w:t>e.g.,</w:t>
      </w:r>
      <w:r>
        <w:t xml:space="preserve"> corporate bonds) that can still provide some returns. </w:t>
      </w:r>
    </w:p>
    <w:p w14:paraId="53567159" w14:textId="77777777" w:rsidR="00A710D2" w:rsidRDefault="00A710D2" w:rsidP="00A710D2">
      <w:pPr>
        <w:jc w:val="both"/>
      </w:pPr>
    </w:p>
    <w:p w14:paraId="66D74916" w14:textId="05345D13" w:rsidR="00A710D2" w:rsidRPr="00A710D2" w:rsidRDefault="00A710D2" w:rsidP="003445DB">
      <w:pPr>
        <w:rPr>
          <w:b/>
          <w:bCs/>
        </w:rPr>
      </w:pPr>
      <w:r w:rsidRPr="00A710D2">
        <w:rPr>
          <w:b/>
          <w:bCs/>
        </w:rPr>
        <w:t>Question 10: From 2021 to Present</w:t>
      </w:r>
    </w:p>
    <w:p w14:paraId="476C7CCE" w14:textId="77777777" w:rsidR="00A710D2" w:rsidRDefault="00A710D2" w:rsidP="00A710D2">
      <w:pPr>
        <w:jc w:val="both"/>
      </w:pPr>
    </w:p>
    <w:p w14:paraId="779EC887" w14:textId="273DA0F6" w:rsidR="00A710D2" w:rsidRDefault="00A710D2" w:rsidP="00A710D2">
      <w:pPr>
        <w:jc w:val="both"/>
      </w:pPr>
      <w:r w:rsidRPr="00A710D2">
        <w:rPr>
          <w:noProof/>
        </w:rPr>
        <w:drawing>
          <wp:inline distT="0" distB="0" distL="0" distR="0" wp14:anchorId="0254C634" wp14:editId="6DFD2ADB">
            <wp:extent cx="5943600" cy="2738755"/>
            <wp:effectExtent l="0" t="0" r="0" b="4445"/>
            <wp:docPr id="691063348" name="Picture 1" descr="A graph showing a line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63348" name="Picture 1" descr="A graph showing a line of blue lines&#10;&#10;AI-generated content may be incorrect."/>
                    <pic:cNvPicPr/>
                  </pic:nvPicPr>
                  <pic:blipFill>
                    <a:blip r:embed="rId15"/>
                    <a:stretch>
                      <a:fillRect/>
                    </a:stretch>
                  </pic:blipFill>
                  <pic:spPr>
                    <a:xfrm>
                      <a:off x="0" y="0"/>
                      <a:ext cx="5943600" cy="2738755"/>
                    </a:xfrm>
                    <a:prstGeom prst="rect">
                      <a:avLst/>
                    </a:prstGeom>
                  </pic:spPr>
                </pic:pic>
              </a:graphicData>
            </a:graphic>
          </wp:inline>
        </w:drawing>
      </w:r>
    </w:p>
    <w:p w14:paraId="4EFB3EC9" w14:textId="179A836E" w:rsidR="003445DB" w:rsidRDefault="00A710D2" w:rsidP="00A710D2">
      <w:pPr>
        <w:ind w:firstLine="720"/>
        <w:jc w:val="both"/>
      </w:pPr>
      <w:r>
        <w:t>From 2021 to the present, the fund’s performance is around -2% and 2%. However, in 2022 and 2025, when there’s a significant shock in the market, the return dropped to -3%. The fund performed poorly due to the low returns</w:t>
      </w:r>
      <w:r w:rsidR="003445DB">
        <w:t xml:space="preserve"> generated</w:t>
      </w:r>
      <w:r>
        <w:t xml:space="preserve"> by the 2 asset class</w:t>
      </w:r>
      <w:r w:rsidR="003445DB">
        <w:t>es in the portfolio</w:t>
      </w:r>
      <w:r>
        <w:t xml:space="preserve">: equities and bonds, during those periods. </w:t>
      </w:r>
    </w:p>
    <w:p w14:paraId="7319DB02" w14:textId="77777777" w:rsidR="003445DB" w:rsidRDefault="003445DB">
      <w:r>
        <w:br w:type="page"/>
      </w:r>
    </w:p>
    <w:p w14:paraId="5E58328A" w14:textId="77777777" w:rsidR="00A710D2" w:rsidRDefault="00A710D2" w:rsidP="00A710D2">
      <w:pPr>
        <w:ind w:firstLine="720"/>
        <w:jc w:val="both"/>
      </w:pPr>
    </w:p>
    <w:p w14:paraId="28EC5752" w14:textId="53847265" w:rsidR="001D3D83" w:rsidRDefault="001D3D83" w:rsidP="003445DB"/>
    <w:p w14:paraId="6E140FC0" w14:textId="1B95426E" w:rsidR="001D3D83" w:rsidRDefault="001D3D83" w:rsidP="001D3D83">
      <w:pPr>
        <w:ind w:firstLine="720"/>
        <w:jc w:val="center"/>
      </w:pPr>
      <w:r>
        <w:rPr>
          <w:noProof/>
        </w:rPr>
        <w:drawing>
          <wp:inline distT="0" distB="0" distL="0" distR="0" wp14:anchorId="482223E4" wp14:editId="2CF345DD">
            <wp:extent cx="4675695" cy="1144672"/>
            <wp:effectExtent l="0" t="0" r="0" b="0"/>
            <wp:docPr id="113979472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94725" name="Picture 2"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759490" cy="1165186"/>
                    </a:xfrm>
                    <a:prstGeom prst="rect">
                      <a:avLst/>
                    </a:prstGeom>
                  </pic:spPr>
                </pic:pic>
              </a:graphicData>
            </a:graphic>
          </wp:inline>
        </w:drawing>
      </w:r>
    </w:p>
    <w:p w14:paraId="7B8C51A4" w14:textId="77777777" w:rsidR="00A710D2" w:rsidRDefault="00A710D2" w:rsidP="00A710D2">
      <w:pPr>
        <w:jc w:val="both"/>
      </w:pPr>
    </w:p>
    <w:p w14:paraId="21245F32" w14:textId="35DF325D" w:rsidR="00A710D2" w:rsidRDefault="00A710D2" w:rsidP="001D3D83">
      <w:pPr>
        <w:ind w:firstLine="720"/>
        <w:jc w:val="both"/>
      </w:pPr>
      <w:r>
        <w:t xml:space="preserve">The </w:t>
      </w:r>
      <w:r w:rsidR="001D3D83">
        <w:t>negative</w:t>
      </w:r>
      <w:r>
        <w:t xml:space="preserve"> returns in 2022 can be attributed to the Fed raising interest rates by 350-bps from May 2022 until December 2022. This was enacted to combat inflation that reached 9.1% annually in June 2022. </w:t>
      </w:r>
    </w:p>
    <w:p w14:paraId="0B64D3D0" w14:textId="00CDF823" w:rsidR="00A710D2" w:rsidRDefault="00A710D2" w:rsidP="001D3D83">
      <w:pPr>
        <w:ind w:firstLine="720"/>
        <w:jc w:val="both"/>
      </w:pPr>
      <w:r>
        <w:t xml:space="preserve">The low returns in 2025 can be attributed </w:t>
      </w:r>
      <w:r w:rsidR="003445DB">
        <w:t xml:space="preserve">to </w:t>
      </w:r>
      <w:r>
        <w:t xml:space="preserve">the fiscal policies enacted by the US government. The US proposed various tariffs </w:t>
      </w:r>
      <w:r w:rsidR="00C31E81">
        <w:t>on goods from</w:t>
      </w:r>
      <w:r>
        <w:t xml:space="preserve"> multiple </w:t>
      </w:r>
      <w:r w:rsidR="00C31E81">
        <w:t>countries,</w:t>
      </w:r>
      <w:r>
        <w:t xml:space="preserve"> and this </w:t>
      </w:r>
      <w:r w:rsidR="00C31E81">
        <w:t>was</w:t>
      </w:r>
      <w:r>
        <w:t xml:space="preserve"> projected to decrease trade activities and raise the price for consumer and industrial goods in the US. The high volatility in the US caused a market sell-off and that’s why return</w:t>
      </w:r>
      <w:r w:rsidR="001D3D83">
        <w:t xml:space="preserve">s are </w:t>
      </w:r>
      <w:r>
        <w:t xml:space="preserve">either low or negative for assets in 2025. </w:t>
      </w:r>
    </w:p>
    <w:p w14:paraId="10B06C08" w14:textId="7C89A7EA" w:rsidR="00A710D2" w:rsidRDefault="00A710D2" w:rsidP="001D3D83">
      <w:pPr>
        <w:ind w:firstLine="720"/>
        <w:jc w:val="both"/>
      </w:pPr>
      <w:r>
        <w:t xml:space="preserve">Furthermore, there was significant correlation between both assets during those periods. The correlation from 2021 to the present is 70.40%. This means that when equities fall, bonds are also expected to fall. During periods of market downturn, uncorrelated assets can become correlated. Therefore, assets that do have some correlation will have an amplified correlation.  It is not a surprise to learn that the correlation between equities and bonds is 79.14% </w:t>
      </w:r>
      <w:r w:rsidR="003445DB">
        <w:t xml:space="preserve">in 2022, </w:t>
      </w:r>
      <w:r>
        <w:t xml:space="preserve">and 57.82% in 2025. </w:t>
      </w:r>
    </w:p>
    <w:p w14:paraId="3571F618" w14:textId="77777777" w:rsidR="001D3D83" w:rsidRDefault="001D3D83" w:rsidP="001D3D83">
      <w:pPr>
        <w:ind w:firstLine="720"/>
        <w:jc w:val="both"/>
      </w:pPr>
    </w:p>
    <w:p w14:paraId="3107B7D9" w14:textId="6621D86A" w:rsidR="00A710D2" w:rsidRPr="00A710D2" w:rsidRDefault="001D3D83" w:rsidP="001D3D83">
      <w:pPr>
        <w:ind w:firstLine="720"/>
        <w:jc w:val="both"/>
      </w:pPr>
      <w:r>
        <w:t xml:space="preserve">For risk-parity funds, since we have proven that equities and bonds have significant correlation, we can introduce other assets that may have lower correlations to existing assets in the fund. Other than corporate bonds, they can include US, European, and Emerging </w:t>
      </w:r>
      <w:r w:rsidR="004C2A4C">
        <w:t>Market</w:t>
      </w:r>
      <w:r>
        <w:t xml:space="preserve"> government bonds, as well as various commodities (gold, precious metals, oils, etc.). This would provide a higher diversification, and the risk management framework would be to dynamically allocate capital based on the risks of those various assets. Assets that show a low volatility </w:t>
      </w:r>
      <w:r w:rsidR="004C2A4C">
        <w:t>during</w:t>
      </w:r>
      <w:r>
        <w:t xml:space="preserve"> a regime will receive a higher capital allocation, but once their volatility</w:t>
      </w:r>
      <w:r w:rsidR="004C2A4C">
        <w:t xml:space="preserve"> significantly</w:t>
      </w:r>
      <w:r>
        <w:t xml:space="preserve"> increased, exposure to those assets will be reduced as capital is re-allocated to other assets. </w:t>
      </w:r>
    </w:p>
    <w:sectPr w:rsidR="00A710D2" w:rsidRPr="00A710D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7A3C9" w14:textId="77777777" w:rsidR="004A5C06" w:rsidRDefault="004A5C06" w:rsidP="006428FC">
      <w:r>
        <w:separator/>
      </w:r>
    </w:p>
  </w:endnote>
  <w:endnote w:type="continuationSeparator" w:id="0">
    <w:p w14:paraId="2E9C9B4D" w14:textId="77777777" w:rsidR="004A5C06" w:rsidRDefault="004A5C06" w:rsidP="0064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74626085"/>
      <w:docPartObj>
        <w:docPartGallery w:val="Page Numbers (Bottom of Page)"/>
        <w:docPartUnique/>
      </w:docPartObj>
    </w:sdtPr>
    <w:sdtContent>
      <w:p w14:paraId="735591C3" w14:textId="26594E48" w:rsidR="006428FC" w:rsidRDefault="006428FC" w:rsidP="00E801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B09AE" w14:textId="77777777" w:rsidR="006428FC" w:rsidRDefault="006428FC" w:rsidP="006428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9632286"/>
      <w:docPartObj>
        <w:docPartGallery w:val="Page Numbers (Bottom of Page)"/>
        <w:docPartUnique/>
      </w:docPartObj>
    </w:sdtPr>
    <w:sdtContent>
      <w:p w14:paraId="72285486" w14:textId="5DF2C7C9" w:rsidR="006428FC" w:rsidRDefault="006428FC" w:rsidP="00E801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7CC2A93" w14:textId="77777777" w:rsidR="006428FC" w:rsidRDefault="006428FC" w:rsidP="006428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0752C" w14:textId="77777777" w:rsidR="004A5C06" w:rsidRDefault="004A5C06" w:rsidP="006428FC">
      <w:r>
        <w:separator/>
      </w:r>
    </w:p>
  </w:footnote>
  <w:footnote w:type="continuationSeparator" w:id="0">
    <w:p w14:paraId="5EA8CD55" w14:textId="77777777" w:rsidR="004A5C06" w:rsidRDefault="004A5C06" w:rsidP="00642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4705"/>
    <w:multiLevelType w:val="hybridMultilevel"/>
    <w:tmpl w:val="B010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17FC"/>
    <w:multiLevelType w:val="hybridMultilevel"/>
    <w:tmpl w:val="998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42AFF"/>
    <w:multiLevelType w:val="hybridMultilevel"/>
    <w:tmpl w:val="102C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541E5"/>
    <w:multiLevelType w:val="hybridMultilevel"/>
    <w:tmpl w:val="4CAC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66165"/>
    <w:multiLevelType w:val="hybridMultilevel"/>
    <w:tmpl w:val="409C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03AB"/>
    <w:multiLevelType w:val="hybridMultilevel"/>
    <w:tmpl w:val="E466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D795E"/>
    <w:multiLevelType w:val="hybridMultilevel"/>
    <w:tmpl w:val="B072A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13E55"/>
    <w:multiLevelType w:val="hybridMultilevel"/>
    <w:tmpl w:val="03AAE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A37F1"/>
    <w:multiLevelType w:val="hybridMultilevel"/>
    <w:tmpl w:val="BD2E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617CE"/>
    <w:multiLevelType w:val="hybridMultilevel"/>
    <w:tmpl w:val="E18E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F64B3"/>
    <w:multiLevelType w:val="hybridMultilevel"/>
    <w:tmpl w:val="E25A3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540E4"/>
    <w:multiLevelType w:val="hybridMultilevel"/>
    <w:tmpl w:val="6CAC6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B63F26"/>
    <w:multiLevelType w:val="hybridMultilevel"/>
    <w:tmpl w:val="7924CA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DB29A6"/>
    <w:multiLevelType w:val="hybridMultilevel"/>
    <w:tmpl w:val="16EA6038"/>
    <w:lvl w:ilvl="0" w:tplc="7674B0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744A9"/>
    <w:multiLevelType w:val="hybridMultilevel"/>
    <w:tmpl w:val="8CF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326096">
    <w:abstractNumId w:val="5"/>
  </w:num>
  <w:num w:numId="2" w16cid:durableId="1598631224">
    <w:abstractNumId w:val="14"/>
  </w:num>
  <w:num w:numId="3" w16cid:durableId="1269652924">
    <w:abstractNumId w:val="13"/>
  </w:num>
  <w:num w:numId="4" w16cid:durableId="1512529640">
    <w:abstractNumId w:val="12"/>
  </w:num>
  <w:num w:numId="5" w16cid:durableId="527328737">
    <w:abstractNumId w:val="4"/>
  </w:num>
  <w:num w:numId="6" w16cid:durableId="898592601">
    <w:abstractNumId w:val="10"/>
  </w:num>
  <w:num w:numId="7" w16cid:durableId="1924601859">
    <w:abstractNumId w:val="7"/>
  </w:num>
  <w:num w:numId="8" w16cid:durableId="965352913">
    <w:abstractNumId w:val="2"/>
  </w:num>
  <w:num w:numId="9" w16cid:durableId="76638788">
    <w:abstractNumId w:val="0"/>
  </w:num>
  <w:num w:numId="10" w16cid:durableId="980227879">
    <w:abstractNumId w:val="6"/>
  </w:num>
  <w:num w:numId="11" w16cid:durableId="1444498953">
    <w:abstractNumId w:val="9"/>
  </w:num>
  <w:num w:numId="12" w16cid:durableId="1554539966">
    <w:abstractNumId w:val="11"/>
  </w:num>
  <w:num w:numId="13" w16cid:durableId="759836377">
    <w:abstractNumId w:val="1"/>
  </w:num>
  <w:num w:numId="14" w16cid:durableId="885726431">
    <w:abstractNumId w:val="8"/>
  </w:num>
  <w:num w:numId="15" w16cid:durableId="291909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8"/>
    <w:rsid w:val="00013D30"/>
    <w:rsid w:val="00064F66"/>
    <w:rsid w:val="0009066E"/>
    <w:rsid w:val="000B5449"/>
    <w:rsid w:val="000C6F1A"/>
    <w:rsid w:val="000F06AB"/>
    <w:rsid w:val="000F2B13"/>
    <w:rsid w:val="00107505"/>
    <w:rsid w:val="00157B6E"/>
    <w:rsid w:val="001D3D83"/>
    <w:rsid w:val="00224C5E"/>
    <w:rsid w:val="002954A4"/>
    <w:rsid w:val="002E3031"/>
    <w:rsid w:val="002E7E34"/>
    <w:rsid w:val="003445DB"/>
    <w:rsid w:val="0035321E"/>
    <w:rsid w:val="003E29D5"/>
    <w:rsid w:val="00403861"/>
    <w:rsid w:val="004A5380"/>
    <w:rsid w:val="004A5C06"/>
    <w:rsid w:val="004C2A4C"/>
    <w:rsid w:val="005214BD"/>
    <w:rsid w:val="00537237"/>
    <w:rsid w:val="0056369A"/>
    <w:rsid w:val="00582BBC"/>
    <w:rsid w:val="005E3EE9"/>
    <w:rsid w:val="00614341"/>
    <w:rsid w:val="00630353"/>
    <w:rsid w:val="006428EF"/>
    <w:rsid w:val="006428FC"/>
    <w:rsid w:val="00692EB6"/>
    <w:rsid w:val="00752DBC"/>
    <w:rsid w:val="007C73D4"/>
    <w:rsid w:val="008241E8"/>
    <w:rsid w:val="00851978"/>
    <w:rsid w:val="008D0653"/>
    <w:rsid w:val="008E3E62"/>
    <w:rsid w:val="008E4113"/>
    <w:rsid w:val="008F5506"/>
    <w:rsid w:val="00A35922"/>
    <w:rsid w:val="00A467FA"/>
    <w:rsid w:val="00A65B67"/>
    <w:rsid w:val="00A710D2"/>
    <w:rsid w:val="00AD3370"/>
    <w:rsid w:val="00AD5401"/>
    <w:rsid w:val="00AE7615"/>
    <w:rsid w:val="00C31B09"/>
    <w:rsid w:val="00C31E81"/>
    <w:rsid w:val="00C62274"/>
    <w:rsid w:val="00C74DE8"/>
    <w:rsid w:val="00CF72C9"/>
    <w:rsid w:val="00D77704"/>
    <w:rsid w:val="00D84DF7"/>
    <w:rsid w:val="00DA5091"/>
    <w:rsid w:val="00E01418"/>
    <w:rsid w:val="00E63410"/>
    <w:rsid w:val="00ED254B"/>
    <w:rsid w:val="00F418F1"/>
    <w:rsid w:val="00F5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11E62"/>
  <w15:chartTrackingRefBased/>
  <w15:docId w15:val="{F0508950-B975-D643-A8CC-918982FE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D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D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D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D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DE8"/>
    <w:rPr>
      <w:rFonts w:eastAsiaTheme="majorEastAsia" w:cstheme="majorBidi"/>
      <w:color w:val="272727" w:themeColor="text1" w:themeTint="D8"/>
    </w:rPr>
  </w:style>
  <w:style w:type="paragraph" w:styleId="Title">
    <w:name w:val="Title"/>
    <w:basedOn w:val="Normal"/>
    <w:next w:val="Normal"/>
    <w:link w:val="TitleChar"/>
    <w:uiPriority w:val="10"/>
    <w:qFormat/>
    <w:rsid w:val="00C74D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D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DE8"/>
    <w:rPr>
      <w:i/>
      <w:iCs/>
      <w:color w:val="404040" w:themeColor="text1" w:themeTint="BF"/>
    </w:rPr>
  </w:style>
  <w:style w:type="paragraph" w:styleId="ListParagraph">
    <w:name w:val="List Paragraph"/>
    <w:basedOn w:val="Normal"/>
    <w:uiPriority w:val="34"/>
    <w:qFormat/>
    <w:rsid w:val="00C74DE8"/>
    <w:pPr>
      <w:ind w:left="720"/>
      <w:contextualSpacing/>
    </w:pPr>
  </w:style>
  <w:style w:type="character" w:styleId="IntenseEmphasis">
    <w:name w:val="Intense Emphasis"/>
    <w:basedOn w:val="DefaultParagraphFont"/>
    <w:uiPriority w:val="21"/>
    <w:qFormat/>
    <w:rsid w:val="00C74DE8"/>
    <w:rPr>
      <w:i/>
      <w:iCs/>
      <w:color w:val="0F4761" w:themeColor="accent1" w:themeShade="BF"/>
    </w:rPr>
  </w:style>
  <w:style w:type="paragraph" w:styleId="IntenseQuote">
    <w:name w:val="Intense Quote"/>
    <w:basedOn w:val="Normal"/>
    <w:next w:val="Normal"/>
    <w:link w:val="IntenseQuoteChar"/>
    <w:uiPriority w:val="30"/>
    <w:qFormat/>
    <w:rsid w:val="00C74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DE8"/>
    <w:rPr>
      <w:i/>
      <w:iCs/>
      <w:color w:val="0F4761" w:themeColor="accent1" w:themeShade="BF"/>
    </w:rPr>
  </w:style>
  <w:style w:type="character" w:styleId="IntenseReference">
    <w:name w:val="Intense Reference"/>
    <w:basedOn w:val="DefaultParagraphFont"/>
    <w:uiPriority w:val="32"/>
    <w:qFormat/>
    <w:rsid w:val="00C74DE8"/>
    <w:rPr>
      <w:b/>
      <w:bCs/>
      <w:smallCaps/>
      <w:color w:val="0F4761" w:themeColor="accent1" w:themeShade="BF"/>
      <w:spacing w:val="5"/>
    </w:rPr>
  </w:style>
  <w:style w:type="character" w:styleId="Hyperlink">
    <w:name w:val="Hyperlink"/>
    <w:basedOn w:val="DefaultParagraphFont"/>
    <w:uiPriority w:val="99"/>
    <w:unhideWhenUsed/>
    <w:rsid w:val="00C74DE8"/>
    <w:rPr>
      <w:color w:val="467886" w:themeColor="hyperlink"/>
      <w:u w:val="single"/>
    </w:rPr>
  </w:style>
  <w:style w:type="character" w:styleId="UnresolvedMention">
    <w:name w:val="Unresolved Mention"/>
    <w:basedOn w:val="DefaultParagraphFont"/>
    <w:uiPriority w:val="99"/>
    <w:semiHidden/>
    <w:unhideWhenUsed/>
    <w:rsid w:val="00C74DE8"/>
    <w:rPr>
      <w:color w:val="605E5C"/>
      <w:shd w:val="clear" w:color="auto" w:fill="E1DFDD"/>
    </w:rPr>
  </w:style>
  <w:style w:type="table" w:styleId="TableGrid">
    <w:name w:val="Table Grid"/>
    <w:basedOn w:val="TableNormal"/>
    <w:uiPriority w:val="39"/>
    <w:rsid w:val="00C74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74DE8"/>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C74DE8"/>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630353"/>
    <w:rPr>
      <w:color w:val="96607D" w:themeColor="followedHyperlink"/>
      <w:u w:val="single"/>
    </w:rPr>
  </w:style>
  <w:style w:type="paragraph" w:styleId="Header">
    <w:name w:val="header"/>
    <w:basedOn w:val="Normal"/>
    <w:link w:val="HeaderChar"/>
    <w:uiPriority w:val="99"/>
    <w:unhideWhenUsed/>
    <w:rsid w:val="006428FC"/>
    <w:pPr>
      <w:tabs>
        <w:tab w:val="center" w:pos="4680"/>
        <w:tab w:val="right" w:pos="9360"/>
      </w:tabs>
    </w:pPr>
  </w:style>
  <w:style w:type="character" w:customStyle="1" w:styleId="HeaderChar">
    <w:name w:val="Header Char"/>
    <w:basedOn w:val="DefaultParagraphFont"/>
    <w:link w:val="Header"/>
    <w:uiPriority w:val="99"/>
    <w:rsid w:val="006428FC"/>
  </w:style>
  <w:style w:type="paragraph" w:styleId="Footer">
    <w:name w:val="footer"/>
    <w:basedOn w:val="Normal"/>
    <w:link w:val="FooterChar"/>
    <w:uiPriority w:val="99"/>
    <w:unhideWhenUsed/>
    <w:rsid w:val="006428FC"/>
    <w:pPr>
      <w:tabs>
        <w:tab w:val="center" w:pos="4680"/>
        <w:tab w:val="right" w:pos="9360"/>
      </w:tabs>
    </w:pPr>
  </w:style>
  <w:style w:type="character" w:customStyle="1" w:styleId="FooterChar">
    <w:name w:val="Footer Char"/>
    <w:basedOn w:val="DefaultParagraphFont"/>
    <w:link w:val="Footer"/>
    <w:uiPriority w:val="99"/>
    <w:rsid w:val="006428FC"/>
  </w:style>
  <w:style w:type="character" w:styleId="PageNumber">
    <w:name w:val="page number"/>
    <w:basedOn w:val="DefaultParagraphFont"/>
    <w:uiPriority w:val="99"/>
    <w:semiHidden/>
    <w:unhideWhenUsed/>
    <w:rsid w:val="0064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29556">
      <w:bodyDiv w:val="1"/>
      <w:marLeft w:val="0"/>
      <w:marRight w:val="0"/>
      <w:marTop w:val="0"/>
      <w:marBottom w:val="0"/>
      <w:divBdr>
        <w:top w:val="none" w:sz="0" w:space="0" w:color="auto"/>
        <w:left w:val="none" w:sz="0" w:space="0" w:color="auto"/>
        <w:bottom w:val="none" w:sz="0" w:space="0" w:color="auto"/>
        <w:right w:val="none" w:sz="0" w:space="0" w:color="auto"/>
      </w:divBdr>
      <w:divsChild>
        <w:div w:id="541865351">
          <w:marLeft w:val="0"/>
          <w:marRight w:val="0"/>
          <w:marTop w:val="0"/>
          <w:marBottom w:val="0"/>
          <w:divBdr>
            <w:top w:val="none" w:sz="0" w:space="0" w:color="auto"/>
            <w:left w:val="none" w:sz="0" w:space="0" w:color="auto"/>
            <w:bottom w:val="none" w:sz="0" w:space="0" w:color="auto"/>
            <w:right w:val="none" w:sz="0" w:space="0" w:color="auto"/>
          </w:divBdr>
          <w:divsChild>
            <w:div w:id="1574970062">
              <w:marLeft w:val="0"/>
              <w:marRight w:val="0"/>
              <w:marTop w:val="0"/>
              <w:marBottom w:val="0"/>
              <w:divBdr>
                <w:top w:val="none" w:sz="0" w:space="0" w:color="auto"/>
                <w:left w:val="none" w:sz="0" w:space="0" w:color="auto"/>
                <w:bottom w:val="none" w:sz="0" w:space="0" w:color="auto"/>
                <w:right w:val="none" w:sz="0" w:space="0" w:color="auto"/>
              </w:divBdr>
            </w:div>
            <w:div w:id="1002778291">
              <w:marLeft w:val="0"/>
              <w:marRight w:val="0"/>
              <w:marTop w:val="0"/>
              <w:marBottom w:val="0"/>
              <w:divBdr>
                <w:top w:val="none" w:sz="0" w:space="0" w:color="auto"/>
                <w:left w:val="none" w:sz="0" w:space="0" w:color="auto"/>
                <w:bottom w:val="none" w:sz="0" w:space="0" w:color="auto"/>
                <w:right w:val="none" w:sz="0" w:space="0" w:color="auto"/>
              </w:divBdr>
            </w:div>
            <w:div w:id="691876612">
              <w:marLeft w:val="0"/>
              <w:marRight w:val="0"/>
              <w:marTop w:val="0"/>
              <w:marBottom w:val="0"/>
              <w:divBdr>
                <w:top w:val="none" w:sz="0" w:space="0" w:color="auto"/>
                <w:left w:val="none" w:sz="0" w:space="0" w:color="auto"/>
                <w:bottom w:val="none" w:sz="0" w:space="0" w:color="auto"/>
                <w:right w:val="none" w:sz="0" w:space="0" w:color="auto"/>
              </w:divBdr>
            </w:div>
            <w:div w:id="1179735764">
              <w:marLeft w:val="0"/>
              <w:marRight w:val="0"/>
              <w:marTop w:val="0"/>
              <w:marBottom w:val="0"/>
              <w:divBdr>
                <w:top w:val="none" w:sz="0" w:space="0" w:color="auto"/>
                <w:left w:val="none" w:sz="0" w:space="0" w:color="auto"/>
                <w:bottom w:val="none" w:sz="0" w:space="0" w:color="auto"/>
                <w:right w:val="none" w:sz="0" w:space="0" w:color="auto"/>
              </w:divBdr>
            </w:div>
            <w:div w:id="682903626">
              <w:marLeft w:val="0"/>
              <w:marRight w:val="0"/>
              <w:marTop w:val="0"/>
              <w:marBottom w:val="0"/>
              <w:divBdr>
                <w:top w:val="none" w:sz="0" w:space="0" w:color="auto"/>
                <w:left w:val="none" w:sz="0" w:space="0" w:color="auto"/>
                <w:bottom w:val="none" w:sz="0" w:space="0" w:color="auto"/>
                <w:right w:val="none" w:sz="0" w:space="0" w:color="auto"/>
              </w:divBdr>
            </w:div>
            <w:div w:id="1270622964">
              <w:marLeft w:val="0"/>
              <w:marRight w:val="0"/>
              <w:marTop w:val="0"/>
              <w:marBottom w:val="0"/>
              <w:divBdr>
                <w:top w:val="none" w:sz="0" w:space="0" w:color="auto"/>
                <w:left w:val="none" w:sz="0" w:space="0" w:color="auto"/>
                <w:bottom w:val="none" w:sz="0" w:space="0" w:color="auto"/>
                <w:right w:val="none" w:sz="0" w:space="0" w:color="auto"/>
              </w:divBdr>
            </w:div>
            <w:div w:id="1572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100">
      <w:bodyDiv w:val="1"/>
      <w:marLeft w:val="0"/>
      <w:marRight w:val="0"/>
      <w:marTop w:val="0"/>
      <w:marBottom w:val="0"/>
      <w:divBdr>
        <w:top w:val="none" w:sz="0" w:space="0" w:color="auto"/>
        <w:left w:val="none" w:sz="0" w:space="0" w:color="auto"/>
        <w:bottom w:val="none" w:sz="0" w:space="0" w:color="auto"/>
        <w:right w:val="none" w:sz="0" w:space="0" w:color="auto"/>
      </w:divBdr>
    </w:div>
    <w:div w:id="1467041655">
      <w:bodyDiv w:val="1"/>
      <w:marLeft w:val="0"/>
      <w:marRight w:val="0"/>
      <w:marTop w:val="0"/>
      <w:marBottom w:val="0"/>
      <w:divBdr>
        <w:top w:val="none" w:sz="0" w:space="0" w:color="auto"/>
        <w:left w:val="none" w:sz="0" w:space="0" w:color="auto"/>
        <w:bottom w:val="none" w:sz="0" w:space="0" w:color="auto"/>
        <w:right w:val="none" w:sz="0" w:space="0" w:color="auto"/>
      </w:divBdr>
      <w:divsChild>
        <w:div w:id="2140805341">
          <w:marLeft w:val="0"/>
          <w:marRight w:val="0"/>
          <w:marTop w:val="0"/>
          <w:marBottom w:val="0"/>
          <w:divBdr>
            <w:top w:val="none" w:sz="0" w:space="0" w:color="auto"/>
            <w:left w:val="none" w:sz="0" w:space="0" w:color="auto"/>
            <w:bottom w:val="none" w:sz="0" w:space="0" w:color="auto"/>
            <w:right w:val="none" w:sz="0" w:space="0" w:color="auto"/>
          </w:divBdr>
          <w:divsChild>
            <w:div w:id="1659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0643">
      <w:bodyDiv w:val="1"/>
      <w:marLeft w:val="0"/>
      <w:marRight w:val="0"/>
      <w:marTop w:val="0"/>
      <w:marBottom w:val="0"/>
      <w:divBdr>
        <w:top w:val="none" w:sz="0" w:space="0" w:color="auto"/>
        <w:left w:val="none" w:sz="0" w:space="0" w:color="auto"/>
        <w:bottom w:val="none" w:sz="0" w:space="0" w:color="auto"/>
        <w:right w:val="none" w:sz="0" w:space="0" w:color="auto"/>
      </w:divBdr>
      <w:divsChild>
        <w:div w:id="1145390701">
          <w:marLeft w:val="0"/>
          <w:marRight w:val="0"/>
          <w:marTop w:val="0"/>
          <w:marBottom w:val="0"/>
          <w:divBdr>
            <w:top w:val="none" w:sz="0" w:space="0" w:color="auto"/>
            <w:left w:val="none" w:sz="0" w:space="0" w:color="auto"/>
            <w:bottom w:val="none" w:sz="0" w:space="0" w:color="auto"/>
            <w:right w:val="none" w:sz="0" w:space="0" w:color="auto"/>
          </w:divBdr>
          <w:divsChild>
            <w:div w:id="720439571">
              <w:marLeft w:val="0"/>
              <w:marRight w:val="0"/>
              <w:marTop w:val="0"/>
              <w:marBottom w:val="0"/>
              <w:divBdr>
                <w:top w:val="none" w:sz="0" w:space="0" w:color="auto"/>
                <w:left w:val="none" w:sz="0" w:space="0" w:color="auto"/>
                <w:bottom w:val="none" w:sz="0" w:space="0" w:color="auto"/>
                <w:right w:val="none" w:sz="0" w:space="0" w:color="auto"/>
              </w:divBdr>
            </w:div>
            <w:div w:id="597829542">
              <w:marLeft w:val="0"/>
              <w:marRight w:val="0"/>
              <w:marTop w:val="0"/>
              <w:marBottom w:val="0"/>
              <w:divBdr>
                <w:top w:val="none" w:sz="0" w:space="0" w:color="auto"/>
                <w:left w:val="none" w:sz="0" w:space="0" w:color="auto"/>
                <w:bottom w:val="none" w:sz="0" w:space="0" w:color="auto"/>
                <w:right w:val="none" w:sz="0" w:space="0" w:color="auto"/>
              </w:divBdr>
            </w:div>
            <w:div w:id="760492680">
              <w:marLeft w:val="0"/>
              <w:marRight w:val="0"/>
              <w:marTop w:val="0"/>
              <w:marBottom w:val="0"/>
              <w:divBdr>
                <w:top w:val="none" w:sz="0" w:space="0" w:color="auto"/>
                <w:left w:val="none" w:sz="0" w:space="0" w:color="auto"/>
                <w:bottom w:val="none" w:sz="0" w:space="0" w:color="auto"/>
                <w:right w:val="none" w:sz="0" w:space="0" w:color="auto"/>
              </w:divBdr>
            </w:div>
            <w:div w:id="267549663">
              <w:marLeft w:val="0"/>
              <w:marRight w:val="0"/>
              <w:marTop w:val="0"/>
              <w:marBottom w:val="0"/>
              <w:divBdr>
                <w:top w:val="none" w:sz="0" w:space="0" w:color="auto"/>
                <w:left w:val="none" w:sz="0" w:space="0" w:color="auto"/>
                <w:bottom w:val="none" w:sz="0" w:space="0" w:color="auto"/>
                <w:right w:val="none" w:sz="0" w:space="0" w:color="auto"/>
              </w:divBdr>
            </w:div>
            <w:div w:id="1461923180">
              <w:marLeft w:val="0"/>
              <w:marRight w:val="0"/>
              <w:marTop w:val="0"/>
              <w:marBottom w:val="0"/>
              <w:divBdr>
                <w:top w:val="none" w:sz="0" w:space="0" w:color="auto"/>
                <w:left w:val="none" w:sz="0" w:space="0" w:color="auto"/>
                <w:bottom w:val="none" w:sz="0" w:space="0" w:color="auto"/>
                <w:right w:val="none" w:sz="0" w:space="0" w:color="auto"/>
              </w:divBdr>
            </w:div>
            <w:div w:id="725182473">
              <w:marLeft w:val="0"/>
              <w:marRight w:val="0"/>
              <w:marTop w:val="0"/>
              <w:marBottom w:val="0"/>
              <w:divBdr>
                <w:top w:val="none" w:sz="0" w:space="0" w:color="auto"/>
                <w:left w:val="none" w:sz="0" w:space="0" w:color="auto"/>
                <w:bottom w:val="none" w:sz="0" w:space="0" w:color="auto"/>
                <w:right w:val="none" w:sz="0" w:space="0" w:color="auto"/>
              </w:divBdr>
            </w:div>
            <w:div w:id="965811915">
              <w:marLeft w:val="0"/>
              <w:marRight w:val="0"/>
              <w:marTop w:val="0"/>
              <w:marBottom w:val="0"/>
              <w:divBdr>
                <w:top w:val="none" w:sz="0" w:space="0" w:color="auto"/>
                <w:left w:val="none" w:sz="0" w:space="0" w:color="auto"/>
                <w:bottom w:val="none" w:sz="0" w:space="0" w:color="auto"/>
                <w:right w:val="none" w:sz="0" w:space="0" w:color="auto"/>
              </w:divBdr>
            </w:div>
            <w:div w:id="1446731299">
              <w:marLeft w:val="0"/>
              <w:marRight w:val="0"/>
              <w:marTop w:val="0"/>
              <w:marBottom w:val="0"/>
              <w:divBdr>
                <w:top w:val="none" w:sz="0" w:space="0" w:color="auto"/>
                <w:left w:val="none" w:sz="0" w:space="0" w:color="auto"/>
                <w:bottom w:val="none" w:sz="0" w:space="0" w:color="auto"/>
                <w:right w:val="none" w:sz="0" w:space="0" w:color="auto"/>
              </w:divBdr>
            </w:div>
            <w:div w:id="162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megroup.com/markets/interest-rates/cme-fedwatch-tool.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Pradnyatama</dc:creator>
  <cp:keywords/>
  <dc:description/>
  <cp:lastModifiedBy>Matheus Pradnyatama</cp:lastModifiedBy>
  <cp:revision>5</cp:revision>
  <dcterms:created xsi:type="dcterms:W3CDTF">2025-05-08T02:12:00Z</dcterms:created>
  <dcterms:modified xsi:type="dcterms:W3CDTF">2025-05-08T05:31:00Z</dcterms:modified>
</cp:coreProperties>
</file>