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  <w:u w:val="single"/>
        </w:rPr>
        <w:t>Dinâmica espaço-temporal da fauna acompanhante capturada na pesca de atuns no oceano Atlântico Sul</w:t>
      </w:r>
    </w:p>
    <w:p>
      <w:pPr>
        <w:pStyle w:val="Heading1"/>
        <w:rPr/>
      </w:pPr>
      <w:r>
        <w:rPr/>
        <w:t>1. Introdução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A pesca de grandes pelágicos, em especial os atuns, configura-se como uma das principais atividades da pesca comercial em regiões oceânicas tropicais e subtropicais, desempenhando um papel estratégico tanto na segurança alimentar global quanto na geração de emprego e renda (Bornatowski et al. 2018). De acordo com as informações mais recentes da Organização das Nações Unidas para a Alimentação e a Agricultura (FAO, 2024), a pesca de atuns e afins movimentou mais de 17 bilhões de dólares em valor desembarcado apenas no ano de 2022, o que corresponde a aproximadamente 9% do valor total das exportações mundiais de produtos de animais aquáticos.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Dentre os diferentes petrechos utilizados nessa atividade, o espinhel pelágico se destaca como sendo uma das principais modalidades de pesca industrial em escala global (Frédou et al., 2017), tendo como alvo espécies de elevado valor comercial, a exemplo da albacora do Thunnus albacares, Thunnus alalunga, e Xiphias gladius (Majkowski, 2007).</w:t>
      </w:r>
    </w:p>
    <w:p>
      <w:pPr>
        <w:pStyle w:val="Normal"/>
        <w:ind w:firstLine="709"/>
        <w:jc w:val="both"/>
        <w:rPr/>
      </w:pPr>
      <w:r>
        <w:rPr/>
        <w:t>Dentro das áreas de gerenciamento do ICCAT</w:t>
      </w:r>
      <w:r>
        <w:rPr/>
        <w:t>, o espadarte (Xiphias gladius) é gerido como dois estoques no Oceano Atlântico, separados aproximadamente na latitude de 5°N</w:t>
      </w:r>
      <w:r>
        <w:rPr>
          <w:color w:val="C9211E"/>
        </w:rPr>
        <w:t xml:space="preserve"> </w:t>
      </w:r>
      <w:r>
        <w:rPr>
          <w:color w:val="C9211E"/>
        </w:rPr>
        <w:t>escreva as duas áreas que está separa por 5°N</w:t>
      </w:r>
      <w:r>
        <w:rPr>
          <w:color w:val="C9211E"/>
        </w:rPr>
        <w:t xml:space="preserve"> </w:t>
      </w:r>
      <w:r>
        <w:rPr/>
        <w:t>(Viana et al. 2021, Rosa et al. 2025). As quatro espécies de grandes pelágicos (</w:t>
      </w:r>
      <w:r>
        <w:rPr>
          <w:i/>
          <w:iCs/>
        </w:rPr>
        <w:t>Xiphias gladius, Istiophorus albicans, Kajikia albida e Makaira nigricans</w:t>
      </w:r>
      <w:r>
        <w:rPr/>
        <w:t xml:space="preserve">) desempenham papéis fundamentais como predadores de topo nos ecossistemas oceânicos e representam recursos de alto valor para as pescarias comerciais e esportivas (Viana et al. 2021, Machado et al. 2025). No Atlântico Sul, o estoque de </w:t>
      </w:r>
      <w:r>
        <w:rPr>
          <w:i/>
          <w:iCs/>
        </w:rPr>
        <w:t>X. gladius</w:t>
      </w:r>
      <w:r>
        <w:rPr/>
        <w:t xml:space="preserve"> tem apresentado índices de captura e esforço que indicam um cenário de sobrepesca, exigindo monitoramento contínuo para evitar o colapso do recurso (Carneiro et al. 2017, Rosa et al. 2025). Compreender a biologia e a dinâmica populacional dessas espécies, incluindo sua distribuição espaço-temporal, é um passo essencial para a gestão pesqueira eficiente, permitindo que possíveis impactos sejam identificados e mitigados (Coelho et al. 2018, Machado et al. 2025). </w:t>
      </w:r>
    </w:p>
    <w:p>
      <w:pPr>
        <w:pStyle w:val="Normal"/>
        <w:ind w:firstLine="709"/>
        <w:jc w:val="both"/>
        <w:rPr/>
      </w:pPr>
      <w:r>
        <w:rPr/>
        <w:t xml:space="preserve">No contexto do Oceano Atlântico Sul, a escassez de dados sistemáticos e integrados, compromete tanto o diagnóstico preciso dos impactos ecológicos, quanto a </w:t>
      </w:r>
      <w:r>
        <w:rPr>
          <w:lang w:val="pt-BR" w:eastAsia="en-US" w:bidi="ar-SA"/>
        </w:rPr>
        <w:t>formulação</w:t>
      </w:r>
      <w:r>
        <w:rPr/>
        <w:t xml:space="preserve"> de medidas de mitigação eficazes. Adicionalmente, a maior parte dos estudos disponíveis concentra-se em áreas específicas ou utiliza abordagens descritivas, carecendo de análises integrativas e preditivas que considerem o contexto ecossistêmico mais amplo no qual essas interações ocorrem.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Diante desse cenário, o presente projeto propõe uma abordagem  para avaliar a dinâmica espaço-temporal das espécies: </w:t>
      </w:r>
      <w:r>
        <w:rPr>
          <w:i/>
          <w:iCs/>
        </w:rPr>
        <w:t xml:space="preserve">Xiphias gladius, Istiophorus albicans, </w:t>
      </w:r>
      <w:r>
        <w:rPr>
          <w:rFonts w:eastAsia="Times New Roman" w:cs="" w:cstheme="minorBidi"/>
          <w:i/>
          <w:iCs/>
          <w:color w:val="auto"/>
          <w:kern w:val="0"/>
          <w:sz w:val="24"/>
          <w:szCs w:val="22"/>
          <w:lang w:val="en-US" w:eastAsia="en-US" w:bidi="ar-SA"/>
        </w:rPr>
        <w:t>Kajikia albida</w:t>
      </w:r>
      <w:r>
        <w:rPr>
          <w:i/>
          <w:iCs/>
        </w:rPr>
        <w:t xml:space="preserve">, Makaira nigricans </w:t>
      </w:r>
      <w:r>
        <w:rPr/>
        <w:t>na pesca de espinhel atuneira no Atlântico Sul, integrando informações pesqueiras e ambientais por meio de Modelos de Distribuição de Espécies (SDMs, do inglês Species Distribution Models). Esses modelos permitirão identificar os principais determinantes ecológicos e operacionais, bem como mapear hotspots de risco de forma e gerar subsídios para a elaboração de estratégias de manejo mais sustentáveis e orientadas à conservação da biodiversidade marinha.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A falta de ações sustentáveis no manejo da pesca com espinhel como a adoção de medidas de proteção.</w:t>
      </w:r>
    </w:p>
    <w:p>
      <w:pPr>
        <w:pStyle w:val="Heading1"/>
        <w:rPr/>
      </w:pPr>
      <w:r>
        <w:rPr/>
        <w:t>2. Objetivos</w:t>
      </w:r>
    </w:p>
    <w:p>
      <w:pPr>
        <w:pStyle w:val="Heading2"/>
        <w:rPr/>
      </w:pPr>
      <w:r>
        <w:rPr/>
        <w:t>2.1. Geral</w:t>
      </w:r>
    </w:p>
    <w:p>
      <w:pPr>
        <w:pStyle w:val="Normal"/>
        <w:jc w:val="both"/>
        <w:rPr/>
      </w:pPr>
      <w:r>
        <w:rPr/>
        <w:t xml:space="preserve">Avaliar a dinâmica espaço-temporal das espécies: </w:t>
      </w:r>
      <w:r>
        <w:rPr>
          <w:i/>
          <w:iCs/>
        </w:rPr>
        <w:t xml:space="preserve">Xiphias gladius, Istiophorus albicans, </w:t>
      </w:r>
      <w:r>
        <w:rPr>
          <w:rFonts w:eastAsia="Times New Roman" w:cs="" w:cstheme="minorBidi"/>
          <w:i/>
          <w:iCs/>
          <w:color w:val="auto"/>
          <w:kern w:val="0"/>
          <w:sz w:val="24"/>
          <w:szCs w:val="22"/>
          <w:lang w:val="en-US" w:eastAsia="en-US" w:bidi="ar-SA"/>
        </w:rPr>
        <w:t>Kajikia albida</w:t>
      </w:r>
      <w:r>
        <w:rPr>
          <w:i/>
          <w:iCs/>
        </w:rPr>
        <w:t xml:space="preserve">, Makaira nigricans </w:t>
      </w:r>
      <w:r>
        <w:rPr/>
        <w:t>no Atlântico Sul.</w:t>
      </w:r>
    </w:p>
    <w:p>
      <w:pPr>
        <w:pStyle w:val="Heading2"/>
        <w:rPr/>
      </w:pPr>
      <w:r>
        <w:rPr/>
        <w:t>2.2. Específicos</w:t>
      </w:r>
    </w:p>
    <w:p>
      <w:pPr>
        <w:pStyle w:val="ListBullet"/>
        <w:numPr>
          <w:ilvl w:val="0"/>
          <w:numId w:val="0"/>
        </w:numPr>
        <w:ind w:hanging="0" w:start="360"/>
        <w:jc w:val="both"/>
        <w:rPr/>
      </w:pPr>
      <w:r>
        <w:rPr/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Identificar zonas de agregação (hot-spots) persistentes e transitórias;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Descrever o padrão de distribuição espaço-temporal das espécies, de modo a identificar áreas de agregação (i.e., hot-spots) permanentes e sazonais.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Predizer a distribuição das espécies diante de futuros cenários de aquecimento global para antecipar as possíveis consequências ecológicas e econômicas.</w:t>
      </w:r>
    </w:p>
    <w:p>
      <w:pPr>
        <w:pStyle w:val="Heading1"/>
        <w:rPr/>
      </w:pPr>
      <w:r>
        <w:rPr/>
        <w:t>3. Material &amp; Métodos</w:t>
      </w:r>
    </w:p>
    <w:p>
      <w:pPr>
        <w:pStyle w:val="Heading2"/>
        <w:rPr/>
      </w:pPr>
      <w:r>
        <w:rPr/>
        <w:t>3.1. Banco de Dados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O projeto usará os dados, coordenados pelo ICCAT e intermediados pelo Prof. Dr. Humberto Hazin (UNI), de captura atuneira de espinhel brasileira, as quais englobam embarcações que operaram no Oceano Atlântico Sul entre 1978 e 2016. Os dados reúnem um conjunto de informações operacionais e biológicas em diários de bordo, como por exemplo local (long e lat) e data da pesca, número de anzóis e cestos utilizados (esforço), e composição e quantificação da captura (alvo e incidental).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Em seguida será montado um banco de dados de variáveis ambientais relacionadas à biologia e ecologia das espécies capturadas, o qual cobrirá tanto a série histórica quanto às projeções para futuros cenários de aquecimento global. Esses dados, que incluirão informações oceanográficas físico-químicas, geológicas e biológicas, serão obtidos via fontes online que disponibilizam gratuitamente dados de sensoriamento remoto (Copernicus, NOAA, MARSPEC, bio-ORACLE). Devido às diferentes resoluções espaciais e temporais, os dados serão padronizados para que possam cobrir a maior resolução espacial e temporal possível.</w:t>
      </w:r>
    </w:p>
    <w:p>
      <w:pPr>
        <w:pStyle w:val="Heading2"/>
        <w:rPr/>
      </w:pPr>
      <w:r>
        <w:rPr/>
        <w:t>3.2. Análise de Dados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Modelos de distribuição de espécies (SMDs) serão utilizados para estimar e prever a abundância das espécies a serem estudadas. Relacionando as ocorrências (ou abundância/biomassa) das espécies à um conjunto de variáveis ambientais que melhor reflitam os seus requerimentos biológicos e ecológicos (Franklin, 2010; Guisan et al. 2013), e são dessa forma utilizados para prever a sua distribuição geográfica atual, passada ou futura. Nesse projeto, a abundância será medida por meio da CPUE, aqui definida pela captura em números de uma espécie padronizada pelo esforço pesqueiro.</w:t>
      </w:r>
    </w:p>
    <w:p>
      <w:pPr>
        <w:pStyle w:val="Normal"/>
        <w:spacing w:lineRule="auto" w:line="276" w:before="0" w:after="200"/>
        <w:ind w:firstLine="709"/>
        <w:jc w:val="both"/>
        <w:rPr/>
        <w:sectPr>
          <w:type w:val="nextPage"/>
          <w:pgSz w:w="12240" w:h="15840"/>
          <w:pgMar w:left="1417" w:right="1417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t>A interface Rstudio será a ferramenta usada para manipulação de dados e as análises estatísticas com o uso do pacote ggplot2 (Wickham 2009).</w:t>
      </w:r>
    </w:p>
    <w:p>
      <w:pPr>
        <w:pStyle w:val="Heading1"/>
        <w:rPr/>
      </w:pPr>
      <w:r>
        <w:rPr/>
        <w:t>Cronograma</w:t>
      </w:r>
    </w:p>
    <w:tbl>
      <w:tblPr>
        <w:tblW w:w="141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77"/>
        <w:gridCol w:w="1179"/>
        <w:gridCol w:w="1178"/>
        <w:gridCol w:w="1177"/>
        <w:gridCol w:w="1179"/>
        <w:gridCol w:w="1178"/>
        <w:gridCol w:w="1177"/>
        <w:gridCol w:w="1179"/>
        <w:gridCol w:w="1178"/>
        <w:gridCol w:w="1177"/>
        <w:gridCol w:w="1179"/>
        <w:gridCol w:w="1178"/>
      </w:tblGrid>
      <w:tr>
        <w:trPr/>
        <w:tc>
          <w:tcPr>
            <w:tcW w:w="117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Atividade</w:t>
            </w:r>
          </w:p>
        </w:tc>
        <w:tc>
          <w:tcPr>
            <w:tcW w:w="4713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2026</w:t>
            </w:r>
          </w:p>
        </w:tc>
        <w:tc>
          <w:tcPr>
            <w:tcW w:w="8246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2027</w:t>
            </w:r>
          </w:p>
        </w:tc>
      </w:tr>
      <w:tr>
        <w:trPr/>
        <w:tc>
          <w:tcPr>
            <w:tcW w:w="117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Set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Out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Nov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Dez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Jan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Fev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Mar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Abr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Jun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Jul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7D7F2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Ago</w:t>
            </w:r>
          </w:p>
        </w:tc>
      </w:tr>
      <w:tr>
        <w:trPr/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16"/>
              </w:rPr>
              <w:t>Lev. bibliograf.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</w:tr>
      <w:tr>
        <w:trPr/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16"/>
              </w:rPr>
              <w:t>Col. de dados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16"/>
              </w:rPr>
              <w:t>Man. de dados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16"/>
              </w:rPr>
              <w:t>Análises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16"/>
              </w:rPr>
              <w:t>Resultados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sz w:val="16"/>
              </w:rPr>
              <w:t>Esc. de relatat.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1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x</w:t>
            </w:r>
          </w:p>
        </w:tc>
      </w:tr>
    </w:tbl>
    <w:p>
      <w:pPr>
        <w:sectPr>
          <w:type w:val="nextPage"/>
          <w:pgSz w:orient="landscape" w:w="15840" w:h="12240"/>
          <w:pgMar w:left="850" w:right="850" w:gutter="0" w:header="0" w:top="850" w:footer="0" w:bottom="85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r>
        <w:rPr/>
        <w:t>4. Referências</w:t>
      </w:r>
    </w:p>
    <w:p>
      <w:pPr>
        <w:pStyle w:val="BodyText"/>
        <w:spacing w:before="0" w:after="120"/>
        <w:ind w:hanging="283" w:start="283"/>
        <w:jc w:val="both"/>
        <w:rPr/>
      </w:pPr>
      <w:r>
        <w:rPr/>
        <w:t xml:space="preserve">BORNATOWSKI, H.; ANGELINI, R.; COLL, M. et al. Ecological role and historical trends of large pelagic predators in a subtropical marine ecosystem of the South Atlantic. </w:t>
      </w:r>
      <w:r>
        <w:rPr>
          <w:rStyle w:val="Emphasis"/>
        </w:rPr>
        <w:t>Reviews in Fish Biology and Fisheries</w:t>
      </w:r>
      <w:r>
        <w:rPr/>
        <w:t xml:space="preserve">, v. 28, p. 241–259, 2018. Disponível em: </w:t>
      </w:r>
      <w:hyperlink r:id="rId2">
        <w:r>
          <w:rPr>
            <w:rStyle w:val="Hyperlink"/>
          </w:rPr>
          <w:t>https://doi.org/10.1007/s11160-017-9492-z</w:t>
        </w:r>
      </w:hyperlink>
      <w:r>
        <w:rPr/>
        <w:t>. Acesso em: 6 jun. 2025.</w:t>
      </w:r>
    </w:p>
    <w:p>
      <w:pPr>
        <w:pStyle w:val="BodyText"/>
        <w:spacing w:before="0" w:after="120"/>
        <w:ind w:hanging="283" w:start="283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CARNEIRO, V. G. O. et al. Updated Standardized Catch Rate of Swordfish (</w:t>
      </w:r>
      <w:r>
        <w:rPr>
          <w:rStyle w:val="Emphasis"/>
        </w:rPr>
        <w:t>Xiphias gladius</w:t>
      </w:r>
      <w:r>
        <w:rPr/>
        <w:t xml:space="preserve">) Caught in the South Atlantic by the Brazilian Fleet. </w:t>
      </w:r>
      <w:r>
        <w:rPr>
          <w:rStyle w:val="Emphasis"/>
        </w:rPr>
        <w:t>Collective Volume of Scientific Papers ICCAT</w:t>
      </w:r>
      <w:r>
        <w:rPr/>
        <w:t xml:space="preserve">, v. 74, n. 3, p. 1050–1069, 2017. Disponível em: </w:t>
      </w:r>
      <w:hyperlink r:id="rId3">
        <w:r>
          <w:rPr>
            <w:rStyle w:val="Hyperlink"/>
          </w:rPr>
          <w:t>https://www.iccat.int/en/pubs_CVSP.html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COELHO, R. et al. Distribution patterns and population structure of the blue shark (</w:t>
      </w:r>
      <w:r>
        <w:rPr>
          <w:rStyle w:val="Emphasis"/>
        </w:rPr>
        <w:t>Prionace glauca</w:t>
      </w:r>
      <w:r>
        <w:rPr/>
        <w:t xml:space="preserve">) in the Atlantic and Indian Oceans. </w:t>
      </w:r>
      <w:r>
        <w:rPr>
          <w:rStyle w:val="Emphasis"/>
        </w:rPr>
        <w:t>Fish and Fisheries</w:t>
      </w:r>
      <w:r>
        <w:rPr/>
        <w:t xml:space="preserve">, v. 19, n. 1, p. 90–106, 2018. Disponível em: </w:t>
      </w:r>
      <w:hyperlink r:id="rId4">
        <w:r>
          <w:rPr>
            <w:rStyle w:val="Hyperlink"/>
          </w:rPr>
          <w:t>https://doi.org/10.1111/faf.12238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DAVIES, R. W.; CRIPPS, S. J.; NICKSON, A.; PORTER, G. Defining and estimating global marine fisheries bycatch. </w:t>
      </w:r>
      <w:r>
        <w:rPr>
          <w:rStyle w:val="Emphasis"/>
        </w:rPr>
        <w:t>Marine Policy</w:t>
      </w:r>
      <w:r>
        <w:rPr/>
        <w:t>, v. 33, n. 4, p. 661–672, 2009.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FAO. </w:t>
      </w:r>
      <w:r>
        <w:rPr>
          <w:rStyle w:val="Emphasis"/>
        </w:rPr>
        <w:t>The State of World Fisheries and Aquaculture 2024 – Blue Transformation in action</w:t>
      </w:r>
      <w:r>
        <w:rPr/>
        <w:t xml:space="preserve">. Rome: FAO, 2024. Disponível em: </w:t>
      </w:r>
      <w:hyperlink r:id="rId5">
        <w:r>
          <w:rPr>
            <w:rStyle w:val="Hyperlink"/>
          </w:rPr>
          <w:t>https://doi.org/10.4060/cd0683en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FRANKLIN, J. </w:t>
      </w:r>
      <w:r>
        <w:rPr>
          <w:rStyle w:val="Emphasis"/>
        </w:rPr>
        <w:t>Mapping species distributions: spatial inference and prediction</w:t>
      </w:r>
      <w:r>
        <w:rPr/>
        <w:t>. New York: Cambridge University Press, 2010. 336 p.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FRÉDOU, F. L.; KELL, L.; FRÉDOU, T. et al. Vulnerability of teleosts caught by the pelagic tuna longline fleets in South Atlantic and Western Indian Oceans. </w:t>
      </w:r>
      <w:r>
        <w:rPr>
          <w:rStyle w:val="Emphasis"/>
        </w:rPr>
        <w:t>Elsevier</w:t>
      </w:r>
      <w:r>
        <w:rPr/>
        <w:t xml:space="preserve">, p. 230–241, 2017. Disponível em: </w:t>
      </w:r>
      <w:hyperlink r:id="rId6">
        <w:r>
          <w:rPr>
            <w:rStyle w:val="Hyperlink"/>
          </w:rPr>
          <w:t>https://www.researchgate.net/publication/302928551_Preliminary_Ecological_Risk_Assessment_of_small_tunas_of_the_Atlantic_Ocean</w:t>
        </w:r>
      </w:hyperlink>
      <w:r>
        <w:rPr/>
        <w:t>. Acesso em: 28 maio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HART, P. J. B.; REYNOLDS, J. D. (ed.). </w:t>
      </w:r>
      <w:r>
        <w:rPr>
          <w:rStyle w:val="Emphasis"/>
        </w:rPr>
        <w:t>Handbook of fish biology and fisheries</w:t>
      </w:r>
      <w:r>
        <w:rPr/>
        <w:t xml:space="preserve">. Volume 1: Fish biology. Oxford: Blackwell Publishing, 2002. 418 p. Disponível em: </w:t>
      </w:r>
      <w:hyperlink r:id="rId7">
        <w:r>
          <w:rPr>
            <w:rStyle w:val="Hyperlink"/>
          </w:rPr>
          <w:t>https://onlinelibrary.wiley.com/doi/book/10.1002/9780470693803</w:t>
        </w:r>
      </w:hyperlink>
      <w:r>
        <w:rPr/>
        <w:t>. Acesso em: 3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IPCC. </w:t>
      </w:r>
      <w:r>
        <w:rPr>
          <w:rStyle w:val="Emphasis"/>
        </w:rPr>
        <w:t>Climate change 2022: impacts, adaptation, and vulnerability</w:t>
      </w:r>
      <w:r>
        <w:rPr/>
        <w:t>. Contribution of Working Group II to the Sixth Assessment Report of the Intergovernmental Panel on Climate Change. Cambridge: Cambridge University Press, 2022. 3056 p.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KELLEHER, K. </w:t>
      </w:r>
      <w:r>
        <w:rPr>
          <w:rStyle w:val="Emphasis"/>
        </w:rPr>
        <w:t>Discards in the world’s marine fisheries: an update</w:t>
      </w:r>
      <w:r>
        <w:rPr/>
        <w:t xml:space="preserve">. FAO Fisheries Technical Paper No. 470. Rome: FAO, 2005. 131 p. Disponível em: </w:t>
      </w:r>
      <w:hyperlink r:id="rId8">
        <w:r>
          <w:rPr>
            <w:rStyle w:val="Hyperlink"/>
          </w:rPr>
          <w:t>www.fao.org/docrep/008/y5936e/y5936e00.HTM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MACHADO, B. N. et al. Niche Differentiation Among Large Pelagic Fishes in the Southwest Atlantic Revealed by Stable Isotope Analysis. </w:t>
      </w:r>
      <w:r>
        <w:rPr>
          <w:rStyle w:val="Emphasis"/>
        </w:rPr>
        <w:t>Fisheries Oceanography</w:t>
      </w:r>
      <w:r>
        <w:rPr/>
        <w:t xml:space="preserve">, v. 34, n. 3, e12665, 2025. Disponível em: </w:t>
      </w:r>
      <w:hyperlink r:id="rId9">
        <w:r>
          <w:rPr>
            <w:rStyle w:val="Hyperlink"/>
          </w:rPr>
          <w:t>https://doi.org/10.1111/fog.70020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MAJKOWSKI, J. </w:t>
      </w:r>
      <w:r>
        <w:rPr>
          <w:rStyle w:val="Emphasis"/>
        </w:rPr>
        <w:t>Global fishery resources of tuna and tuna-like species</w:t>
      </w:r>
      <w:r>
        <w:rPr/>
        <w:t>. FAO Fisheries Technical Paper, n. 483. Rome: FAO, 2007. p. 1–66.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McKINNEY, R.; GIBBON, J.; WOZNIAK, E.; GALLAND, G. </w:t>
      </w:r>
      <w:r>
        <w:rPr>
          <w:rStyle w:val="Emphasis"/>
        </w:rPr>
        <w:t>Netting Billions 2020: A Global Tuna Valuation</w:t>
      </w:r>
      <w:r>
        <w:rPr/>
        <w:t xml:space="preserve">. [S.l.]: The Pew Charitable Trusts, 2020. Disponível em: </w:t>
      </w:r>
      <w:hyperlink r:id="rId10">
        <w:r>
          <w:rPr>
            <w:rStyle w:val="Hyperlink"/>
          </w:rPr>
          <w:t>https://www.pew.org/en/research-and-analysis/reports/2020/10/netting-billions-2020-a-global-tuna-valuation</w:t>
        </w:r>
      </w:hyperlink>
      <w:r>
        <w:rPr/>
        <w:t>. Acesso em: 5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PEATMAN, T. R. et al. Estimating trends and magnitudes of bycatch in the WCPO longline fishery using EM and observer data. </w:t>
      </w:r>
      <w:r>
        <w:rPr>
          <w:rStyle w:val="Emphasis"/>
        </w:rPr>
        <w:t>Western and Central Pacific Fisheries Commission Scientific Committee Paper</w:t>
      </w:r>
      <w:r>
        <w:rPr/>
        <w:t xml:space="preserve">, WCPFC-SC19-2023/ST-IP-01, 2023. Disponível em: </w:t>
      </w:r>
      <w:hyperlink r:id="rId11">
        <w:r>
          <w:rPr>
            <w:rStyle w:val="Hyperlink"/>
          </w:rPr>
          <w:t>https://onlinelibrary.wiley.com/doi/full/10.1111/faf.12771</w:t>
        </w:r>
      </w:hyperlink>
      <w:r>
        <w:rPr/>
        <w:t>. Acesso em: 26 maio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ROSA, D. et al. Spatial and Temporal Size Distribution of Swordfish (</w:t>
      </w:r>
      <w:r>
        <w:rPr>
          <w:rStyle w:val="Emphasis"/>
        </w:rPr>
        <w:t>Xiphias gladius</w:t>
      </w:r>
      <w:r>
        <w:rPr/>
        <w:t xml:space="preserve">) in the Atlantic Ocean: Implications for Conservation and Management. </w:t>
      </w:r>
      <w:r>
        <w:rPr>
          <w:rStyle w:val="Emphasis"/>
        </w:rPr>
        <w:t>Reviews in Fisheries Science &amp; Aquaculture</w:t>
      </w:r>
      <w:r>
        <w:rPr/>
        <w:t xml:space="preserve">, v. 33, n. 4, p. 559–578, 2025. Disponível em: </w:t>
      </w:r>
      <w:hyperlink r:id="rId12">
        <w:r>
          <w:rPr>
            <w:rStyle w:val="Hyperlink"/>
          </w:rPr>
          <w:t>https://doi.org/10.1080/23308249.2025.2471085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VIANA, D. L.; OLIVEIRA, J. E. L.; HAZIN, F. H. V. (org.). </w:t>
      </w:r>
      <w:r>
        <w:rPr>
          <w:rStyle w:val="Emphasis"/>
        </w:rPr>
        <w:t>Ciências do mar: dos oceanos do mundo ao Nordeste do Brasil</w:t>
      </w:r>
      <w:r>
        <w:rPr/>
        <w:t xml:space="preserve">. 1. ed. Olinda: Via Design Publicações, 2021. v. 2. Disponível em: </w:t>
      </w:r>
      <w:hyperlink r:id="rId13">
        <w:r>
          <w:rPr>
            <w:rStyle w:val="Hyperlink"/>
          </w:rPr>
          <w:t>https://www.viadesign.com.br/publicacoes</w:t>
        </w:r>
      </w:hyperlink>
      <w:r>
        <w:rPr/>
        <w:t>. Acesso em: 6 jun. 2025.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WICKHAM, H. </w:t>
      </w:r>
      <w:r>
        <w:rPr>
          <w:rStyle w:val="Emphasis"/>
        </w:rPr>
        <w:t>ggplot2: Elegant Graphics for Data Analysis</w:t>
      </w:r>
      <w:r>
        <w:rPr/>
        <w:t xml:space="preserve">. New York: Springer-Verlag, 2016. Disponível em: </w:t>
      </w:r>
      <w:hyperlink r:id="rId14">
        <w:r>
          <w:rPr>
            <w:rStyle w:val="Hyperlink"/>
          </w:rPr>
          <w:t>https://ggplot2.tidyverse.org</w:t>
        </w:r>
      </w:hyperlink>
      <w:r>
        <w:rPr/>
        <w:t>. Acesso em: 5 jun. 2025.</w:t>
      </w:r>
    </w:p>
    <w:p>
      <w:pPr>
        <w:pStyle w:val="BodyText"/>
        <w:jc w:val="both"/>
        <w:rPr/>
      </w:pPr>
      <w:r>
        <w:rPr/>
        <w:t xml:space="preserve">WWF – WORLD WILDLIFE FUND. </w:t>
      </w:r>
      <w:r>
        <w:rPr>
          <w:rStyle w:val="Emphasis"/>
        </w:rPr>
        <w:t>Bycatch</w:t>
      </w:r>
      <w:r>
        <w:rPr/>
        <w:t xml:space="preserve">. 2024. Disponível em: </w:t>
      </w:r>
      <w:hyperlink r:id="rId15">
        <w:r>
          <w:rPr>
            <w:rStyle w:val="Hyperlink"/>
          </w:rPr>
          <w:t>https://www.worldwildlife.org/threats/bycatch</w:t>
        </w:r>
      </w:hyperlink>
      <w:r>
        <w:rPr/>
        <w:t>. Acesso em: 26 maio 2025.</w:t>
      </w:r>
    </w:p>
    <w:p>
      <w:pPr>
        <w:pStyle w:val="Normal"/>
        <w:spacing w:before="0" w:after="120"/>
        <w:ind w:hanging="283" w:start="283"/>
        <w:jc w:val="both"/>
        <w:rPr/>
      </w:pPr>
      <w:r>
        <w:rPr/>
      </w:r>
    </w:p>
    <w:p>
      <w:pPr>
        <w:pStyle w:val="Normal"/>
        <w:spacing w:before="0" w:after="120"/>
        <w:ind w:hanging="283" w:start="283"/>
        <w:jc w:val="both"/>
        <w:rPr/>
      </w:pPr>
      <w:r>
        <w:rPr/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07/s11160-017-9492-z" TargetMode="External"/><Relationship Id="rId3" Type="http://schemas.openxmlformats.org/officeDocument/2006/relationships/hyperlink" Target="https://www.iccat.int/en/pubs_CVSP.html" TargetMode="External"/><Relationship Id="rId4" Type="http://schemas.openxmlformats.org/officeDocument/2006/relationships/hyperlink" Target="https://doi.org/10.1111/faf.12238" TargetMode="External"/><Relationship Id="rId5" Type="http://schemas.openxmlformats.org/officeDocument/2006/relationships/hyperlink" Target="https://doi.org/10.4060/cd0683en" TargetMode="External"/><Relationship Id="rId6" Type="http://schemas.openxmlformats.org/officeDocument/2006/relationships/hyperlink" Target="https://www.researchgate.net/publication/302928551_Preliminary_Ecological_Risk_Assessment_of_small_tunas_of_the_Atlantic_Ocean" TargetMode="External"/><Relationship Id="rId7" Type="http://schemas.openxmlformats.org/officeDocument/2006/relationships/hyperlink" Target="https://onlinelibrary.wiley.com/doi/book/10.1002/9780470693803" TargetMode="External"/><Relationship Id="rId8" Type="http://schemas.openxmlformats.org/officeDocument/2006/relationships/hyperlink" Target="http://www.fao.org/docrep/008/y5936e/y5936e00.HTM" TargetMode="External"/><Relationship Id="rId9" Type="http://schemas.openxmlformats.org/officeDocument/2006/relationships/hyperlink" Target="https://doi.org/10.1111/fog.70020" TargetMode="External"/><Relationship Id="rId10" Type="http://schemas.openxmlformats.org/officeDocument/2006/relationships/hyperlink" Target="https://www.pew.org/en/research-and-analysis/reports/2020/10/netting-billions-2020-a-global-tuna-valuation" TargetMode="External"/><Relationship Id="rId11" Type="http://schemas.openxmlformats.org/officeDocument/2006/relationships/hyperlink" Target="https://onlinelibrary.wiley.com/doi/full/10.1111/faf.12771" TargetMode="External"/><Relationship Id="rId12" Type="http://schemas.openxmlformats.org/officeDocument/2006/relationships/hyperlink" Target="https://doi.org/10.1080/23308249.2025.2471085" TargetMode="External"/><Relationship Id="rId13" Type="http://schemas.openxmlformats.org/officeDocument/2006/relationships/hyperlink" Target="https://www.viadesign.com.br/publicacoes" TargetMode="External"/><Relationship Id="rId14" Type="http://schemas.openxmlformats.org/officeDocument/2006/relationships/hyperlink" Target="https://ggplot2.tidyverse.org/" TargetMode="External"/><Relationship Id="rId15" Type="http://schemas.openxmlformats.org/officeDocument/2006/relationships/hyperlink" Target="https://www.worldwildlife.org/threats/bycatch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LibreOffice/26.2.3.2$Windows_X86_64 LibreOffice_project/70e089b17412e4cb7773e41413306b17a2328c34</Application>
  <AppVersion>15.0000</AppVersion>
  <Pages>7</Pages>
  <Words>1485</Words>
  <Characters>8836</Characters>
  <CharactersWithSpaces>10227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Matheus Holanda</dc:creator>
  <dc:description>generated by python-docx</dc:description>
  <dc:language>en-US</dc:language>
  <cp:lastModifiedBy/>
  <dcterms:modified xsi:type="dcterms:W3CDTF">2026-05-28T16:38:30Z</dcterms:modified>
  <cp:revision>4</cp:revision>
  <dc:subject/>
  <dc:title>Dinâmica espaço-temporal da fauna acompanhante capturada na pesca de atuns no oceano Atlântico Sul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