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2"/>
          <w:u w:val="single"/>
        </w:rPr>
        <w:t>Dinâmica espaço-temporal da fauna acompanhante capturada na pesca de atuns no oceano Atlântico Sul</w:t>
      </w:r>
    </w:p>
    <w:p>
      <w:pPr>
        <w:pStyle w:val="Heading1"/>
        <w:rPr/>
      </w:pPr>
      <w:r>
        <w:rPr/>
        <w:t>1. Introdução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A pesca de grandes pelágicos, em especial os atuns, configura-se como uma das principais atividades da pesca comercial em regiões oceânicas tropicais e subtropicais, desempenhando um papel estratégico tanto na segurança alimentar global quanto na geração de emprego e renda (Bornatowski et al. 2018). De acordo com as informações mais recentes da Organização das Nações Unidas para a Alimentação e a Agricultura (FAO, 2024), a pesca de atuns e afins movimentou mais de 17 bilhões de dólares em valor desembarcado apenas no ano de 2022, o que corresponde a aproximadamente 9% do valor total das exportações mundiais de produtos de animais aquáticos.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Dentre os diferentes petrechos utilizados nessa atividade, o espinhel pelágico se destaca como sendo uma das principais modalidades de pesca industrial em escala global (Frédou et al., 2017), tendo como alvo espécies de elevado valor comercial, a exemplo da albacora do Thunnus albacares, Thunnus alalunga, e Xiphias gladius (Majkowski, 2007).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Apesar de sua expressiva relevância socioeconômica, a pesca atuneira também levanta sérias preocupações ambientais. Entre os impactos ecológicos mais significativos associados ao uso do espinhel está a captura incidental (i.e., bycatch) de uma ampla variedade de espécies marinhas vulneráveis ou ameaçadas, como tartarugas, aves e mamíferos, além de outras espécies de peixes com pouco ou nenhum valor comercial (Clarke et al., 2014; Gray &amp; Kennely, 2018). Estudos indicam que a captura incidental na pesca de espinhel apresenta uma taxa média de descarte de 28,5%, sendo superado apenas pela pesca de camarão com redes de arrasto, cuja taxa média alcança 62,3% (Kelleher, 2005).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Isso indica que, embora a pesca de espinhel possa ser considerada relativamente seletiva quando comparada a petrechos como o arrasto e outros de menor seletividade, ela ainda se mostra menos eficiente no que diz respeito à minimização dos descartes totais quando comparado a outras artes de pesca de atuns, como as redes de cerco (com taxa média de descarte de 5,1%) e a pesca com vara e isca viva (apenas 0,4%) (Kelleher, 2005). Nesse contexto, torna-se fundamental compreender a dinâmica espaço-temporal da captura incidental associada à pesca de espinhel, de modo a compreender melhor os padrões de ocorrência e abundância do bycatch e identificar áreas e períodos de maior risco de captura incidental.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No contexto do Oceano Atlântico Sul, ainda persistem importantes lacunas de informação sobre a composição, distribuição e variabilidade espaço-temporal do bycatch associado à pesca de espinhel atuneira. A escassez de dados sistemáticos e integrados, compromete tanto o diagnóstico preciso dos impactos ecológicos, quanto a formulação de medidas de mitigação eficazes. Adicionalmente, a maior parte dos estudos disponíveis concentra-se em áreas específicas ou utiliza abordagens descritivas, carecendo de análises integrativas e preditivas que considerem o contexto ecossistêmico mais amplo no qual essas interações ocorrem.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Diante desse cenário, o presente projeto propõe uma abordagem ecossistêmica para avaliar a dinâmica espaço-temporal do bycatch na pesca de espinhel atuneira no Atlântico Sul, integrando informações pesqueiras e ambientais por meio de Modelos de Distribuição de Espécies (SDMs, do inglês Species Distribution Models). Esses modelos permitirão identificar os principais determinantes ecológicos e operacionais da captura incidental, bem como mapear hotspots de risco de forma e gerar subsídios para a elaboração de estratégias de manejo mais sustentáveis e orientadas à conservação da biodiversidade marinha.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A falta de ações sustentáveis no manejo da pesca com espinhel como a adoção de medidas de proteção.</w:t>
      </w:r>
    </w:p>
    <w:p>
      <w:pPr>
        <w:pStyle w:val="Heading1"/>
        <w:rPr/>
      </w:pPr>
      <w:r>
        <w:rPr/>
        <w:t>2. Objetivos</w:t>
      </w:r>
    </w:p>
    <w:p>
      <w:pPr>
        <w:pStyle w:val="Heading2"/>
        <w:rPr/>
      </w:pPr>
      <w:r>
        <w:rPr/>
        <w:t>2.1. Geral</w:t>
      </w:r>
    </w:p>
    <w:p>
      <w:pPr>
        <w:pStyle w:val="Normal"/>
        <w:jc w:val="both"/>
        <w:rPr/>
      </w:pPr>
      <w:r>
        <w:rPr/>
        <w:t>Avaliar a dinâmica espaço-temporal da</w:t>
      </w:r>
      <w:r>
        <w:rPr/>
        <w:t xml:space="preserve">s espécies: </w:t>
      </w:r>
      <w:r>
        <w:rPr>
          <w:i/>
          <w:iCs/>
        </w:rPr>
        <w:t>Xiphias gladius, Istiophorus albicans, Tetrapturus albidus, Makaira nigricans</w:t>
      </w:r>
      <w:r>
        <w:rPr>
          <w:i/>
          <w:iCs/>
        </w:rPr>
        <w:t xml:space="preserve"> </w:t>
      </w:r>
      <w:r>
        <w:rPr/>
        <w:t>no Atlântico Sul.</w:t>
      </w:r>
    </w:p>
    <w:p>
      <w:pPr>
        <w:pStyle w:val="Heading2"/>
        <w:rPr/>
      </w:pPr>
      <w:r>
        <w:rPr/>
        <w:t>2.2. Específicos</w:t>
      </w:r>
    </w:p>
    <w:p>
      <w:pPr>
        <w:pStyle w:val="ListBullet"/>
        <w:numPr>
          <w:ilvl w:val="0"/>
          <w:numId w:val="0"/>
        </w:numPr>
        <w:ind w:hanging="0" w:start="360"/>
        <w:jc w:val="both"/>
        <w:rPr/>
      </w:pPr>
      <w:r>
        <w:rPr/>
      </w:r>
    </w:p>
    <w:p>
      <w:pPr>
        <w:pStyle w:val="ListBullet"/>
        <w:numPr>
          <w:ilvl w:val="0"/>
          <w:numId w:val="1"/>
        </w:numPr>
        <w:jc w:val="both"/>
        <w:rPr/>
      </w:pPr>
      <w:r>
        <w:rPr/>
        <w:t>Identificar zonas de agregação (hot-spots) persistentes e transitórias;</w:t>
      </w:r>
    </w:p>
    <w:p>
      <w:pPr>
        <w:pStyle w:val="ListBullet"/>
        <w:numPr>
          <w:ilvl w:val="0"/>
          <w:numId w:val="1"/>
        </w:numPr>
        <w:jc w:val="both"/>
        <w:rPr/>
      </w:pPr>
      <w:r>
        <w:rPr/>
        <w:t xml:space="preserve">Descrever o padrão de distribuição espaço-temporal das </w:t>
      </w:r>
      <w:r>
        <w:rPr/>
        <w:t>espécies</w:t>
      </w:r>
      <w:r>
        <w:rPr/>
        <w:t>, de modo a identificar áreas de agregação (i.e., hot-spots) permanentes e sazonais.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/>
        <w:t xml:space="preserve">Predizer a distribuição das </w:t>
      </w:r>
      <w:r>
        <w:rPr/>
        <w:t>espécies</w:t>
      </w:r>
      <w:r>
        <w:rPr/>
        <w:t xml:space="preserve"> diante de futuros cenários de aquecimento global para antecipar as possíveis consequências ecológicas e econômicas.</w:t>
      </w:r>
    </w:p>
    <w:p>
      <w:pPr>
        <w:pStyle w:val="Heading1"/>
        <w:rPr/>
      </w:pPr>
      <w:r>
        <w:rPr/>
        <w:t>3. Material &amp; Métodos</w:t>
      </w:r>
    </w:p>
    <w:p>
      <w:pPr>
        <w:pStyle w:val="Heading2"/>
        <w:rPr/>
      </w:pPr>
      <w:r>
        <w:rPr/>
        <w:t>3.1. Banco de Dados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O projeto usará os dados, coordenados pelo ICCAT e intermediados pelo Prof. Dr. Humberto Hazin (UNI), de captura atuneira de espinhel brasileira, as quais englobam embarcações que operaram no Oceano Atlântico Sul entre 1978 e 2016. Os dados reúnem um conjunto de informações operacionais e biológicas em diários de bordo, como por exemplo local (long e lat) e data da pesca, número de anzóis e cestos utilizados (esforço), e composição e quantificação da captura (alvo e incidental).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Em seguida será montado um banco de dados de variáveis ambientais relacionadas à biologia e ecologia das espécies capturadas, o qual cobrirá tanto a série histórica quanto às projeções para futuros cenários de aquecimento global. Esses dados, que incluirão informações oceanográficas físico-químicas, geológicas e biológicas, serão obtidos via fontes online que disponibilizam gratuitamente dados de sensoriamento remoto (Copernicus, NOAA, MARSPEC, bio-ORACLE). Devido às diferentes resoluções espaciais e temporais, os dados serão padronizados para que possam cobrir a maior resolução espacial e temporal possível.</w:t>
      </w:r>
    </w:p>
    <w:p>
      <w:pPr>
        <w:pStyle w:val="Heading2"/>
        <w:rPr/>
      </w:pPr>
      <w:r>
        <w:rPr/>
        <w:t>3.2. Análise de Dados</w:t>
      </w:r>
    </w:p>
    <w:p>
      <w:pPr>
        <w:pStyle w:val="Normal"/>
        <w:spacing w:lineRule="auto" w:line="276"/>
        <w:ind w:firstLine="709"/>
        <w:jc w:val="both"/>
        <w:rPr/>
      </w:pPr>
      <w:r>
        <w:rPr/>
        <w:t>Modelos de distribuição de espécies (SMDs) serão utilizados para estimar e prever a abundância dos atuns e da fauna associada à sua pesca. Relacionando as ocorrências (ou abundância/biomassa) de uma espécie a um conjunto de variáveis ambientais que melhor reflitam os seus requerimentos biológicos e ecológicos (Franklin, 2010; Guisan et al. 2013), e são dessa forma utilizados para prever a sua distribuição geográfica atual, passada ou futura. Nesse projeto, a abundância será medida por meio da CPUE, aqui definida pela captura em números de uma espécie padronizada pelo esforço pesqueiro.</w:t>
      </w:r>
    </w:p>
    <w:p>
      <w:pPr>
        <w:pStyle w:val="Normal"/>
        <w:spacing w:lineRule="auto" w:line="276" w:before="0" w:after="200"/>
        <w:ind w:firstLine="709"/>
        <w:jc w:val="both"/>
        <w:rPr/>
        <w:sectPr>
          <w:type w:val="nextPage"/>
          <w:pgSz w:w="12240" w:h="15840"/>
          <w:pgMar w:left="1417" w:right="1417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</w:pPr>
      <w:r>
        <w:rPr/>
        <w:t>A interface Rstudio será a ferramenta usada para manipulação de dados e as análises estatísticas com o uso do pacote ggplot2 (Wickham 2009).</w:t>
      </w:r>
    </w:p>
    <w:p>
      <w:pPr>
        <w:pStyle w:val="Heading1"/>
        <w:rPr/>
      </w:pPr>
      <w:r>
        <w:rPr/>
        <w:t>Cronograma</w:t>
      </w:r>
    </w:p>
    <w:tbl>
      <w:tblPr>
        <w:tblW w:w="141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177"/>
        <w:gridCol w:w="1179"/>
        <w:gridCol w:w="1178"/>
        <w:gridCol w:w="1177"/>
        <w:gridCol w:w="1179"/>
        <w:gridCol w:w="1178"/>
        <w:gridCol w:w="1177"/>
        <w:gridCol w:w="1179"/>
        <w:gridCol w:w="1178"/>
        <w:gridCol w:w="1177"/>
        <w:gridCol w:w="1179"/>
        <w:gridCol w:w="1178"/>
      </w:tblGrid>
      <w:tr>
        <w:trPr/>
        <w:tc>
          <w:tcPr>
            <w:tcW w:w="1177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Atividade</w:t>
            </w:r>
          </w:p>
        </w:tc>
        <w:tc>
          <w:tcPr>
            <w:tcW w:w="4713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202</w:t>
            </w:r>
            <w:r>
              <w:rPr>
                <w:b/>
                <w:sz w:val="18"/>
              </w:rPr>
              <w:t>6</w:t>
            </w:r>
          </w:p>
        </w:tc>
        <w:tc>
          <w:tcPr>
            <w:tcW w:w="8246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202</w:t>
            </w:r>
            <w:r>
              <w:rPr>
                <w:b/>
                <w:sz w:val="18"/>
              </w:rPr>
              <w:t>7</w:t>
            </w:r>
          </w:p>
        </w:tc>
      </w:tr>
      <w:tr>
        <w:trPr/>
        <w:tc>
          <w:tcPr>
            <w:tcW w:w="1177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Set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Out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Nov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Dez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Jan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Fev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Mar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Abr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Jun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Jul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7D7F2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6"/>
              </w:rPr>
              <w:t>Ago</w:t>
            </w:r>
          </w:p>
        </w:tc>
      </w:tr>
      <w:tr>
        <w:trPr/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start"/>
              <w:rPr/>
            </w:pPr>
            <w:r>
              <w:rPr>
                <w:b/>
                <w:sz w:val="16"/>
              </w:rPr>
              <w:t>Lev. bibliograf.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</w:tr>
      <w:tr>
        <w:trPr/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start"/>
              <w:rPr/>
            </w:pPr>
            <w:r>
              <w:rPr>
                <w:b/>
                <w:sz w:val="16"/>
              </w:rPr>
              <w:t>Col. de dados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start"/>
              <w:rPr/>
            </w:pPr>
            <w:r>
              <w:rPr>
                <w:b/>
                <w:sz w:val="16"/>
              </w:rPr>
              <w:t>Man. de dados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start"/>
              <w:rPr/>
            </w:pPr>
            <w:r>
              <w:rPr>
                <w:b/>
                <w:sz w:val="16"/>
              </w:rPr>
              <w:t>Análises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start"/>
              <w:rPr/>
            </w:pPr>
            <w:r>
              <w:rPr>
                <w:b/>
                <w:sz w:val="16"/>
              </w:rPr>
              <w:t>Resultados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start"/>
              <w:rPr/>
            </w:pPr>
            <w:r>
              <w:rPr>
                <w:b/>
                <w:sz w:val="16"/>
              </w:rPr>
              <w:t>Esc. de relatat.</w:t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1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  <w:tc>
          <w:tcPr>
            <w:tcW w:w="11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18"/>
              </w:rPr>
              <w:t>x</w:t>
            </w:r>
          </w:p>
        </w:tc>
      </w:tr>
    </w:tbl>
    <w:p>
      <w:pPr>
        <w:sectPr>
          <w:type w:val="nextPage"/>
          <w:pgSz w:orient="landscape" w:w="15840" w:h="12240"/>
          <w:pgMar w:left="850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rPr/>
      </w:pPr>
      <w:r>
        <w:rPr/>
        <w:t>4. Referências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Majkowski, J., 2007. Global fishery resources of tuna and tuna-like species. FAO fisheries technical paper, 483. FAO, Rome, 1-66 pp.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Clarke, S., Sato, M., Small, C., Sullivan, B., Inoue, Y. and Ochi, D., 2014. Bycatch in longline fisheries for tuna and tuna-like species: a global review of status and mitigation measures. FAO fisheries and aquaculture technical paper, 588, 1-199 pp.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Kelleher, K. 2005. Discards in the world’s marine fisheries: an update. FAO Fisheries Technical Paper No. 470, Rome, FAO. 131 pp., www.fao.org/docrep/008/y5936e/y5936e00.HTM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Gray, C.A. and Kennelly, S.J., 2018. Bycatches of endangered, threatened and protected species in marine fisheries. Reviews in Fish Biology and Fisheries, 28(3), pp.521-541.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Bornatowski, H., Angelini, R., Coll, M. et al. Ecological role and historical trends of large pelagic predators in a subtropical marine ecosystem of the South Atlantic. Rev Fish Biol Fisheries 28, 241–259 (2018). https://doi.org/10.1007/s11160-017-9492-z. Acesso em: 06 junho 2025.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Davies, R. W., Cripps, S. J., Nickson, A., &amp; Porter, G. (2009). Defining and estimating global marine fisheries bycatch. Marine Policy, 33(4), 661-672.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FAO. 2024. The State of World Fisheries and Aquaculture 2024 – Blue Transformation in action. Rome. https://doi.org/10.4060/cd0683en.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Franklin, J. 2010. Mapping species distributions: spatial inference and prediction. New York, Cambridge University Press, 336 pp.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FRÉDOU, F. L.; KELL, L.; FRÉDOU, T. et al. Vulnerability of teleosts caught by the pelagic tuna longline fleets in South Atlantic and Western Indian Oceans. Journal Elsevier, 2017, p. 230–241. Disponível em: https://www.researchgate.net/publication/302928551_Preliminary_Ecological_Risk_Assessment_of_small_tunas_of_the_Atlantic_Ocean. Acesso em: 28 maio 2025.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HART, Paul J.B.; REYNOLDS, John D. (ed.). Handbook of fish biology and fisheries. Volume 1: Fish biology. Oxford: Blackwell Publishing, 2002. 418 p. Disponível em: https://onlinelibrary.wiley.com/doi/book/10.1002/9780470693803. Acesso em: 3 jun. 2025.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IPCC. 2022. Climate change 2022: impacts, adaptation, and vulnerability. Contribution of working group ii to the sixth assessment report of the intergovernmental panel on climate change. Cambridge University Press. Cambridge University Press. 3056 p.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McKINNEY, Raiana; GIBBON, James; WOZNIAK, Esther; GALLAND, Grantly. Netting Billions 2020: A Global Tuna Valuation. [S.l.]: The Pew Charitable Trusts, 2020. Disponível em: https://www.pew.org/en/research-and-analysis/reports/2020/10/netting-billions-2020-a-global-tuna-valuation. Acesso em: 5 jun. 2025.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PEATMAN, T. R. et al. Estimating trends and magnitudes of bycatch in the WCPO longline fishery using EM and observer data. Western and Central Pacific Fisheries Commission Scientific Committee Paper, WCPFC-SC19-2023/ST-IP-01, 2023. Disponível em: https://onlinelibrary.wiley.com/doi/full/10.1111/faf.12771. Acesso em: 26 maio 2025.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WICKHAM, Hadley. ggplot2: Elegant Graphics for Data Analysis. New York: Springer-Verlag, 2016. Disponível em: https://ggplot2.tidyverse.org. Acesso em: 5 jun. 2025.</w:t>
      </w:r>
    </w:p>
    <w:p>
      <w:pPr>
        <w:pStyle w:val="Normal"/>
        <w:spacing w:before="0" w:after="120"/>
        <w:ind w:hanging="283" w:start="283"/>
        <w:jc w:val="both"/>
        <w:rPr/>
      </w:pPr>
      <w:r>
        <w:rPr/>
        <w:t>WWF – WORLD WILDLIFE FUND. Bycatch. 2024. Disponível em: https://www.worldwildlife.org/threats/bycatch. Acesso em: 26 maio 2025.</w:t>
      </w:r>
    </w:p>
    <w:sectPr>
      <w:type w:val="nextPage"/>
      <w:pgSz w:w="12240" w:h="15840"/>
      <w:pgMar w:left="1417" w:right="141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LibreOffice/26.2.3.2$Windows_X86_64 LibreOffice_project/70e089b17412e4cb7773e41413306b17a2328c34</Application>
  <AppVersion>15.0000</AppVersion>
  <Pages>6</Pages>
  <Words>1394</Words>
  <Characters>8343</Characters>
  <CharactersWithSpaces>9647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Matheus Holanda</dc:creator>
  <dc:description>generated by python-docx</dc:description>
  <dc:language>en-US</dc:language>
  <cp:lastModifiedBy/>
  <dcterms:modified xsi:type="dcterms:W3CDTF">2026-05-28T14:10:40Z</dcterms:modified>
  <cp:revision>2</cp:revision>
  <dc:subject/>
  <dc:title>Dinâmica espaço-temporal da fauna acompanhante capturada na pesca de atuns no oceano Atlântico Sul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