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u w:val="single"/>
        </w:rPr>
        <w:t>Dinâmica espaço-temporal da fauna acompanhante capturada na pesca de atuns no oceano Atlântico Sul</w:t>
      </w:r>
    </w:p>
    <w:p>
      <w:pPr>
        <w:pStyle w:val="Heading1"/>
      </w:pPr>
      <w:r>
        <w:t>1. Introdução</w:t>
      </w:r>
    </w:p>
    <w:p>
      <w:pPr>
        <w:spacing w:line="276" w:lineRule="auto"/>
        <w:ind w:firstLine="709"/>
        <w:jc w:val="both"/>
      </w:pPr>
      <w:r>
        <w:t>A pesca de grandes pelágicos, em especial os atuns, configura-se como uma das principais atividades da pesca comercial em regiões oceânicas tropicais e subtropicais, desempenhando um papel estratégico tanto na segurança alimentar global quanto na geração de emprego e renda (Bornatowski et al. 2018). De acordo com as informações mais recentes da Organização das Nações Unidas para a Alimentação e a Agricultura (FAO, 2024), a pesca de atuns e afins movimentou mais de 17 bilhões de dólares em valor desembarcado apenas no ano de 2022, o que corresponde a aproximadamente 9% do valor total das exportações mundiais de produtos de animais aquáticos.</w:t>
      </w:r>
    </w:p>
    <w:p>
      <w:pPr>
        <w:spacing w:line="276" w:lineRule="auto"/>
        <w:ind w:firstLine="709"/>
        <w:jc w:val="both"/>
      </w:pPr>
      <w:r>
        <w:t>Dentre os diferentes petrechos utilizados nessa atividade, o espinhel pelágico se destaca como sendo uma das principais modalidades de pesca industrial em escala global (Frédou et al., 2017), tendo como alvo espécies de elevado valor comercial, a exemplo da albacora do Thunnus albacares, Thunnus alalunga, e Xiphias gladius (Majkowski, 2007).</w:t>
      </w:r>
    </w:p>
    <w:p>
      <w:pPr>
        <w:spacing w:line="276" w:lineRule="auto"/>
        <w:ind w:firstLine="709"/>
        <w:jc w:val="both"/>
      </w:pPr>
      <w:r>
        <w:t>Apesar de sua expressiva relevância socioeconômica, a pesca atuneira também levanta sérias preocupações ambientais. Entre os impactos ecológicos mais significativos associados ao uso do espinhel está a captura incidental (i.e., bycatch) de uma ampla variedade de espécies marinhas vulneráveis ou ameaçadas, como tartarugas, aves e mamíferos, além de outras espécies de peixes com pouco ou nenhum valor comercial (Clarke et al., 2014; Gray &amp; Kennely, 2018). Estudos indicam que a captura incidental na pesca de espinhel apresenta uma taxa média de descarte de 28,5%, sendo superado apenas pela pesca de camarão com redes de arrasto, cuja taxa média alcança 62,3% (Kelleher, 2005).</w:t>
      </w:r>
    </w:p>
    <w:p>
      <w:pPr>
        <w:spacing w:line="276" w:lineRule="auto"/>
        <w:ind w:firstLine="709"/>
        <w:jc w:val="both"/>
      </w:pPr>
      <w:r>
        <w:t>Isso indica que, embora a pesca de espinhel possa ser considerada relativamente seletiva quando comparada a petrechos como o arrasto e outros de menor seletividade, ela ainda se mostra menos eficiente no que diz respeito à minimização dos descartes totais quando comparado a outras artes de pesca de atuns, como as redes de cerco (com taxa média de descarte de 5,1%) e a pesca com vara e isca viva (apenas 0,4%) (Kelleher, 2005). Nesse contexto, torna-se fundamental compreender a dinâmica espaço-temporal da captura incidental associada à pesca de espinhel, de modo a compreender melhor os padrões de ocorrência e abundância do bycatch e identificar áreas e períodos de maior risco de captura incidental.</w:t>
      </w:r>
    </w:p>
    <w:p>
      <w:pPr>
        <w:spacing w:line="276" w:lineRule="auto"/>
        <w:ind w:firstLine="709"/>
        <w:jc w:val="both"/>
      </w:pPr>
      <w:r>
        <w:t>No contexto do Oceano Atlântico Sul, ainda persistem importantes lacunas de informação sobre a composição, distribuição e variabilidade espaço-temporal do bycatch associado à pesca de espinhel atuneira. A escassez de dados sistemáticos e integrados, compromete tanto o diagnóstico preciso dos impactos ecológicos, quanto a formulação de medidas de mitigação eficazes. Adicionalmente, a maior parte dos estudos disponíveis concentra-se em áreas específicas ou utiliza abordagens descritivas, carecendo de análises integrativas e preditivas que considerem o contexto ecossistêmico mais amplo no qual essas interações ocorrem.</w:t>
      </w:r>
    </w:p>
    <w:p>
      <w:pPr>
        <w:spacing w:line="276" w:lineRule="auto"/>
        <w:ind w:firstLine="709"/>
        <w:jc w:val="both"/>
      </w:pPr>
      <w:r>
        <w:t>Diante desse cenário, o presente projeto propõe uma abordagem ecossistêmica para avaliar a dinâmica espaço-temporal do bycatch na pesca de espinhel atuneira no Atlântico Sul, integrando informações pesqueiras e ambientais por meio de Modelos de Distribuição de Espécies (SDMs, do inglês Species Distribution Models). Esses modelos permitirão identificar os principais determinantes ecológicos e operacionais da captura incidental, bem como mapear hotspots de risco de forma e gerar subsídios para a elaboração de estratégias de manejo mais sustentáveis e orientadas à conservação da biodiversidade marinha.</w:t>
      </w:r>
    </w:p>
    <w:p>
      <w:pPr>
        <w:spacing w:line="276" w:lineRule="auto"/>
        <w:ind w:firstLine="709"/>
        <w:jc w:val="both"/>
      </w:pPr>
      <w:r>
        <w:t>A falta de ações sustentáveis no manejo da pesca com espinhel como a adoção de medidas de proteção.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2.1. Geral</w:t>
      </w:r>
    </w:p>
    <w:p>
      <w:pPr>
        <w:jc w:val="both"/>
      </w:pPr>
      <w:r>
        <w:t>Avaliar a dinâmica espaço-temporal da fauna acompanhante da pesca de atum no Atlântico Sul.</w:t>
      </w:r>
    </w:p>
    <w:p>
      <w:pPr>
        <w:pStyle w:val="Heading2"/>
      </w:pPr>
      <w:r>
        <w:t>2.2. Específicos</w:t>
      </w:r>
    </w:p>
    <w:p>
      <w:pPr>
        <w:pStyle w:val="ListBullet"/>
        <w:jc w:val="both"/>
      </w:pPr>
      <w:r>
        <w:t>Caracterizar a composição das capturas (bycatch) ao longo da série histórica de forma a identificar mudanças operacionais da pesca e/ou ambientais.</w:t>
      </w:r>
    </w:p>
    <w:p>
      <w:pPr>
        <w:pStyle w:val="ListBullet"/>
        <w:jc w:val="both"/>
      </w:pPr>
      <w:r>
        <w:t>Relacionar a dinâmica temporal-espacial da comunidade de animais acompanhantes a fatores ambientais e da pesca.</w:t>
      </w:r>
    </w:p>
    <w:p>
      <w:pPr>
        <w:pStyle w:val="ListBullet"/>
        <w:jc w:val="both"/>
      </w:pPr>
      <w:r>
        <w:t>Avaliar mudanças na estrutura comunitária ao longo da série temporal.</w:t>
      </w:r>
    </w:p>
    <w:p>
      <w:pPr>
        <w:pStyle w:val="ListBullet2"/>
      </w:pPr>
      <w:r>
        <w:t>Riqueza</w:t>
      </w:r>
    </w:p>
    <w:p>
      <w:pPr>
        <w:pStyle w:val="ListBullet2"/>
      </w:pPr>
      <w:r>
        <w:t>Diversidade</w:t>
      </w:r>
    </w:p>
    <w:p>
      <w:pPr>
        <w:pStyle w:val="ListBullet2"/>
      </w:pPr>
      <w:r>
        <w:t>Equitabilidade</w:t>
      </w:r>
    </w:p>
    <w:p>
      <w:pPr>
        <w:pStyle w:val="ListBullet"/>
        <w:jc w:val="both"/>
      </w:pPr>
      <w:r>
        <w:t>Identificar zonas de agregação (hot-spots) persistentes e transitórias da fauna acompanhante;</w:t>
      </w:r>
    </w:p>
    <w:p>
      <w:pPr>
        <w:pStyle w:val="ListBullet"/>
        <w:jc w:val="both"/>
      </w:pPr>
      <w:r>
        <w:t>Descrever o padrão de distribuição espaço-temporal das capturas (alvo e bycatch), de modo a identificar áreas de agregação (i.e., hot-spots) permanentes e sazonais.</w:t>
      </w:r>
    </w:p>
    <w:p>
      <w:pPr>
        <w:pStyle w:val="ListBullet"/>
        <w:jc w:val="both"/>
      </w:pPr>
      <w:r>
        <w:t>Predizer a distribuição das capturas (alvo e bycatch) diante de futuros cenários de aquecimento global para antecipar as possíveis consequências ecológicas e econômicas.</w:t>
      </w:r>
    </w:p>
    <w:p>
      <w:pPr>
        <w:pStyle w:val="Heading1"/>
      </w:pPr>
      <w:r>
        <w:t>3. Material &amp; Métodos</w:t>
      </w:r>
    </w:p>
    <w:p>
      <w:pPr>
        <w:pStyle w:val="Heading2"/>
      </w:pPr>
      <w:r>
        <w:t>3.1. Banco de Dados</w:t>
      </w:r>
    </w:p>
    <w:p>
      <w:pPr>
        <w:spacing w:line="276" w:lineRule="auto"/>
        <w:ind w:firstLine="709"/>
        <w:jc w:val="both"/>
      </w:pPr>
      <w:r>
        <w:t>O projeto usará os dados, coordenados pelo ICCAT e intermediados pelo Prof. Dr. Humberto Hazin (UNI), de captura atuneira de espinhel brasileira, as quais englobam embarcações que operaram no Oceano Atlântico Sul entre 1978 e 2016. Os dados reúnem um conjunto de informações operacionais e biológicas em diários de bordo, como por exemplo local (long e lat) e data da pesca, número de anzóis e cestos utilizados (esforço), e composição e quantificação da captura (alvo e incidental).</w:t>
      </w:r>
    </w:p>
    <w:p>
      <w:pPr>
        <w:spacing w:line="276" w:lineRule="auto"/>
        <w:ind w:firstLine="709"/>
        <w:jc w:val="both"/>
      </w:pPr>
      <w:r>
        <w:t>Em seguida será montado um banco de dados de variáveis ambientais relacionadas à biologia e ecologia das espécies capturadas, o qual cobrirá tanto a série histórica quanto às projeções para futuros cenários de aquecimento global. Esses dados, que incluirão informações oceanográficas físico-químicas, geológicas e biológicas, serão obtidos via fontes online que disponibilizam gratuitamente dados de sensoriamento remoto (Copernicus, NOAA, MARSPEC, bio-ORACLE). Devido às diferentes resoluções espaciais e temporais, os dados serão padronizados para que possam cobrir a maior resolução espacial e temporal possível.</w:t>
      </w:r>
    </w:p>
    <w:p>
      <w:pPr>
        <w:pStyle w:val="Heading2"/>
      </w:pPr>
      <w:r>
        <w:t>3.2. Análise de Dados</w:t>
      </w:r>
    </w:p>
    <w:p>
      <w:pPr>
        <w:spacing w:line="276" w:lineRule="auto"/>
        <w:ind w:firstLine="709"/>
        <w:jc w:val="both"/>
      </w:pPr>
      <w:r>
        <w:t>Modelos de distribuição de espécies (SMDs) serão utilizados para estimar e prever a abundância dos atuns e da fauna associada à sua pesca. Relacionando as ocorrências (ou abundância/biomassa) de uma espécie a um conjunto de variáveis ambientais que melhor reflitam os seus requerimentos biológicos e ecológicos (Franklin, 2010; Guisan et al. 2013), e são dessa forma utilizados para prever a sua distribuição geográfica atual, passada ou futura. Nesse projeto, a abundância será medida por meio da CPUE, aqui definida pela captura em números de uma espécie padronizada pelo esforço pesqueiro.</w:t>
      </w:r>
    </w:p>
    <w:p>
      <w:pPr>
        <w:spacing w:line="276" w:lineRule="auto"/>
        <w:ind w:firstLine="709"/>
        <w:jc w:val="both"/>
      </w:pPr>
      <w:r>
        <w:t>A interface Rstudio será a ferramenta usada para manipulação de dados e as análises estatísticas com o uso do pacote ggplot2 (Wickham 2009).</w:t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Cronograma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  <w:vMerge w:val="restart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4712"/>
            <w:gridSpan w:val="4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2025</w:t>
            </w:r>
          </w:p>
        </w:tc>
        <w:tc>
          <w:tcPr>
            <w:tcW w:type="dxa" w:w="8246"/>
            <w:gridSpan w:val="7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2026</w:t>
            </w:r>
          </w:p>
        </w:tc>
      </w:tr>
      <w:tr>
        <w:tc>
          <w:tcPr>
            <w:tcW w:type="dxa" w:w="1178"/>
            <w:vMerge/>
          </w:tcPr>
          <w:p/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Set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Out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Nov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Dez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Jan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Fev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Mar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Abr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Jun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Jul</w:t>
            </w:r>
          </w:p>
        </w:tc>
        <w:tc>
          <w:tcPr>
            <w:tcW w:type="dxa" w:w="1178"/>
            <w:vAlign w:val="center"/>
            <w:shd w:fill="C7D7F2"/>
          </w:tcPr>
          <w:p>
            <w:pPr>
              <w:jc w:val="center"/>
            </w:pPr>
            <w:r/>
            <w:r>
              <w:rPr>
                <w:b/>
                <w:sz w:val="16"/>
              </w:rPr>
              <w:t>Ago</w:t>
            </w:r>
          </w:p>
        </w:tc>
      </w:tr>
      <w:tr>
        <w:tc>
          <w:tcPr>
            <w:tcW w:type="dxa" w:w="117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Lev. bibliograf.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</w:tr>
      <w:tr>
        <w:tc>
          <w:tcPr>
            <w:tcW w:type="dxa" w:w="117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Col. de dados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17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Man. de dados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17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Análises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17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Resultados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17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Esc. de relatat.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11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</w:tr>
    </w:tbl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4. Referências</w:t>
      </w:r>
    </w:p>
    <w:p>
      <w:pPr>
        <w:spacing w:after="120"/>
        <w:ind w:hanging="283" w:left="283"/>
        <w:jc w:val="both"/>
      </w:pPr>
      <w:r>
        <w:t>Majkowski, J., 2007. Global fishery resources of tuna and tuna-like species. FAO fisheries technical paper, 483. FAO, Rome, 1-66 pp.</w:t>
      </w:r>
    </w:p>
    <w:p>
      <w:pPr>
        <w:spacing w:after="120"/>
        <w:ind w:hanging="283" w:left="283"/>
        <w:jc w:val="both"/>
      </w:pPr>
      <w:r>
        <w:t>Clarke, S., Sato, M., Small, C., Sullivan, B., Inoue, Y. and Ochi, D., 2014. Bycatch in longline fisheries for tuna and tuna-like species: a global review of status and mitigation measures. FAO fisheries and aquaculture technical paper, 588, 1-199 pp.</w:t>
      </w:r>
    </w:p>
    <w:p>
      <w:pPr>
        <w:spacing w:after="120"/>
        <w:ind w:hanging="283" w:left="283"/>
        <w:jc w:val="both"/>
      </w:pPr>
      <w:r>
        <w:t>Kelleher, K. 2005. Discards in the world’s marine fisheries: an update. FAO Fisheries Technical Paper No. 470, Rome, FAO. 131 pp., www.fao.org/docrep/008/y5936e/y5936e00.HTM</w:t>
      </w:r>
    </w:p>
    <w:p>
      <w:pPr>
        <w:spacing w:after="120"/>
        <w:ind w:hanging="283" w:left="283"/>
        <w:jc w:val="both"/>
      </w:pPr>
      <w:r>
        <w:t>Gray, C.A. and Kennelly, S.J., 2018. Bycatches of endangered, threatened and protected species in marine fisheries. Reviews in Fish Biology and Fisheries, 28(3), pp.521-541.</w:t>
      </w:r>
    </w:p>
    <w:p>
      <w:pPr>
        <w:spacing w:after="120"/>
        <w:ind w:hanging="283" w:left="283"/>
        <w:jc w:val="both"/>
      </w:pPr>
      <w:r>
        <w:t>Bornatowski, H., Angelini, R., Coll, M. et al. Ecological role and historical trends of large pelagic predators in a subtropical marine ecosystem of the South Atlantic. Rev Fish Biol Fisheries 28, 241–259 (2018). https://doi.org/10.1007/s11160-017-9492-z. Acesso em: 06 junho 2025.</w:t>
      </w:r>
    </w:p>
    <w:p>
      <w:pPr>
        <w:spacing w:after="120"/>
        <w:ind w:hanging="283" w:left="283"/>
        <w:jc w:val="both"/>
      </w:pPr>
      <w:r>
        <w:t>Davies, R. W., Cripps, S. J., Nickson, A., &amp; Porter, G. (2009). Defining and estimating global marine fisheries bycatch. Marine Policy, 33(4), 661-672.</w:t>
      </w:r>
    </w:p>
    <w:p>
      <w:pPr>
        <w:spacing w:after="120"/>
        <w:ind w:hanging="283" w:left="283"/>
        <w:jc w:val="both"/>
      </w:pPr>
      <w:r>
        <w:t>FAO. 2024. The State of World Fisheries and Aquaculture 2024 – Blue Transformation in action. Rome. https://doi.org/10.4060/cd0683en.</w:t>
      </w:r>
    </w:p>
    <w:p>
      <w:pPr>
        <w:spacing w:after="120"/>
        <w:ind w:hanging="283" w:left="283"/>
        <w:jc w:val="both"/>
      </w:pPr>
      <w:r>
        <w:t>Franklin, J. 2010. Mapping species distributions: spatial inference and prediction. New York, Cambridge University Press, 336 pp.</w:t>
      </w:r>
    </w:p>
    <w:p>
      <w:pPr>
        <w:spacing w:after="120"/>
        <w:ind w:hanging="283" w:left="283"/>
        <w:jc w:val="both"/>
      </w:pPr>
      <w:r>
        <w:t>FRÉDOU, F. L.; KELL, L.; FRÉDOU, T. et al. Vulnerability of teleosts caught by the pelagic tuna longline fleets in South Atlantic and Western Indian Oceans. Journal Elsevier, 2017, p. 230–241. Disponível em: https://www.researchgate.net/publication/302928551_Preliminary_Ecological_Risk_Assessment_of_small_tunas_of_the_Atlantic_Ocean. Acesso em: 28 maio 2025.</w:t>
      </w:r>
    </w:p>
    <w:p>
      <w:pPr>
        <w:spacing w:after="120"/>
        <w:ind w:hanging="283" w:left="283"/>
        <w:jc w:val="both"/>
      </w:pPr>
      <w:r>
        <w:t>HART, Paul J.B.; REYNOLDS, John D. (ed.). Handbook of fish biology and fisheries. Volume 1: Fish biology. Oxford: Blackwell Publishing, 2002. 418 p. Disponível em: https://onlinelibrary.wiley.com/doi/book/10.1002/9780470693803. Acesso em: 3 jun. 2025.</w:t>
      </w:r>
    </w:p>
    <w:p>
      <w:pPr>
        <w:spacing w:after="120"/>
        <w:ind w:hanging="283" w:left="283"/>
        <w:jc w:val="both"/>
      </w:pPr>
      <w:r>
        <w:t>IPCC. 2022. Climate change 2022: impacts, adaptation, and vulnerability. Contribution of working group ii to the sixth assessment report of the intergovernmental panel on climate change. Cambridge University Press. Cambridge University Press. 3056 p.</w:t>
      </w:r>
    </w:p>
    <w:p>
      <w:pPr>
        <w:spacing w:after="120"/>
        <w:ind w:hanging="283" w:left="283"/>
        <w:jc w:val="both"/>
      </w:pPr>
      <w:r>
        <w:t>McKINNEY, Raiana; GIBBON, James; WOZNIAK, Esther; GALLAND, Grantly. Netting Billions 2020: A Global Tuna Valuation. [S.l.]: The Pew Charitable Trusts, 2020. Disponível em: https://www.pew.org/en/research-and-analysis/reports/2020/10/netting-billions-2020-a-global-tuna-valuation. Acesso em: 5 jun. 2025.</w:t>
      </w:r>
    </w:p>
    <w:p>
      <w:pPr>
        <w:spacing w:after="120"/>
        <w:ind w:hanging="283" w:left="283"/>
        <w:jc w:val="both"/>
      </w:pPr>
      <w:r>
        <w:t>PEATMAN, T. R. et al. Estimating trends and magnitudes of bycatch in the WCPO longline fishery using EM and observer data. Western and Central Pacific Fisheries Commission Scientific Committee Paper, WCPFC-SC19-2023/ST-IP-01, 2023. Disponível em: https://onlinelibrary.wiley.com/doi/full/10.1111/faf.12771. Acesso em: 26 maio 2025.</w:t>
      </w:r>
    </w:p>
    <w:p>
      <w:pPr>
        <w:spacing w:after="120"/>
        <w:ind w:hanging="283" w:left="283"/>
        <w:jc w:val="both"/>
      </w:pPr>
      <w:r>
        <w:t>WICKHAM, Hadley. ggplot2: Elegant Graphics for Data Analysis. New York: Springer-Verlag, 2016. Disponível em: https://ggplot2.tidyverse.org. Acesso em: 5 jun. 2025.</w:t>
      </w:r>
    </w:p>
    <w:p>
      <w:pPr>
        <w:spacing w:after="120"/>
        <w:ind w:hanging="283" w:left="283"/>
        <w:jc w:val="both"/>
      </w:pPr>
      <w:r>
        <w:t>WWF – WORLD WILDLIFE FUND. Bycatch. 2024. Disponível em: https://www.worldwildlife.org/threats/bycatch. Acesso em: 26 maio 2025.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Dinâmica espaço-temporal da fauna acompanhante capturada na pesca de atuns no oceano Atlântico Sul</dc:title>
  <dc:subject/>
  <dc:creator>Matheus Holanda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