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4431" w14:textId="098F680F" w:rsidR="00D81526" w:rsidRPr="00D81526" w:rsidRDefault="00D81526" w:rsidP="00D81526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1526">
        <w:rPr>
          <w:rFonts w:ascii="Times New Roman" w:hAnsi="Times New Roman" w:cs="Times New Roman"/>
          <w:b/>
          <w:bCs/>
          <w:sz w:val="36"/>
          <w:szCs w:val="36"/>
        </w:rPr>
        <w:t>Regras de Negócio</w:t>
      </w:r>
    </w:p>
    <w:p w14:paraId="697D55FD" w14:textId="77777777" w:rsidR="00D81526" w:rsidRDefault="00D81526" w:rsidP="00D81526">
      <w:pPr>
        <w:tabs>
          <w:tab w:val="num" w:pos="720"/>
        </w:tabs>
        <w:ind w:left="720" w:hanging="360"/>
      </w:pPr>
    </w:p>
    <w:p w14:paraId="3C8B5098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1</w:t>
      </w:r>
      <w:r>
        <w:t>: O paciente só pode solicitar um agendamento se estiver registrado no sistema do posto de saúde.</w:t>
      </w:r>
    </w:p>
    <w:p w14:paraId="479FBE65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2</w:t>
      </w:r>
      <w:r>
        <w:t>: A solicitação de agendamento só pode ser feita dentro do horário de funcionamento do posto de saúde.</w:t>
      </w:r>
    </w:p>
    <w:p w14:paraId="5658071A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3</w:t>
      </w:r>
      <w:r>
        <w:t>: O paciente só pode agendar uma consulta com um médico que esteja disponível na data e hora desejadas.</w:t>
      </w:r>
    </w:p>
    <w:p w14:paraId="6D0C2CFC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4</w:t>
      </w:r>
      <w:r>
        <w:t>: A triagem só pode ser realizada por um enfermeiro registrado e qualificado.</w:t>
      </w:r>
    </w:p>
    <w:p w14:paraId="0726A4A1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5</w:t>
      </w:r>
      <w:r>
        <w:t>: Os equipamentos de medição utilizados na triagem devem estar devidamente calibrados e em condições adequadas de funcionamento.</w:t>
      </w:r>
    </w:p>
    <w:p w14:paraId="7086694F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6</w:t>
      </w:r>
      <w:r>
        <w:t>: Os resultados da triagem devem ser registrados de forma precisa e legível no prontuário eletrônico do paciente.</w:t>
      </w:r>
    </w:p>
    <w:p w14:paraId="0F59FAD8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7</w:t>
      </w:r>
      <w:r>
        <w:t>: O médico só pode atender um paciente se estiver disponível no consultório no momento agendado.</w:t>
      </w:r>
    </w:p>
    <w:p w14:paraId="09F8DF27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8</w:t>
      </w:r>
      <w:r>
        <w:t>: O médico só pode prescrever medicamentos e solicitar exames após realizar a anamnese e o exame físico do paciente.</w:t>
      </w:r>
    </w:p>
    <w:p w14:paraId="2B9594DD" w14:textId="77777777" w:rsidR="00D81526" w:rsidRDefault="00D81526" w:rsidP="00D81526">
      <w:pPr>
        <w:pStyle w:val="NormalWeb"/>
        <w:ind w:left="720"/>
      </w:pPr>
      <w:r>
        <w:rPr>
          <w:rStyle w:val="Forte"/>
        </w:rPr>
        <w:t>Regra de Negócio 9</w:t>
      </w:r>
      <w:r>
        <w:t>: Todas as prescrições de medicamentos e solicitações de exames devem ser registradas de forma adequada no prontuário eletrônico do paciente.</w:t>
      </w:r>
    </w:p>
    <w:p w14:paraId="2D3AA0B2" w14:textId="7818BA5A" w:rsidR="00415CE9" w:rsidRDefault="00415CE9"/>
    <w:sectPr w:rsidR="0041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C7B"/>
    <w:multiLevelType w:val="multilevel"/>
    <w:tmpl w:val="56E8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B2437"/>
    <w:multiLevelType w:val="multilevel"/>
    <w:tmpl w:val="242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F0F84"/>
    <w:multiLevelType w:val="multilevel"/>
    <w:tmpl w:val="DAE6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477633">
    <w:abstractNumId w:val="2"/>
  </w:num>
  <w:num w:numId="2" w16cid:durableId="2121995680">
    <w:abstractNumId w:val="0"/>
  </w:num>
  <w:num w:numId="3" w16cid:durableId="57463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26"/>
    <w:rsid w:val="00204B93"/>
    <w:rsid w:val="00415CE9"/>
    <w:rsid w:val="00C81524"/>
    <w:rsid w:val="00D8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EBA6"/>
  <w15:chartTrackingRefBased/>
  <w15:docId w15:val="{1379868A-EF07-4175-884D-A2B51AE1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1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Heyky Martins Moura</dc:creator>
  <cp:keywords/>
  <dc:description/>
  <cp:lastModifiedBy>Heyky Martins Moura</cp:lastModifiedBy>
  <cp:revision>1</cp:revision>
  <dcterms:created xsi:type="dcterms:W3CDTF">2024-04-14T06:45:00Z</dcterms:created>
  <dcterms:modified xsi:type="dcterms:W3CDTF">2024-04-14T06:50:00Z</dcterms:modified>
</cp:coreProperties>
</file>