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DFDE" w14:textId="77777777" w:rsidR="00B470F5" w:rsidRDefault="00394479">
      <w:pPr>
        <w:spacing w:after="0"/>
        <w:jc w:val="right"/>
      </w:pPr>
      <w:r>
        <w:rPr>
          <w:noProof/>
        </w:rPr>
        <w:drawing>
          <wp:inline distT="0" distB="0" distL="0" distR="0" wp14:anchorId="7E9CB1B1" wp14:editId="5C59C8F0">
            <wp:extent cx="2856800" cy="727186"/>
            <wp:effectExtent l="0" t="0" r="0" b="0"/>
            <wp:docPr id="6" name="image8.png" descr="Uma imagem contendo garrafa, placa, laranja, azu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Uma imagem contendo garrafa, placa, laranja, azul&#10;&#10;Descrição gerada automa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800" cy="727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626BC" w14:textId="77777777" w:rsidR="00B470F5" w:rsidRDefault="00B470F5">
      <w:pPr>
        <w:spacing w:after="0"/>
      </w:pPr>
    </w:p>
    <w:p w14:paraId="3508C108" w14:textId="0491E326" w:rsidR="00B470F5" w:rsidRPr="00AD12EF" w:rsidRDefault="00AD12EF" w:rsidP="00D701EB">
      <w:pPr>
        <w:pStyle w:val="Ttulo2"/>
        <w:jc w:val="center"/>
      </w:pPr>
      <w:r w:rsidRPr="00AD12EF">
        <w:t>Índice de Desconforto d</w:t>
      </w:r>
      <w:r w:rsidR="00D701EB">
        <w:t>e</w:t>
      </w:r>
      <w:r w:rsidRPr="00AD12EF">
        <w:t xml:space="preserve"> Cré</w:t>
      </w:r>
      <w:r>
        <w:t>dito</w:t>
      </w:r>
    </w:p>
    <w:p w14:paraId="2BE2155E" w14:textId="77777777" w:rsidR="00B470F5" w:rsidRPr="00AD12EF" w:rsidRDefault="00B470F5">
      <w:pPr>
        <w:spacing w:after="0"/>
        <w:jc w:val="center"/>
      </w:pPr>
    </w:p>
    <w:p w14:paraId="1B5A793D" w14:textId="77777777" w:rsidR="00B470F5" w:rsidRPr="00675256" w:rsidRDefault="00394479">
      <w:pPr>
        <w:spacing w:after="0"/>
        <w:jc w:val="right"/>
      </w:pPr>
      <w:r w:rsidRPr="00675256">
        <w:t>Lauro Gonzalez</w:t>
      </w:r>
      <w:r>
        <w:rPr>
          <w:vertAlign w:val="superscript"/>
        </w:rPr>
        <w:footnoteReference w:id="1"/>
      </w:r>
    </w:p>
    <w:p w14:paraId="78E9D493" w14:textId="3CB29C39" w:rsidR="00B470F5" w:rsidRPr="00675256" w:rsidRDefault="00C65D4D">
      <w:pPr>
        <w:spacing w:line="240" w:lineRule="auto"/>
        <w:jc w:val="right"/>
        <w:rPr>
          <w:vertAlign w:val="superscript"/>
        </w:rPr>
      </w:pPr>
      <w:r w:rsidRPr="00675256">
        <w:t>Rafael Schiozer</w:t>
      </w:r>
      <w:r w:rsidR="00394479">
        <w:rPr>
          <w:vertAlign w:val="superscript"/>
        </w:rPr>
        <w:footnoteReference w:id="2"/>
      </w:r>
    </w:p>
    <w:p w14:paraId="3D8D0D2E" w14:textId="4DA16958" w:rsidR="00B470F5" w:rsidRDefault="00C6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</w:pPr>
      <w:r>
        <w:t xml:space="preserve">Matheus </w:t>
      </w:r>
      <w:r w:rsidR="004E5201">
        <w:t>L. Carrijo</w:t>
      </w:r>
      <w:r w:rsidR="00394479">
        <w:rPr>
          <w:vertAlign w:val="superscript"/>
        </w:rPr>
        <w:footnoteReference w:id="3"/>
      </w:r>
    </w:p>
    <w:p w14:paraId="673F6843" w14:textId="77777777" w:rsidR="00B470F5" w:rsidRDefault="00B470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</w:p>
    <w:p w14:paraId="068FC848" w14:textId="3F9B624B" w:rsidR="00B470F5" w:rsidRDefault="00D701EB" w:rsidP="00D701EB">
      <w:pPr>
        <w:pStyle w:val="Ttulo3"/>
        <w:numPr>
          <w:ilvl w:val="0"/>
          <w:numId w:val="10"/>
        </w:numPr>
      </w:pPr>
      <w:r>
        <w:t>Introdução</w:t>
      </w:r>
    </w:p>
    <w:p w14:paraId="74F09BC9" w14:textId="3E1F6EBD" w:rsidR="00377448" w:rsidRDefault="00617D14" w:rsidP="00617D14">
      <w:r>
        <w:t xml:space="preserve">Embora não seja um assunto novo, o superendividamento </w:t>
      </w:r>
      <w:r w:rsidR="00176A24">
        <w:t xml:space="preserve">das famílias </w:t>
      </w:r>
      <w:r>
        <w:t xml:space="preserve">ganhou centralidade nas últimas semanas. Atribui-se a ele certo “descolamento” entre a sensação de bem-estar e a </w:t>
      </w:r>
      <w:r w:rsidR="00377448">
        <w:t xml:space="preserve">realidade </w:t>
      </w:r>
      <w:r w:rsidR="00176A24">
        <w:t>macro</w:t>
      </w:r>
      <w:r w:rsidR="00377448">
        <w:t>econômica. Por exemplo, o mercado de trabalho exibe taxas de desemprego em mínimos históricos</w:t>
      </w:r>
      <w:r w:rsidR="00176A24">
        <w:t xml:space="preserve"> nos últimos meses</w:t>
      </w:r>
      <w:r w:rsidR="00377448">
        <w:t>, o que parece não se traduzir em percepção de maior bem-estar e, consequentemente, maior aprovação ao governo.</w:t>
      </w:r>
    </w:p>
    <w:p w14:paraId="00EA9705" w14:textId="56E82D10" w:rsidR="0002480A" w:rsidRDefault="004F12BD" w:rsidP="00617D14">
      <w:r>
        <w:t>A</w:t>
      </w:r>
      <w:r w:rsidR="0002480A">
        <w:t xml:space="preserve"> indústria de serviços financeiros</w:t>
      </w:r>
      <w:r w:rsidR="003262F8">
        <w:t>,</w:t>
      </w:r>
      <w:r w:rsidR="0002480A">
        <w:t xml:space="preserve"> e o crédito em particular</w:t>
      </w:r>
      <w:r w:rsidR="003262F8">
        <w:t>,</w:t>
      </w:r>
      <w:r w:rsidR="0002480A">
        <w:t xml:space="preserve"> foi impulsionad</w:t>
      </w:r>
      <w:r w:rsidR="003262F8">
        <w:t>a</w:t>
      </w:r>
      <w:r w:rsidR="0002480A">
        <w:t xml:space="preserve"> por mudanças regulatórias, inovações tecnológicas, entrada de novos atores, alteração de hábitos durante a pandemia, programas de transferência de renda e pelo Pix. São muitos fatores puxando o crédito para cima. A questão </w:t>
      </w:r>
      <w:r w:rsidR="001827A3">
        <w:t>que se coloca, portanto, é sobre</w:t>
      </w:r>
      <w:r w:rsidR="0002480A">
        <w:t xml:space="preserve"> quais modalidades de crédito</w:t>
      </w:r>
      <w:r w:rsidR="003262F8">
        <w:t xml:space="preserve"> t</w:t>
      </w:r>
      <w:r w:rsidR="001827A3">
        <w:t>ê</w:t>
      </w:r>
      <w:r w:rsidR="003262F8">
        <w:t xml:space="preserve">m se expandido e como </w:t>
      </w:r>
      <w:r w:rsidR="00180FB4">
        <w:t xml:space="preserve">elas </w:t>
      </w:r>
      <w:r w:rsidR="003262F8">
        <w:t>afetam o endividamento e o bem-estar.</w:t>
      </w:r>
    </w:p>
    <w:p w14:paraId="55927CAD" w14:textId="2415A7F0" w:rsidR="00F34584" w:rsidRDefault="003262F8" w:rsidP="003262F8">
      <w:r>
        <w:t xml:space="preserve">Inspirado em índices já existentes, este trabalho propõe a criação de um indicador de desconforto focado no crédito </w:t>
      </w:r>
      <w:r w:rsidR="00F34584">
        <w:t xml:space="preserve">para pessoa física. </w:t>
      </w:r>
      <w:r w:rsidR="001827A3">
        <w:t>A</w:t>
      </w:r>
      <w:r w:rsidR="00F34584">
        <w:t xml:space="preserve"> partir de dados públicos divulgados pelo Banco Central (BC), </w:t>
      </w:r>
      <w:r w:rsidR="001827A3">
        <w:t xml:space="preserve">o objetivo é </w:t>
      </w:r>
      <w:r w:rsidR="00F34584">
        <w:t xml:space="preserve">oferecer uma medida que capture </w:t>
      </w:r>
      <w:r w:rsidR="00176A24">
        <w:t xml:space="preserve">a </w:t>
      </w:r>
      <w:r w:rsidR="00F34584">
        <w:t>pressão sobre</w:t>
      </w:r>
      <w:r w:rsidR="00176A24">
        <w:t xml:space="preserve"> </w:t>
      </w:r>
      <w:r w:rsidR="00176A24">
        <w:lastRenderedPageBreak/>
        <w:t>as famílias</w:t>
      </w:r>
      <w:r w:rsidR="00F34584">
        <w:t xml:space="preserve"> </w:t>
      </w:r>
      <w:r w:rsidR="00176A24">
        <w:t>relacionada a</w:t>
      </w:r>
      <w:r w:rsidR="00F34584">
        <w:t>o</w:t>
      </w:r>
      <w:r w:rsidR="00067C05">
        <w:t>s</w:t>
      </w:r>
      <w:r w:rsidR="00F34584">
        <w:t xml:space="preserve"> potenciais efeitos negativos do uso do crédito, conforme detalhado adiante.</w:t>
      </w:r>
    </w:p>
    <w:p w14:paraId="384445E4" w14:textId="73691C25" w:rsidR="00AD12EF" w:rsidRPr="00D701EB" w:rsidRDefault="00D701EB" w:rsidP="00D701EB">
      <w:pPr>
        <w:pStyle w:val="Ttulo3"/>
        <w:numPr>
          <w:ilvl w:val="0"/>
          <w:numId w:val="10"/>
        </w:numPr>
      </w:pPr>
      <w:r w:rsidRPr="00D701EB">
        <w:t>Contexto e evolução recente do crédito</w:t>
      </w:r>
      <w:r w:rsidR="000436CA">
        <w:t xml:space="preserve"> para</w:t>
      </w:r>
      <w:r w:rsidRPr="00D701EB">
        <w:t xml:space="preserve"> </w:t>
      </w:r>
      <w:r w:rsidR="00CE5892">
        <w:t>Pessoa Física</w:t>
      </w:r>
      <w:r w:rsidRPr="00D701EB">
        <w:t xml:space="preserve"> no Brasil</w:t>
      </w:r>
    </w:p>
    <w:p w14:paraId="1B288658" w14:textId="344B80F4" w:rsidR="00180FB4" w:rsidRPr="00180FB4" w:rsidRDefault="00C86EDD">
      <w:r>
        <w:t xml:space="preserve">A </w:t>
      </w:r>
      <w:r w:rsidR="00206FC2">
        <w:t>F</w:t>
      </w:r>
      <w:r>
        <w:t xml:space="preserve">igura </w:t>
      </w:r>
      <w:r w:rsidR="000436CA">
        <w:t xml:space="preserve">1 </w:t>
      </w:r>
      <w:r w:rsidR="00180FB4">
        <w:t>mostra a evolução do crédito total e sua decomposição básica em crédito para pessoa jurídica (PJ) e pessoa física (PF), todos em relação ao PIB Nominal</w:t>
      </w:r>
      <w:r w:rsidR="00675256">
        <w:rPr>
          <w:rStyle w:val="Refdenotaderodap"/>
        </w:rPr>
        <w:footnoteReference w:id="4"/>
      </w:r>
      <w:r w:rsidR="00180FB4">
        <w:t xml:space="preserve">. No início da série, nota-se que o saldo de operações </w:t>
      </w:r>
      <w:r w:rsidR="00176A24">
        <w:t xml:space="preserve">para </w:t>
      </w:r>
      <w:r w:rsidR="00180FB4">
        <w:t>PJ era maior que o saldo</w:t>
      </w:r>
      <w:r w:rsidR="00176A24">
        <w:t xml:space="preserve"> para</w:t>
      </w:r>
      <w:r w:rsidR="00180FB4">
        <w:t xml:space="preserve"> PF (28,5% contra 25,3%). A situação se inverte a partir de 2016, </w:t>
      </w:r>
      <w:r w:rsidR="00176A24">
        <w:t>e</w:t>
      </w:r>
      <w:r w:rsidR="00180FB4">
        <w:t xml:space="preserve"> de 2020 em diante, forma-se uma “boca de jacaré”, com a distância entre PF e PJ aumentando ao longo do tempo.</w:t>
      </w:r>
    </w:p>
    <w:p w14:paraId="61521CB3" w14:textId="62521B91" w:rsidR="00B470F5" w:rsidRPr="00180FB4" w:rsidRDefault="00C86EDD">
      <w:pPr>
        <w:rPr>
          <w:i/>
          <w:iCs/>
        </w:rPr>
      </w:pPr>
      <w:r>
        <w:rPr>
          <w:b/>
          <w:bCs/>
        </w:rPr>
        <w:t>Figura</w:t>
      </w:r>
      <w:r w:rsidR="00394479">
        <w:rPr>
          <w:b/>
          <w:bCs/>
        </w:rPr>
        <w:t xml:space="preserve"> 1:</w:t>
      </w:r>
      <w:r w:rsidR="00394479">
        <w:t xml:space="preserve"> </w:t>
      </w:r>
      <w:proofErr w:type="spellStart"/>
      <w:r w:rsidR="00394479" w:rsidRPr="00180FB4">
        <w:rPr>
          <w:i/>
          <w:iCs/>
        </w:rPr>
        <w:t>e</w:t>
      </w:r>
      <w:r w:rsidR="00675256">
        <w:rPr>
          <w:i/>
          <w:iCs/>
        </w:rPr>
        <w:t>E</w:t>
      </w:r>
      <w:r w:rsidR="00394479" w:rsidRPr="00180FB4">
        <w:rPr>
          <w:i/>
          <w:iCs/>
        </w:rPr>
        <w:t>olução</w:t>
      </w:r>
      <w:proofErr w:type="spellEnd"/>
      <w:r w:rsidR="00394479" w:rsidRPr="00180FB4">
        <w:rPr>
          <w:i/>
          <w:iCs/>
        </w:rPr>
        <w:t xml:space="preserve"> do saldo da carteira de crédito total, a Pessoas Físicas (PF) e a Pessoas Jurídicas (PJ). </w:t>
      </w:r>
    </w:p>
    <w:p w14:paraId="2623DD4A" w14:textId="77777777" w:rsidR="00B470F5" w:rsidRDefault="00394479">
      <w:pPr>
        <w:rPr>
          <w:color w:val="FF0000"/>
        </w:rPr>
      </w:pPr>
      <w:r>
        <w:rPr>
          <w:noProof/>
          <w:color w:val="FF0000"/>
        </w:rPr>
        <w:drawing>
          <wp:inline distT="114300" distB="114300" distL="114300" distR="114300" wp14:anchorId="7B7E7FEB" wp14:editId="3EFE4751">
            <wp:extent cx="5399730" cy="2959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D26B1" w14:textId="77777777" w:rsidR="00B470F5" w:rsidRDefault="00394479">
      <w:pPr>
        <w:rPr>
          <w:i/>
          <w:iCs/>
        </w:rPr>
      </w:pPr>
      <w:r w:rsidRPr="003B7D1E">
        <w:rPr>
          <w:i/>
          <w:iCs/>
        </w:rPr>
        <w:t>Fonte: BCB, elaboração própria.</w:t>
      </w:r>
    </w:p>
    <w:p w14:paraId="6D9928C6" w14:textId="77777777" w:rsidR="003B7D1E" w:rsidRPr="003B7D1E" w:rsidRDefault="003B7D1E">
      <w:pPr>
        <w:rPr>
          <w:i/>
          <w:iCs/>
        </w:rPr>
      </w:pPr>
    </w:p>
    <w:p w14:paraId="4CF220BA" w14:textId="636FDFC9" w:rsidR="00B470F5" w:rsidRDefault="00394479">
      <w:r>
        <w:t>A diferença entre PF e PJ era 6</w:t>
      </w:r>
      <w:r w:rsidR="00176A24">
        <w:t xml:space="preserve"> pontos percentuais</w:t>
      </w:r>
      <w:r>
        <w:t xml:space="preserve"> (29,4% menos 23,4%</w:t>
      </w:r>
      <w:r w:rsidR="00176A24">
        <w:t xml:space="preserve"> do PIB</w:t>
      </w:r>
      <w:r>
        <w:t xml:space="preserve">) em 2020, tendo passado para </w:t>
      </w:r>
      <w:r w:rsidR="00354F8D">
        <w:t>14,3</w:t>
      </w:r>
      <w:r w:rsidR="00176A24">
        <w:t xml:space="preserve"> pontos percentuais</w:t>
      </w:r>
      <w:r>
        <w:t xml:space="preserve"> em </w:t>
      </w:r>
      <w:r w:rsidR="00354F8D">
        <w:t xml:space="preserve">fevereiro de </w:t>
      </w:r>
      <w:r>
        <w:t>202</w:t>
      </w:r>
      <w:r w:rsidR="00354F8D">
        <w:t>6</w:t>
      </w:r>
      <w:r>
        <w:t xml:space="preserve"> (3</w:t>
      </w:r>
      <w:r w:rsidR="00354F8D">
        <w:t>5</w:t>
      </w:r>
      <w:r>
        <w:t>% menos 2</w:t>
      </w:r>
      <w:r w:rsidR="00354F8D">
        <w:t>0</w:t>
      </w:r>
      <w:r>
        <w:t>,</w:t>
      </w:r>
      <w:r w:rsidR="00354F8D">
        <w:t>7</w:t>
      </w:r>
      <w:r>
        <w:t xml:space="preserve">%). </w:t>
      </w:r>
      <w:r w:rsidR="00FE4D5D">
        <w:t>Os</w:t>
      </w:r>
      <w:r w:rsidR="000F7E9F">
        <w:t xml:space="preserve"> dados Sistema Financeiro Nacional </w:t>
      </w:r>
      <w:r w:rsidR="00167887">
        <w:t>permitem dizer que o</w:t>
      </w:r>
      <w:r>
        <w:t xml:space="preserve"> </w:t>
      </w:r>
      <w:r w:rsidR="00616028">
        <w:t xml:space="preserve">crescimento do </w:t>
      </w:r>
      <w:r w:rsidR="00616028">
        <w:lastRenderedPageBreak/>
        <w:t xml:space="preserve">crédito no </w:t>
      </w:r>
      <w:r>
        <w:t xml:space="preserve">Brasil </w:t>
      </w:r>
      <w:r w:rsidR="00616028">
        <w:t xml:space="preserve">na última década </w:t>
      </w:r>
      <w:r>
        <w:t xml:space="preserve">se </w:t>
      </w:r>
      <w:r w:rsidR="00616028">
        <w:t>deu principalmente nos empréstimos para pessoas físicas</w:t>
      </w:r>
      <w:r>
        <w:t>.</w:t>
      </w:r>
    </w:p>
    <w:p w14:paraId="74442E28" w14:textId="3BEAB989" w:rsidR="00B470F5" w:rsidRPr="003B7D1E" w:rsidRDefault="00167887">
      <w:r>
        <w:t>O que dizer da qualidade d</w:t>
      </w:r>
      <w:r w:rsidR="0062335B">
        <w:t xml:space="preserve">essa expansão e seus prováveis efeitos sobre o bem-estar? </w:t>
      </w:r>
      <w:r w:rsidR="00394479">
        <w:t xml:space="preserve">A expansão do crédito PF teria </w:t>
      </w:r>
      <w:r w:rsidR="00EB3B6C">
        <w:t xml:space="preserve">sido melhor </w:t>
      </w:r>
      <w:r w:rsidR="008F23DC">
        <w:t>caso fos</w:t>
      </w:r>
      <w:r w:rsidR="00394479">
        <w:t xml:space="preserve">se impulsionada pelo crédito imobiliário, </w:t>
      </w:r>
      <w:r w:rsidR="0086754A">
        <w:t xml:space="preserve">que é </w:t>
      </w:r>
      <w:r w:rsidR="00394479">
        <w:t>caracterizado p</w:t>
      </w:r>
      <w:r w:rsidR="008F23DC">
        <w:t>or</w:t>
      </w:r>
      <w:r w:rsidR="00394479">
        <w:t xml:space="preserve"> taxas de juros menores e </w:t>
      </w:r>
      <w:r w:rsidR="0086754A">
        <w:t xml:space="preserve">tem </w:t>
      </w:r>
      <w:r w:rsidR="00A22518">
        <w:t>como contrapartida a</w:t>
      </w:r>
      <w:r w:rsidR="00394479">
        <w:t xml:space="preserve"> formação de patrimônio imobiliário. Não foi o que ocorreu, como mostra </w:t>
      </w:r>
      <w:r w:rsidR="00C86EDD">
        <w:t xml:space="preserve">a </w:t>
      </w:r>
      <w:r w:rsidR="00206FC2">
        <w:t>F</w:t>
      </w:r>
      <w:r w:rsidR="00C86EDD">
        <w:t xml:space="preserve">igura </w:t>
      </w:r>
      <w:r w:rsidR="004A0CF7">
        <w:t>2</w:t>
      </w:r>
      <w:r w:rsidR="00394479">
        <w:t>.</w:t>
      </w:r>
    </w:p>
    <w:p w14:paraId="76AB9EC7" w14:textId="63238C66" w:rsidR="00B470F5" w:rsidRDefault="00C86EDD">
      <w:r>
        <w:rPr>
          <w:b/>
          <w:bCs/>
        </w:rPr>
        <w:t>Figura</w:t>
      </w:r>
      <w:r w:rsidR="00394479">
        <w:rPr>
          <w:b/>
          <w:bCs/>
        </w:rPr>
        <w:t xml:space="preserve"> 2:</w:t>
      </w:r>
      <w:r w:rsidR="00394479">
        <w:t xml:space="preserve"> </w:t>
      </w:r>
      <w:r w:rsidR="00394479" w:rsidRPr="00180FB4">
        <w:rPr>
          <w:i/>
          <w:iCs/>
        </w:rPr>
        <w:t>evolução do saldo de crédito à PF, imobiliário e não imobiliário em relação ao PIB.</w:t>
      </w:r>
    </w:p>
    <w:p w14:paraId="30F72803" w14:textId="77777777" w:rsidR="00B470F5" w:rsidRDefault="00394479">
      <w:pPr>
        <w:rPr>
          <w:color w:val="FF0000"/>
        </w:rPr>
      </w:pPr>
      <w:r>
        <w:rPr>
          <w:noProof/>
        </w:rPr>
        <w:drawing>
          <wp:inline distT="114300" distB="114300" distL="114300" distR="114300" wp14:anchorId="3C02CC76" wp14:editId="020D128C">
            <wp:extent cx="5399730" cy="2895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CFC98" w14:textId="22699E05" w:rsidR="00180FB4" w:rsidRPr="000436CA" w:rsidRDefault="00394479">
      <w:pPr>
        <w:rPr>
          <w:i/>
          <w:iCs/>
        </w:rPr>
      </w:pPr>
      <w:r w:rsidRPr="003B7D1E">
        <w:rPr>
          <w:i/>
          <w:iCs/>
        </w:rPr>
        <w:t>Fonte: BCB, elaboração própria.</w:t>
      </w:r>
    </w:p>
    <w:p w14:paraId="3E8667DE" w14:textId="5739E137" w:rsidR="00061C27" w:rsidRDefault="00C86EDD" w:rsidP="00061C27">
      <w:r>
        <w:rPr>
          <w:b/>
          <w:bCs/>
        </w:rPr>
        <w:t>Figura</w:t>
      </w:r>
      <w:r w:rsidR="00061C27">
        <w:rPr>
          <w:b/>
          <w:bCs/>
        </w:rPr>
        <w:t xml:space="preserve"> </w:t>
      </w:r>
      <w:r w:rsidR="000C4DEE">
        <w:rPr>
          <w:b/>
          <w:bCs/>
        </w:rPr>
        <w:t>3</w:t>
      </w:r>
      <w:r w:rsidR="00061C27">
        <w:rPr>
          <w:b/>
          <w:bCs/>
        </w:rPr>
        <w:t>:</w:t>
      </w:r>
      <w:r w:rsidR="00061C27">
        <w:t xml:space="preserve"> </w:t>
      </w:r>
      <w:r w:rsidR="00061C27" w:rsidRPr="00180FB4">
        <w:rPr>
          <w:i/>
          <w:iCs/>
        </w:rPr>
        <w:t>Evolução do comprometimento de renda das famílias.</w:t>
      </w:r>
    </w:p>
    <w:p w14:paraId="454B781B" w14:textId="77777777" w:rsidR="00061C27" w:rsidRDefault="00061C27" w:rsidP="00061C27">
      <w:pPr>
        <w:rPr>
          <w:b/>
          <w:bCs/>
          <w:color w:val="FF0000"/>
        </w:rPr>
      </w:pPr>
      <w:r>
        <w:rPr>
          <w:noProof/>
        </w:rPr>
        <w:lastRenderedPageBreak/>
        <w:drawing>
          <wp:inline distT="114300" distB="114300" distL="114300" distR="114300" wp14:anchorId="1817D263" wp14:editId="2A04FBB2">
            <wp:extent cx="5399730" cy="3035300"/>
            <wp:effectExtent l="0" t="0" r="0" b="0"/>
            <wp:docPr id="18980838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B7015" w14:textId="77777777" w:rsidR="00061C27" w:rsidRPr="003B7D1E" w:rsidRDefault="00061C27" w:rsidP="00061C27">
      <w:pPr>
        <w:rPr>
          <w:i/>
          <w:iCs/>
        </w:rPr>
      </w:pPr>
      <w:r w:rsidRPr="003B7D1E">
        <w:rPr>
          <w:i/>
          <w:iCs/>
        </w:rPr>
        <w:t>Fonte: BCB, elaboração própria.</w:t>
      </w:r>
    </w:p>
    <w:p w14:paraId="44911BAA" w14:textId="47F7F562" w:rsidR="007E2B62" w:rsidRPr="007E2B62" w:rsidRDefault="007E2B62" w:rsidP="00061C27">
      <w:pPr>
        <w:rPr>
          <w:b/>
          <w:bCs/>
        </w:rPr>
      </w:pPr>
      <w:r>
        <w:t>O aumento do crédito PF tem ocorrido por modalidades voltadas para consumo, como crédito pessoal, cartão de crédito e consignado. Várias destas modalidades cobram juros muito elevados e seguem um modelo de oferta (crédito digital) bastante agressivo. Como consequência, o comprometimento de renda para pagamento de juros tem aumentado</w:t>
      </w:r>
      <w:r w:rsidR="00180FB4">
        <w:t xml:space="preserve"> (</w:t>
      </w:r>
      <w:r w:rsidR="00206FC2">
        <w:t>F</w:t>
      </w:r>
      <w:r w:rsidR="00C86EDD">
        <w:t>igura</w:t>
      </w:r>
      <w:r w:rsidR="00180FB4">
        <w:t xml:space="preserve"> 3)</w:t>
      </w:r>
      <w:r>
        <w:t xml:space="preserve">, com efeitos negativos sobre o bem-estar da população devedora. O último dado disponível (janeiro de 2026) mostra que, para cada R$100,00 de renda familiar, R$29,30 estão comprometidos com o pagamento de juros e principal da dívida. </w:t>
      </w:r>
    </w:p>
    <w:p w14:paraId="7878C94A" w14:textId="023F79DD" w:rsidR="00760736" w:rsidRDefault="00F65FD1" w:rsidP="00D701EB">
      <w:pPr>
        <w:pStyle w:val="Ttulo3"/>
        <w:numPr>
          <w:ilvl w:val="0"/>
          <w:numId w:val="10"/>
        </w:numPr>
      </w:pPr>
      <w:r w:rsidRPr="001001AD">
        <w:t>Índice de desconforto d</w:t>
      </w:r>
      <w:r w:rsidR="00D701EB">
        <w:t>e</w:t>
      </w:r>
      <w:r w:rsidRPr="001001AD">
        <w:t xml:space="preserve"> crédito</w:t>
      </w:r>
    </w:p>
    <w:p w14:paraId="775DBE8D" w14:textId="6B1C0917" w:rsidR="00192CA9" w:rsidRDefault="00192CA9" w:rsidP="00192CA9">
      <w:r>
        <w:t>O Índice de Desconforto d</w:t>
      </w:r>
      <w:r w:rsidR="00D701EB">
        <w:t>e</w:t>
      </w:r>
      <w:r>
        <w:t xml:space="preserve"> Crédito (IDC) é construído a partir de três </w:t>
      </w:r>
      <w:r w:rsidR="00F51365">
        <w:t>componentes</w:t>
      </w:r>
      <w:r>
        <w:t xml:space="preserve"> que, em conjunto, capturam diferentes aspectos da relação das famílias com o crédito</w:t>
      </w:r>
      <w:r w:rsidR="00325F18">
        <w:t xml:space="preserve">, tais como </w:t>
      </w:r>
      <w:r w:rsidR="00E660E7">
        <w:t xml:space="preserve">o estresse financeiro já </w:t>
      </w:r>
      <w:r w:rsidR="00055A91">
        <w:t>materializado, a</w:t>
      </w:r>
      <w:r w:rsidR="00325F18">
        <w:t xml:space="preserve"> </w:t>
      </w:r>
      <w:r>
        <w:t>pressão financeira e orçamentária e</w:t>
      </w:r>
      <w:r w:rsidR="00325F18">
        <w:t xml:space="preserve"> a</w:t>
      </w:r>
      <w:r>
        <w:t xml:space="preserve"> qualidade d</w:t>
      </w:r>
      <w:r w:rsidR="00616028">
        <w:t>os empréstimos</w:t>
      </w:r>
      <w:r>
        <w:t xml:space="preserve"> </w:t>
      </w:r>
      <w:r w:rsidR="00616028">
        <w:t>contratados</w:t>
      </w:r>
      <w:r>
        <w:t xml:space="preserve">. A partir dos dados disponibilizados pelo BC, os aspectos </w:t>
      </w:r>
      <w:r w:rsidR="00325F18">
        <w:t xml:space="preserve">acima </w:t>
      </w:r>
      <w:r>
        <w:t>podem ser materializados através d</w:t>
      </w:r>
      <w:r w:rsidR="00325F18">
        <w:t>as seguintes componentes:</w:t>
      </w:r>
    </w:p>
    <w:p w14:paraId="1EECAD26" w14:textId="071C1754" w:rsidR="00616028" w:rsidRDefault="00616028" w:rsidP="00616028">
      <w:r>
        <w:t>a) Inadimplência (I)</w:t>
      </w:r>
    </w:p>
    <w:p w14:paraId="78BB532F" w14:textId="77777777" w:rsidR="00616028" w:rsidRDefault="00616028" w:rsidP="00616028">
      <w:r>
        <w:t xml:space="preserve">A inadimplência captura situações em que o estresse financeiro já se materializou, refletindo a incapacidade de cumprir obrigações financeiras nos prazos estabelecidos. </w:t>
      </w:r>
    </w:p>
    <w:p w14:paraId="626417D7" w14:textId="5BB7963B" w:rsidR="00192CA9" w:rsidRDefault="00616028" w:rsidP="00192CA9">
      <w:r>
        <w:t>b</w:t>
      </w:r>
      <w:r w:rsidR="00192CA9">
        <w:t>) Comprometimento de renda com dívida</w:t>
      </w:r>
      <w:r w:rsidR="00C82C6B">
        <w:t xml:space="preserve"> (C)</w:t>
      </w:r>
    </w:p>
    <w:p w14:paraId="34F36D3F" w14:textId="0B19AD94" w:rsidR="00192CA9" w:rsidRDefault="00192CA9" w:rsidP="00192CA9">
      <w:r>
        <w:lastRenderedPageBreak/>
        <w:t>Indicador de pressão financeira e orçamentária</w:t>
      </w:r>
      <w:r w:rsidR="0043172D">
        <w:t xml:space="preserve"> </w:t>
      </w:r>
      <w:r>
        <w:t>reflet</w:t>
      </w:r>
      <w:r w:rsidR="0043172D">
        <w:t xml:space="preserve">indo </w:t>
      </w:r>
      <w:r>
        <w:t>quanto do fluxo de renda corrente está sendo absorvido pela dívida. Níveis elevados indicam menores graus de liberdade e maior vulnerabilidade a choques.</w:t>
      </w:r>
    </w:p>
    <w:p w14:paraId="3CB2AD37" w14:textId="57C8A416" w:rsidR="00192CA9" w:rsidRDefault="00192CA9" w:rsidP="00192CA9">
      <w:r>
        <w:t>c) Qualidade do crédito</w:t>
      </w:r>
      <w:r w:rsidR="00C82C6B">
        <w:t xml:space="preserve"> (Q)</w:t>
      </w:r>
    </w:p>
    <w:p w14:paraId="1AF6689E" w14:textId="592F4883" w:rsidR="0043172D" w:rsidRPr="0043172D" w:rsidRDefault="00192CA9" w:rsidP="0043172D">
      <w:r>
        <w:t>Em linha com a literatura de inclusão financeira, que comumente prevê acesso, uso e qualidade como dimensões fundamentais</w:t>
      </w:r>
      <w:r w:rsidR="00F51365">
        <w:t>, a</w:t>
      </w:r>
      <w:r>
        <w:t xml:space="preserve"> terceira </w:t>
      </w:r>
      <w:r w:rsidR="00F51365">
        <w:t>componente</w:t>
      </w:r>
      <w:r>
        <w:t xml:space="preserve"> incorpora a composição do crédito, medindo a participação de modalidades mais onerosas no total do crédito contratado. </w:t>
      </w:r>
      <w:r w:rsidR="0043172D">
        <w:t xml:space="preserve">As modalidades </w:t>
      </w:r>
      <w:r w:rsidR="0043172D" w:rsidRPr="0043172D">
        <w:t>consideradas mais onerosas</w:t>
      </w:r>
      <w:r w:rsidR="0043172D">
        <w:t xml:space="preserve"> são:</w:t>
      </w:r>
    </w:p>
    <w:p w14:paraId="7A18389B" w14:textId="7E8A2F2A" w:rsidR="0043172D" w:rsidRPr="0043172D" w:rsidRDefault="0043172D" w:rsidP="0043172D">
      <w:pPr>
        <w:numPr>
          <w:ilvl w:val="0"/>
          <w:numId w:val="3"/>
        </w:numPr>
        <w:rPr>
          <w:lang w:val="en-US"/>
        </w:rPr>
      </w:pPr>
      <w:r w:rsidRPr="0043172D">
        <w:rPr>
          <w:lang w:val="en-US"/>
        </w:rPr>
        <w:t xml:space="preserve">Cheque </w:t>
      </w:r>
      <w:proofErr w:type="gramStart"/>
      <w:r w:rsidRPr="0043172D">
        <w:rPr>
          <w:lang w:val="en-US"/>
        </w:rPr>
        <w:t>especial</w:t>
      </w:r>
      <w:proofErr w:type="gramEnd"/>
      <w:r w:rsidRPr="0043172D">
        <w:rPr>
          <w:lang w:val="en-US"/>
        </w:rPr>
        <w:t xml:space="preserve"> </w:t>
      </w:r>
    </w:p>
    <w:p w14:paraId="0E408FE4" w14:textId="4A805902" w:rsidR="0043172D" w:rsidRPr="0043172D" w:rsidRDefault="0043172D" w:rsidP="0043172D">
      <w:pPr>
        <w:numPr>
          <w:ilvl w:val="0"/>
          <w:numId w:val="3"/>
        </w:numPr>
      </w:pPr>
      <w:r w:rsidRPr="0043172D">
        <w:t xml:space="preserve">Crédito pessoal não consignado </w:t>
      </w:r>
    </w:p>
    <w:p w14:paraId="5DDCE1C9" w14:textId="6C3B358B" w:rsidR="0043172D" w:rsidRPr="0043172D" w:rsidRDefault="0043172D" w:rsidP="0043172D">
      <w:pPr>
        <w:numPr>
          <w:ilvl w:val="0"/>
          <w:numId w:val="3"/>
        </w:numPr>
      </w:pPr>
      <w:r w:rsidRPr="0043172D">
        <w:t>Cartão de crédito rotativo</w:t>
      </w:r>
    </w:p>
    <w:p w14:paraId="7DCED28D" w14:textId="1C943725" w:rsidR="0043172D" w:rsidRPr="0043172D" w:rsidRDefault="0043172D" w:rsidP="0043172D">
      <w:pPr>
        <w:numPr>
          <w:ilvl w:val="0"/>
          <w:numId w:val="3"/>
        </w:numPr>
      </w:pPr>
      <w:r w:rsidRPr="0043172D">
        <w:t xml:space="preserve">Cartão de crédito parcelado </w:t>
      </w:r>
    </w:p>
    <w:p w14:paraId="60B88892" w14:textId="2BE1CDBE" w:rsidR="00C82C6B" w:rsidRDefault="0043172D" w:rsidP="00714EF7">
      <w:pPr>
        <w:shd w:val="clear" w:color="auto" w:fill="FFFFFF"/>
        <w:spacing w:after="240"/>
        <w:rPr>
          <w:color w:val="1F2328"/>
          <w:lang w:eastAsia="en-US"/>
        </w:rPr>
      </w:pPr>
      <w:r w:rsidRPr="0043172D">
        <w:rPr>
          <w:color w:val="1F2328"/>
          <w:lang w:eastAsia="en-US"/>
        </w:rPr>
        <w:t>A qualidade de crédito é medida pela participação d</w:t>
      </w:r>
      <w:r>
        <w:rPr>
          <w:color w:val="1F2328"/>
          <w:lang w:eastAsia="en-US"/>
        </w:rPr>
        <w:t xml:space="preserve">as </w:t>
      </w:r>
      <w:r w:rsidRPr="0043172D">
        <w:rPr>
          <w:color w:val="1F2328"/>
          <w:lang w:eastAsia="en-US"/>
        </w:rPr>
        <w:t xml:space="preserve">modalidades </w:t>
      </w:r>
      <w:r w:rsidR="00C82C6B">
        <w:rPr>
          <w:color w:val="1F2328"/>
          <w:lang w:eastAsia="en-US"/>
        </w:rPr>
        <w:t xml:space="preserve">onerosas </w:t>
      </w:r>
      <w:r>
        <w:rPr>
          <w:color w:val="1F2328"/>
          <w:lang w:eastAsia="en-US"/>
        </w:rPr>
        <w:t xml:space="preserve">acima </w:t>
      </w:r>
      <w:r w:rsidRPr="0043172D">
        <w:rPr>
          <w:color w:val="1F2328"/>
          <w:lang w:eastAsia="en-US"/>
        </w:rPr>
        <w:t>no total de crédito livre para pessoa física</w:t>
      </w:r>
      <w:r>
        <w:rPr>
          <w:color w:val="1F2328"/>
          <w:lang w:eastAsia="en-US"/>
        </w:rPr>
        <w:t xml:space="preserve">. </w:t>
      </w:r>
      <w:r w:rsidR="00C82C6B">
        <w:rPr>
          <w:color w:val="1F2328"/>
          <w:lang w:eastAsia="en-US"/>
        </w:rPr>
        <w:t>Assume-se que quanto maior essa participação, menor a qualidade do crédito e maior o desconforto.</w:t>
      </w:r>
    </w:p>
    <w:p w14:paraId="7E12DF17" w14:textId="4A5CF9E5" w:rsidR="00187653" w:rsidRDefault="00970020" w:rsidP="00714EF7">
      <w:pPr>
        <w:shd w:val="clear" w:color="auto" w:fill="FFFFFF"/>
        <w:spacing w:after="240"/>
        <w:rPr>
          <w:color w:val="1F2328"/>
          <w:lang w:eastAsia="en-US"/>
        </w:rPr>
      </w:pPr>
      <w:r>
        <w:rPr>
          <w:color w:val="1F2328"/>
          <w:lang w:eastAsia="en-US"/>
        </w:rPr>
        <w:t>As figuras abaixo mostram a evolução dessas com</w:t>
      </w:r>
      <w:r w:rsidR="00FD6957">
        <w:rPr>
          <w:color w:val="1F2328"/>
          <w:lang w:eastAsia="en-US"/>
        </w:rPr>
        <w:t>ponentes</w:t>
      </w:r>
    </w:p>
    <w:p w14:paraId="789BBA17" w14:textId="61A79CC3" w:rsidR="00F71AA3" w:rsidRDefault="00F71AA3" w:rsidP="00F71AA3">
      <w:r>
        <w:rPr>
          <w:b/>
          <w:bCs/>
        </w:rPr>
        <w:t xml:space="preserve">Figura </w:t>
      </w:r>
      <w:r w:rsidR="008C7F90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r w:rsidR="008C7F90">
        <w:rPr>
          <w:i/>
          <w:iCs/>
        </w:rPr>
        <w:t>Componentes do Índice de Desconforto de Crédito</w:t>
      </w:r>
      <w:r w:rsidRPr="00180FB4">
        <w:rPr>
          <w:i/>
          <w:iCs/>
        </w:rPr>
        <w:t>.</w:t>
      </w:r>
    </w:p>
    <w:p w14:paraId="4B0C86D9" w14:textId="77777777" w:rsidR="00F71AA3" w:rsidRDefault="00F71AA3" w:rsidP="00714EF7">
      <w:pPr>
        <w:shd w:val="clear" w:color="auto" w:fill="FFFFFF"/>
        <w:spacing w:after="240"/>
        <w:rPr>
          <w:color w:val="1F2328"/>
          <w:lang w:eastAsia="en-US"/>
        </w:rPr>
      </w:pPr>
    </w:p>
    <w:p w14:paraId="3AED8BAF" w14:textId="3BF51E7E" w:rsidR="00BA64CE" w:rsidRPr="00714EF7" w:rsidRDefault="0075237A" w:rsidP="00714EF7">
      <w:pPr>
        <w:shd w:val="clear" w:color="auto" w:fill="FFFFFF"/>
        <w:spacing w:after="240"/>
        <w:rPr>
          <w:color w:val="1F2328"/>
          <w:lang w:eastAsia="en-US"/>
        </w:rPr>
      </w:pPr>
      <w:r>
        <w:rPr>
          <w:noProof/>
        </w:rPr>
        <w:lastRenderedPageBreak/>
        <w:drawing>
          <wp:inline distT="0" distB="0" distL="0" distR="0" wp14:anchorId="459F8CB5" wp14:editId="14E5D9CB">
            <wp:extent cx="4899875" cy="6385855"/>
            <wp:effectExtent l="0" t="0" r="2540" b="2540"/>
            <wp:docPr id="1061115289" name="Imagem 10" descr="Interface gráfica do usuário, Gráfico, Aplicativ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9006" name="Imagem 10" descr="Interface gráfica do usuário, Gráfico, Aplicativo, Gráfico de linhas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65" cy="64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C38" w14:textId="64CF7395" w:rsidR="00D717FB" w:rsidRDefault="00D717FB" w:rsidP="00D717FB">
      <w:r>
        <w:t xml:space="preserve">Como </w:t>
      </w:r>
      <w:r w:rsidR="00FB7320">
        <w:t>o</w:t>
      </w:r>
      <w:r>
        <w:t>s componentes têm escalas diferentes, é necessári</w:t>
      </w:r>
      <w:r w:rsidR="000B3467">
        <w:t xml:space="preserve">o efetuar </w:t>
      </w:r>
      <w:proofErr w:type="gramStart"/>
      <w:r w:rsidR="000B3467">
        <w:t xml:space="preserve">uma </w:t>
      </w:r>
      <w:r>
        <w:t xml:space="preserve"> normalização</w:t>
      </w:r>
      <w:proofErr w:type="gramEnd"/>
      <w:r w:rsidR="006F64E7">
        <w:rPr>
          <w:rStyle w:val="Refdenotaderodap"/>
        </w:rPr>
        <w:footnoteReference w:id="5"/>
      </w:r>
      <w:r>
        <w:t xml:space="preserve"> </w:t>
      </w:r>
      <w:r w:rsidR="00D424DC">
        <w:t xml:space="preserve"> dos seus valores de forma a fazer sentido </w:t>
      </w:r>
      <w:r>
        <w:t xml:space="preserve">combiná-los no IDC, que </w:t>
      </w:r>
      <w:r w:rsidR="0090737D">
        <w:t xml:space="preserve">por sua vez </w:t>
      </w:r>
      <w:r>
        <w:t xml:space="preserve">é calculado </w:t>
      </w:r>
      <w:r w:rsidR="002B209A">
        <w:t>da seguinte forma:</w:t>
      </w:r>
    </w:p>
    <w:p w14:paraId="61D5D5DA" w14:textId="28626404" w:rsidR="00C82C6B" w:rsidRDefault="00D618CF" w:rsidP="00192C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IDC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812C188" w14:textId="703E0235" w:rsidR="00FA1202" w:rsidRDefault="002B209A" w:rsidP="00192CA9">
      <w:r>
        <w:lastRenderedPageBreak/>
        <w:t xml:space="preserve">Ou </w:t>
      </w:r>
      <w:proofErr w:type="gramStart"/>
      <w:r>
        <w:t xml:space="preserve">seja, </w:t>
      </w:r>
      <w:r w:rsidR="0060613C">
        <w:t xml:space="preserve"> o</w:t>
      </w:r>
      <w:proofErr w:type="gramEnd"/>
      <w:r w:rsidR="0060613C">
        <w:t xml:space="preserve"> I</w:t>
      </w:r>
      <w:r w:rsidR="003161F7">
        <w:t xml:space="preserve">DC vai representar uma média </w:t>
      </w:r>
      <w:r w:rsidR="00B00346">
        <w:t xml:space="preserve">entre </w:t>
      </w:r>
      <w:r w:rsidR="003161F7">
        <w:t xml:space="preserve">os valores </w:t>
      </w:r>
      <w:r w:rsidR="000871D0">
        <w:t>de comprometimento de renda</w:t>
      </w:r>
      <w:r w:rsidR="00426E1D">
        <w:t xml:space="preserve"> </w:t>
      </w:r>
      <w:r w:rsidR="005528B2">
        <w:t>(C)</w:t>
      </w:r>
      <w:r w:rsidR="00426E1D">
        <w:t xml:space="preserve">, </w:t>
      </w:r>
      <w:r w:rsidR="00E4428E">
        <w:t>i</w:t>
      </w:r>
      <w:r w:rsidR="00426E1D">
        <w:t>n</w:t>
      </w:r>
      <w:r w:rsidR="00E4428E">
        <w:t>a</w:t>
      </w:r>
      <w:r w:rsidR="00426E1D">
        <w:t>dimplência(I)</w:t>
      </w:r>
      <w:r w:rsidR="00E4428E">
        <w:t xml:space="preserve"> e qualidade de crédito (</w:t>
      </w:r>
      <w:r w:rsidR="00C315D7">
        <w:t>Q</w:t>
      </w:r>
      <w:r w:rsidR="00E4428E">
        <w:t>) que, respectivamente capturam</w:t>
      </w:r>
      <w:r w:rsidR="00140C28">
        <w:t xml:space="preserve"> </w:t>
      </w:r>
      <w:proofErr w:type="gramStart"/>
      <w:r w:rsidR="00CB6A16">
        <w:t xml:space="preserve">O </w:t>
      </w:r>
      <w:r w:rsidR="00192CA9">
        <w:t xml:space="preserve"> a</w:t>
      </w:r>
      <w:proofErr w:type="gramEnd"/>
      <w:r w:rsidR="00192CA9">
        <w:t xml:space="preserve"> pressão </w:t>
      </w:r>
      <w:r w:rsidR="004E4417">
        <w:t>financeira e orçamentária atual</w:t>
      </w:r>
      <w:r w:rsidR="00192CA9">
        <w:t xml:space="preserve">, </w:t>
      </w:r>
      <w:r w:rsidR="00E32A28">
        <w:t xml:space="preserve">o </w:t>
      </w:r>
      <w:r w:rsidR="00363C1C">
        <w:t xml:space="preserve">stress financeiro já realizado e </w:t>
      </w:r>
      <w:r w:rsidR="00310124">
        <w:t>os riscos futuros advindos</w:t>
      </w:r>
      <w:r w:rsidR="00FA1202">
        <w:t xml:space="preserve"> da qualidade de crédito sendo tomados.</w:t>
      </w:r>
    </w:p>
    <w:p w14:paraId="06CC19F4" w14:textId="71FE04E6" w:rsidR="0017221A" w:rsidRDefault="003C1174" w:rsidP="00192CA9">
      <w:r>
        <w:t>O valor do IDC ficar</w:t>
      </w:r>
      <w:r w:rsidR="001230EA">
        <w:t>á entre zero</w:t>
      </w:r>
      <w:r w:rsidR="00696DA5">
        <w:t xml:space="preserve"> e um,</w:t>
      </w:r>
      <w:r w:rsidR="00D13399">
        <w:t xml:space="preserve"> representando o menor</w:t>
      </w:r>
      <w:r w:rsidR="00696DA5">
        <w:t xml:space="preserve"> (</w:t>
      </w:r>
      <w:proofErr w:type="gramStart"/>
      <w:r w:rsidR="00696DA5">
        <w:t>zero)</w:t>
      </w:r>
      <w:r w:rsidR="00D13399">
        <w:t xml:space="preserve"> </w:t>
      </w:r>
      <w:r w:rsidR="00880121">
        <w:t xml:space="preserve"> </w:t>
      </w:r>
      <w:r w:rsidR="0017221A">
        <w:t>ou</w:t>
      </w:r>
      <w:proofErr w:type="gramEnd"/>
      <w:r w:rsidR="0017221A">
        <w:t xml:space="preserve"> maior (1) </w:t>
      </w:r>
      <w:r w:rsidR="00880121">
        <w:t>desconforto da série</w:t>
      </w:r>
      <w:r w:rsidR="00170EBC">
        <w:t xml:space="preserve"> histórica analisa</w:t>
      </w:r>
      <w:r w:rsidR="00D13399">
        <w:t>da</w:t>
      </w:r>
      <w:r w:rsidR="0017221A">
        <w:t xml:space="preserve">. </w:t>
      </w:r>
      <w:r w:rsidR="00B2258C">
        <w:t xml:space="preserve">Por </w:t>
      </w:r>
      <w:r w:rsidR="00476A02">
        <w:t xml:space="preserve">exemplo, </w:t>
      </w:r>
      <w:r w:rsidR="008114AE">
        <w:t>um</w:t>
      </w:r>
      <w:r w:rsidR="00476A02">
        <w:t xml:space="preserve"> IDC=0,9</w:t>
      </w:r>
      <w:r w:rsidR="008114AE">
        <w:t xml:space="preserve"> indica que </w:t>
      </w:r>
      <w:r w:rsidR="00F55F21">
        <w:t xml:space="preserve">as famílias estão </w:t>
      </w:r>
      <w:r w:rsidR="0067434C">
        <w:t xml:space="preserve">em </w:t>
      </w:r>
      <w:r w:rsidR="00476A02" w:rsidRPr="00476A02">
        <w:t xml:space="preserve">90% do </w:t>
      </w:r>
      <w:r w:rsidR="0067434C">
        <w:t>desconforto máximo</w:t>
      </w:r>
      <w:r w:rsidR="00476A02" w:rsidRPr="00476A02">
        <w:t xml:space="preserve"> da série histórica.</w:t>
      </w:r>
    </w:p>
    <w:p w14:paraId="781601BC" w14:textId="77777777" w:rsidR="00B457E3" w:rsidRDefault="00132EC0" w:rsidP="00192CA9">
      <w:r>
        <w:t xml:space="preserve">A figura abaixo traz a evolução do IDC no período analisado. </w:t>
      </w:r>
    </w:p>
    <w:p w14:paraId="0B8D2819" w14:textId="58DF2F6C" w:rsidR="00AC5CEB" w:rsidRDefault="00AC5CEB" w:rsidP="00AC5CEB">
      <w:r>
        <w:rPr>
          <w:b/>
          <w:bCs/>
        </w:rPr>
        <w:t xml:space="preserve">Figura </w:t>
      </w:r>
      <w:r>
        <w:rPr>
          <w:b/>
          <w:bCs/>
        </w:rPr>
        <w:t>5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Evolu</w:t>
      </w:r>
      <w:r w:rsidR="006C5FF7">
        <w:rPr>
          <w:i/>
          <w:iCs/>
        </w:rPr>
        <w:t>ção</w:t>
      </w:r>
      <w:proofErr w:type="spellEnd"/>
      <w:r w:rsidR="006C5FF7">
        <w:rPr>
          <w:i/>
          <w:iCs/>
        </w:rPr>
        <w:t xml:space="preserve"> </w:t>
      </w:r>
      <w:r>
        <w:rPr>
          <w:i/>
          <w:iCs/>
        </w:rPr>
        <w:t>do Índice de Desconforto de Crédito</w:t>
      </w:r>
      <w:r w:rsidR="006C5FF7">
        <w:rPr>
          <w:i/>
          <w:iCs/>
        </w:rPr>
        <w:t xml:space="preserve"> </w:t>
      </w:r>
      <w:r w:rsidR="006C5FF7">
        <w:t>(IDC)</w:t>
      </w:r>
      <w:r w:rsidRPr="00180FB4">
        <w:rPr>
          <w:i/>
          <w:iCs/>
        </w:rPr>
        <w:t>.</w:t>
      </w:r>
    </w:p>
    <w:p w14:paraId="24872C9F" w14:textId="77777777" w:rsidR="00AC5CEB" w:rsidRDefault="00AC5CEB" w:rsidP="00192CA9"/>
    <w:p w14:paraId="4FE90F1C" w14:textId="7B8C7FAD" w:rsidR="00B457E3" w:rsidRDefault="00FA57CF" w:rsidP="00192CA9">
      <w:r>
        <w:rPr>
          <w:i/>
          <w:iCs/>
          <w:noProof/>
        </w:rPr>
        <w:drawing>
          <wp:inline distT="0" distB="0" distL="0" distR="0" wp14:anchorId="580AFE84" wp14:editId="71B0987D">
            <wp:extent cx="5400040" cy="3277870"/>
            <wp:effectExtent l="0" t="0" r="0" b="0"/>
            <wp:docPr id="1779843968" name="Imagem 3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9160" name="Imagem 3" descr="Gráfico, Gráfico de linhas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E90" w14:textId="15E795CE" w:rsidR="00192CA9" w:rsidRDefault="00192CA9" w:rsidP="00192CA9">
      <w:r>
        <w:t>.</w:t>
      </w:r>
    </w:p>
    <w:p w14:paraId="199F496E" w14:textId="03B61A6D" w:rsidR="001814FC" w:rsidRDefault="00707EBA" w:rsidP="00192CA9">
      <w:r w:rsidRPr="00946B92">
        <w:t>Observa-se</w:t>
      </w:r>
      <w:r>
        <w:t xml:space="preserve"> </w:t>
      </w:r>
      <w:r w:rsidR="0044760D">
        <w:t>pela</w:t>
      </w:r>
      <w:r w:rsidR="00206FC2">
        <w:t xml:space="preserve"> </w:t>
      </w:r>
      <w:r w:rsidR="00ED008D">
        <w:t>f</w:t>
      </w:r>
      <w:r w:rsidR="0044760D">
        <w:t>igura</w:t>
      </w:r>
      <w:r>
        <w:t xml:space="preserve"> </w:t>
      </w:r>
      <w:r w:rsidR="00245245">
        <w:t xml:space="preserve">acima </w:t>
      </w:r>
      <w:r w:rsidR="001E1635">
        <w:t xml:space="preserve">que o desconforto cai durante a </w:t>
      </w:r>
      <w:proofErr w:type="gramStart"/>
      <w:r w:rsidR="001E1635">
        <w:t>pandemia</w:t>
      </w:r>
      <w:r w:rsidR="00480720">
        <w:t xml:space="preserve">, </w:t>
      </w:r>
      <w:r w:rsidR="00C758AB">
        <w:t xml:space="preserve"> quando</w:t>
      </w:r>
      <w:proofErr w:type="gramEnd"/>
      <w:r w:rsidR="00C758AB">
        <w:t xml:space="preserve">  </w:t>
      </w:r>
      <w:r w:rsidR="004A0CF7">
        <w:t>os</w:t>
      </w:r>
      <w:r w:rsidRPr="00946B92">
        <w:t xml:space="preserve"> três componentes do </w:t>
      </w:r>
      <w:r w:rsidR="00754517">
        <w:t>IDC</w:t>
      </w:r>
      <w:r w:rsidR="001814FC">
        <w:t xml:space="preserve"> </w:t>
      </w:r>
      <w:proofErr w:type="gramStart"/>
      <w:r w:rsidR="001814FC">
        <w:t>caíram ,</w:t>
      </w:r>
      <w:proofErr w:type="gramEnd"/>
      <w:r w:rsidR="001814FC" w:rsidRPr="00946B92" w:rsidDel="00754517">
        <w:t xml:space="preserve"> </w:t>
      </w:r>
      <w:r w:rsidR="00616028" w:rsidRPr="00946B92">
        <w:t>em especial a inadimplência,</w:t>
      </w:r>
      <w:r w:rsidR="00616028">
        <w:t xml:space="preserve"> </w:t>
      </w:r>
      <w:r w:rsidR="006811C2">
        <w:t xml:space="preserve">que foi afetada pelos </w:t>
      </w:r>
      <w:r w:rsidR="00616028">
        <w:t xml:space="preserve">programas de renegociação de dívidas </w:t>
      </w:r>
      <w:r w:rsidR="002D59CE">
        <w:t>feitos pelos bancos</w:t>
      </w:r>
      <w:r w:rsidRPr="00946B92">
        <w:t xml:space="preserve">. </w:t>
      </w:r>
    </w:p>
    <w:p w14:paraId="1E7BD081" w14:textId="4571D78B" w:rsidR="00C25964" w:rsidRDefault="00707EBA" w:rsidP="00CE6CC7">
      <w:r w:rsidRPr="00946B92">
        <w:t xml:space="preserve">No pós-pandemia, </w:t>
      </w:r>
      <w:r w:rsidR="004A0CF7">
        <w:t>os</w:t>
      </w:r>
      <w:r w:rsidRPr="00946B92">
        <w:t xml:space="preserve"> três</w:t>
      </w:r>
      <w:r w:rsidR="004A0CF7">
        <w:t xml:space="preserve"> componentes</w:t>
      </w:r>
      <w:r w:rsidRPr="00946B92">
        <w:t xml:space="preserve"> crescem consideravelmente, sendo que parece haver um efeito defasado da inadimplência, que cresce depois do comprometimento de renda e da piora da qualidade de crédito.</w:t>
      </w:r>
      <w:r w:rsidR="00CE6CC7" w:rsidRPr="00CE6CC7">
        <w:t xml:space="preserve"> </w:t>
      </w:r>
      <w:r w:rsidR="003D4263">
        <w:t>A esc</w:t>
      </w:r>
      <w:r w:rsidR="00325274">
        <w:t>alada do</w:t>
      </w:r>
      <w:r w:rsidR="006F1508">
        <w:t xml:space="preserve"> </w:t>
      </w:r>
      <w:r w:rsidR="003D4263">
        <w:t>desconforto do uso do crédito</w:t>
      </w:r>
      <w:r w:rsidR="00325274">
        <w:t xml:space="preserve"> é </w:t>
      </w:r>
      <w:r w:rsidR="00325274">
        <w:lastRenderedPageBreak/>
        <w:t xml:space="preserve">interrompida com o lançamento </w:t>
      </w:r>
      <w:r w:rsidR="0007238B">
        <w:t>do programa</w:t>
      </w:r>
      <w:r w:rsidR="00CE6CC7">
        <w:t xml:space="preserve"> Desenrola</w:t>
      </w:r>
      <w:r w:rsidR="005F1DB3">
        <w:t>. Entretanto, o efeito é temporário</w:t>
      </w:r>
      <w:r w:rsidR="005B3EFB">
        <w:t xml:space="preserve">. </w:t>
      </w:r>
    </w:p>
    <w:p w14:paraId="6953B552" w14:textId="15503391" w:rsidR="00505FD9" w:rsidRDefault="005B3EFB" w:rsidP="00CE6CC7">
      <w:r>
        <w:t xml:space="preserve">O Desenrola </w:t>
      </w:r>
      <w:r w:rsidR="007E3890">
        <w:t>teve como objetivo principal a reativação d</w:t>
      </w:r>
      <w:r w:rsidR="00807FA1">
        <w:t>o consumo através do crédito</w:t>
      </w:r>
      <w:r w:rsidR="004E34D2">
        <w:t xml:space="preserve">. Foi um programa </w:t>
      </w:r>
      <w:r w:rsidR="00970621">
        <w:t>de alívio</w:t>
      </w:r>
      <w:r w:rsidR="004E34D2">
        <w:t xml:space="preserve"> financeiro </w:t>
      </w:r>
      <w:r w:rsidR="00CE6CC7">
        <w:t>temporário</w:t>
      </w:r>
      <w:r w:rsidR="0038722B">
        <w:t xml:space="preserve"> e não um conjunto de medidas </w:t>
      </w:r>
      <w:r w:rsidR="00C25964">
        <w:t>visando combater as causas estruturais do superendividamento</w:t>
      </w:r>
      <w:r w:rsidR="00CE6CC7">
        <w:t xml:space="preserve">. </w:t>
      </w:r>
      <w:r w:rsidR="008C2E29">
        <w:t>O programa se encerrou em maio de 2024</w:t>
      </w:r>
      <w:r w:rsidR="008823E1">
        <w:t xml:space="preserve">, mesmo em que o </w:t>
      </w:r>
      <w:r w:rsidR="000E6915">
        <w:t>IDC volta a aumentar</w:t>
      </w:r>
      <w:r w:rsidR="00505FD9">
        <w:t xml:space="preserve">, atingindo </w:t>
      </w:r>
      <w:proofErr w:type="gramStart"/>
      <w:r w:rsidR="00505FD9">
        <w:t xml:space="preserve">os </w:t>
      </w:r>
      <w:proofErr w:type="spellStart"/>
      <w:r w:rsidR="00CE6CC7">
        <w:t>os</w:t>
      </w:r>
      <w:proofErr w:type="spellEnd"/>
      <w:proofErr w:type="gramEnd"/>
      <w:r w:rsidR="00CE6CC7">
        <w:t xml:space="preserve"> pontos máximos da série histórica</w:t>
      </w:r>
      <w:r w:rsidR="00505FD9">
        <w:t xml:space="preserve"> em 2025 e 2026.</w:t>
      </w:r>
    </w:p>
    <w:p w14:paraId="0617BBFD" w14:textId="5BCCAFC6" w:rsidR="00B470F5" w:rsidRDefault="00394479" w:rsidP="00D701E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rPr>
          <w:b/>
          <w:bCs/>
          <w:color w:val="000000"/>
        </w:rPr>
      </w:pPr>
      <w:r>
        <w:rPr>
          <w:b/>
          <w:bCs/>
          <w:color w:val="000000"/>
        </w:rPr>
        <w:t>Conclusões</w:t>
      </w:r>
    </w:p>
    <w:p w14:paraId="53A57DEC" w14:textId="0D68C786" w:rsidR="00A949F4" w:rsidRDefault="00A21DB7">
      <w:r w:rsidRPr="00A21DB7">
        <w:t xml:space="preserve">A análise </w:t>
      </w:r>
      <w:r>
        <w:t>do endividamento das famílias no</w:t>
      </w:r>
      <w:r w:rsidRPr="00A21DB7">
        <w:t xml:space="preserve"> mercado de crédito brasileiro</w:t>
      </w:r>
      <w:r>
        <w:t xml:space="preserve"> </w:t>
      </w:r>
      <w:proofErr w:type="gramStart"/>
      <w:r>
        <w:t>aponta  para</w:t>
      </w:r>
      <w:proofErr w:type="gramEnd"/>
      <w:r w:rsidRPr="00A21DB7">
        <w:t xml:space="preserve"> implicações sobre o bem-estar. O deslocamento do crédito em direção à pessoa física, concentrado em modalidades mais onerosas, </w:t>
      </w:r>
      <w:r>
        <w:t>ajuda</w:t>
      </w:r>
      <w:r w:rsidRPr="00A21DB7">
        <w:t xml:space="preserve"> a explicar o aparente descolamento entre indicadores macroeconômicos favoráveis e a percepção de desconforto financeiro. </w:t>
      </w:r>
    </w:p>
    <w:p w14:paraId="57939261" w14:textId="0E50FA78" w:rsidR="00B470F5" w:rsidRDefault="00A949F4">
      <w:r>
        <w:t>A</w:t>
      </w:r>
      <w:r w:rsidR="00A21DB7" w:rsidRPr="00A21DB7">
        <w:t>lgumas conclusões da análise aqui apresentada</w:t>
      </w:r>
      <w:r w:rsidR="00A21DB7">
        <w:t xml:space="preserve"> são</w:t>
      </w:r>
      <w:r w:rsidR="00A21DB7" w:rsidRPr="00A21DB7">
        <w:t>:</w:t>
      </w:r>
    </w:p>
    <w:p w14:paraId="5363794A" w14:textId="77777777" w:rsidR="00B470F5" w:rsidRDefault="00394479" w:rsidP="00A21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 crédito PF segue ampliando sua participação em relação ao crédito PJ.</w:t>
      </w:r>
    </w:p>
    <w:p w14:paraId="2A30F4DC" w14:textId="77777777" w:rsidR="00B470F5" w:rsidRDefault="00394479" w:rsidP="00A21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No caso do crédito PF, há evidências de um crescimento além do desejável em modalidades de qualidade questionável, como cartão de crédito e crédito pessoal, cujas taxas de juros são elevadas. </w:t>
      </w:r>
    </w:p>
    <w:p w14:paraId="022723E9" w14:textId="7B9DC4A1" w:rsidR="00946B92" w:rsidRDefault="00394479" w:rsidP="00A21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 comprometimento de renda familiar permanece elevado</w:t>
      </w:r>
      <w:r w:rsidR="00946B92">
        <w:rPr>
          <w:color w:val="000000"/>
        </w:rPr>
        <w:t xml:space="preserve">, mas a questão do superendividamento pode ser </w:t>
      </w:r>
      <w:r w:rsidR="00E17475">
        <w:rPr>
          <w:color w:val="000000"/>
        </w:rPr>
        <w:t>mais bem</w:t>
      </w:r>
      <w:r w:rsidR="00946B92">
        <w:rPr>
          <w:color w:val="000000"/>
        </w:rPr>
        <w:t xml:space="preserve"> capturada pela incorporação da inadimplência e da qualidade de crédito na análise. Ess</w:t>
      </w:r>
      <w:r w:rsidR="00327F29">
        <w:rPr>
          <w:color w:val="000000"/>
        </w:rPr>
        <w:t>e</w:t>
      </w:r>
      <w:r w:rsidR="00946B92">
        <w:rPr>
          <w:color w:val="000000"/>
        </w:rPr>
        <w:t xml:space="preserve">s componentes podem ser </w:t>
      </w:r>
      <w:r w:rsidR="008042E9">
        <w:rPr>
          <w:color w:val="000000"/>
        </w:rPr>
        <w:t>sintetizados</w:t>
      </w:r>
      <w:r w:rsidR="00946B92">
        <w:rPr>
          <w:color w:val="000000"/>
        </w:rPr>
        <w:t xml:space="preserve"> no IDC.</w:t>
      </w:r>
    </w:p>
    <w:p w14:paraId="564F254D" w14:textId="77777777" w:rsidR="00E676CD" w:rsidRDefault="009C1918" w:rsidP="00A21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9C1918">
        <w:rPr>
          <w:color w:val="000000"/>
        </w:rPr>
        <w:t xml:space="preserve">O IDC </w:t>
      </w:r>
      <w:r>
        <w:rPr>
          <w:color w:val="000000"/>
        </w:rPr>
        <w:t xml:space="preserve">avança na </w:t>
      </w:r>
      <w:r w:rsidRPr="009C1918">
        <w:rPr>
          <w:color w:val="000000"/>
        </w:rPr>
        <w:t xml:space="preserve">captura </w:t>
      </w:r>
      <w:r>
        <w:rPr>
          <w:color w:val="000000"/>
        </w:rPr>
        <w:t>da</w:t>
      </w:r>
      <w:r w:rsidRPr="009C1918">
        <w:rPr>
          <w:color w:val="000000"/>
        </w:rPr>
        <w:t xml:space="preserve"> complexidade do superendividamento</w:t>
      </w:r>
      <w:r>
        <w:rPr>
          <w:color w:val="000000"/>
        </w:rPr>
        <w:t xml:space="preserve">, </w:t>
      </w:r>
      <w:r w:rsidR="004F12BD">
        <w:rPr>
          <w:color w:val="000000"/>
        </w:rPr>
        <w:t xml:space="preserve">oferecendo </w:t>
      </w:r>
      <w:r w:rsidRPr="009C1918">
        <w:rPr>
          <w:color w:val="000000"/>
        </w:rPr>
        <w:t>uma medida mais completa do problema, superando diagnósticos baseados em indicadores isolados.</w:t>
      </w:r>
      <w:r w:rsidR="00124F8B">
        <w:rPr>
          <w:color w:val="000000"/>
        </w:rPr>
        <w:t xml:space="preserve"> </w:t>
      </w:r>
    </w:p>
    <w:p w14:paraId="77CED8E5" w14:textId="47FA4A82" w:rsidR="00E676CD" w:rsidRDefault="00F3671B" w:rsidP="00A21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</w:t>
      </w:r>
      <w:r w:rsidRPr="00F3671B">
        <w:rPr>
          <w:color w:val="000000"/>
        </w:rPr>
        <w:t>rogramas como o Desenrola tendem a produzir apenas alívio temporário no IDC e no superendividamento; sem enfrentar as causas estruturais, o risco é permanecer em uma dinâmica recorrente de medidas paliativas — um verdadeiro “enxuga gelo”.</w:t>
      </w:r>
    </w:p>
    <w:p w14:paraId="54D74723" w14:textId="77777777" w:rsidR="00A21DB7" w:rsidRDefault="00A21DB7" w:rsidP="00A21DB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570F76E" w14:textId="77777777" w:rsidR="00815220" w:rsidRDefault="008152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63872544" w14:textId="77777777" w:rsidR="00815220" w:rsidRDefault="008152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65B6C62A" w14:textId="77777777" w:rsidR="00815220" w:rsidRDefault="008152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7D2B4228" w14:textId="67187A1C" w:rsidR="002D1131" w:rsidRPr="002D1131" w:rsidRDefault="00F3671B" w:rsidP="002D1131">
      <w:pPr>
        <w:pStyle w:val="Ttulo2"/>
        <w:rPr>
          <w:b w:val="0"/>
          <w:bCs w:val="0"/>
        </w:rPr>
      </w:pPr>
      <w:r>
        <w:rPr>
          <w:rStyle w:val="Forte"/>
        </w:rPr>
        <w:lastRenderedPageBreak/>
        <w:t>A</w:t>
      </w:r>
      <w:r w:rsidR="008E5708" w:rsidRPr="00AA69C5">
        <w:rPr>
          <w:rStyle w:val="Forte"/>
        </w:rPr>
        <w:t>nexo</w:t>
      </w:r>
      <w:r w:rsidR="00CC4183" w:rsidRPr="00AA69C5">
        <w:rPr>
          <w:rStyle w:val="Forte"/>
        </w:rPr>
        <w:t>: M</w:t>
      </w:r>
      <w:r w:rsidR="00971754" w:rsidRPr="00AA69C5">
        <w:rPr>
          <w:rStyle w:val="Forte"/>
        </w:rPr>
        <w:t xml:space="preserve">etodologia de </w:t>
      </w:r>
      <w:r w:rsidR="000E7022" w:rsidRPr="00AA69C5">
        <w:rPr>
          <w:rStyle w:val="Forte"/>
        </w:rPr>
        <w:t>Constru</w:t>
      </w:r>
      <w:r w:rsidR="00971754" w:rsidRPr="00AA69C5">
        <w:rPr>
          <w:rStyle w:val="Forte"/>
        </w:rPr>
        <w:t xml:space="preserve">ção do </w:t>
      </w:r>
      <w:r w:rsidR="000E7022" w:rsidRPr="00AA69C5">
        <w:rPr>
          <w:rStyle w:val="Forte"/>
        </w:rPr>
        <w:t>Índice de</w:t>
      </w:r>
      <w:r w:rsidR="00AA69C5" w:rsidRPr="00AA69C5">
        <w:rPr>
          <w:rStyle w:val="Forte"/>
        </w:rPr>
        <w:t xml:space="preserve"> </w:t>
      </w:r>
      <w:r w:rsidR="000E7022" w:rsidRPr="00AA69C5">
        <w:rPr>
          <w:rStyle w:val="Forte"/>
        </w:rPr>
        <w:t>Desconforto de Crédito</w:t>
      </w:r>
    </w:p>
    <w:p w14:paraId="517F304F" w14:textId="331F29B5" w:rsidR="000E7022" w:rsidRPr="000E7022" w:rsidRDefault="000E7022" w:rsidP="000E7022">
      <w:r w:rsidRPr="000E7022">
        <w:t xml:space="preserve">O Índice de Desconforto de Crédito (IDC) é um indicador construído para sintetizar em uma única métrica a evolução do estresse financeiro das famílias brasileiras no mercado de crédito. </w:t>
      </w:r>
    </w:p>
    <w:p w14:paraId="0EFE1E50" w14:textId="62D6476E" w:rsidR="000E7022" w:rsidRPr="000E7022" w:rsidRDefault="000E7022" w:rsidP="00AA69C5">
      <w:pPr>
        <w:pStyle w:val="Ttulo3"/>
      </w:pPr>
      <w:r w:rsidRPr="000E7022">
        <w:t>1. Dados e Componentes</w:t>
      </w:r>
    </w:p>
    <w:p w14:paraId="02591210" w14:textId="73DF852A" w:rsidR="000E7022" w:rsidRPr="000E7022" w:rsidRDefault="000E7022" w:rsidP="000E7022">
      <w:r w:rsidRPr="000E7022">
        <w:t>O índice é composto por três séries mensais obtidas do Sistema Gerenciador de Séries Temporais (SGS) do Banco Central do Brasil, compiladas na planilha oficial de estatísticas monetárias e de crédito do BCB</w:t>
      </w:r>
      <w:r w:rsidR="005E32ED">
        <w:t>:</w:t>
      </w:r>
    </w:p>
    <w:p w14:paraId="4BD94302" w14:textId="6F10F473" w:rsidR="00E93FB1" w:rsidRDefault="000E7022" w:rsidP="000E7022">
      <w:pPr>
        <w:rPr>
          <w:b/>
          <w:bCs/>
        </w:rPr>
      </w:pPr>
      <w:r w:rsidRPr="003D66E1">
        <w:rPr>
          <w:b/>
          <w:bCs/>
        </w:rPr>
        <w:t xml:space="preserve">Comprometimento de renda com a dívida </w:t>
      </w:r>
      <w:r w:rsidR="00AA69C5" w:rsidRPr="00AA69C5">
        <w:t>(C)</w:t>
      </w:r>
    </w:p>
    <w:p w14:paraId="5C372FBD" w14:textId="77777777" w:rsidR="00E93FB1" w:rsidRPr="00E93FB1" w:rsidRDefault="00E93FB1" w:rsidP="00E93FB1">
      <w:pPr>
        <w:numPr>
          <w:ilvl w:val="0"/>
          <w:numId w:val="6"/>
        </w:numPr>
        <w:rPr>
          <w:lang w:val="en-US"/>
        </w:rPr>
      </w:pPr>
      <w:r w:rsidRPr="00E93FB1">
        <w:rPr>
          <w:lang w:val="en-US"/>
        </w:rPr>
        <w:t>Código SGS: 29034</w:t>
      </w:r>
    </w:p>
    <w:p w14:paraId="4C2F4EA2" w14:textId="3AAD533B" w:rsidR="00E93FB1" w:rsidRPr="00E93FB1" w:rsidRDefault="00E93FB1" w:rsidP="00E93FB1">
      <w:pPr>
        <w:numPr>
          <w:ilvl w:val="0"/>
          <w:numId w:val="6"/>
        </w:numPr>
      </w:pPr>
      <w:r w:rsidRPr="00E93FB1">
        <w:t>Conceito: relação entre o valor correspondente aos pagamentos esperados para o serviço da dívida com o Sistema Financeiro Nacional e a renda mensal das famílias, em média móvel trimestral, ajustado sazonalmente.</w:t>
      </w:r>
    </w:p>
    <w:p w14:paraId="54CAA7A3" w14:textId="16F4DD27" w:rsidR="00E93FB1" w:rsidRDefault="00E93FB1" w:rsidP="000E7022">
      <w:pPr>
        <w:numPr>
          <w:ilvl w:val="0"/>
          <w:numId w:val="6"/>
        </w:numPr>
        <w:rPr>
          <w:b/>
          <w:bCs/>
        </w:rPr>
      </w:pPr>
      <w:r w:rsidRPr="00E93FB1">
        <w:t>Para mais informações sobre a série:</w:t>
      </w:r>
      <w:r w:rsidR="00F43B85">
        <w:t xml:space="preserve"> </w:t>
      </w:r>
      <w:hyperlink r:id="rId15" w:history="1">
        <w:r w:rsidR="00E4552A" w:rsidRPr="0004227C">
          <w:rPr>
            <w:rStyle w:val="Hyperlink"/>
          </w:rPr>
          <w:t>https://dadosabertos.bcb.gov.br/dataset/29034-comprometimento-de-renda-das-familias-com-o-servico-da-divida-com-o-sistema-financeiro-nacion</w:t>
        </w:r>
      </w:hyperlink>
    </w:p>
    <w:p w14:paraId="65D37FF8" w14:textId="77777777" w:rsidR="00977401" w:rsidRPr="00977401" w:rsidRDefault="00977401" w:rsidP="00977401">
      <w:pPr>
        <w:rPr>
          <w:b/>
          <w:bCs/>
        </w:rPr>
      </w:pPr>
    </w:p>
    <w:p w14:paraId="1D3D4264" w14:textId="77777777" w:rsidR="00E93FB1" w:rsidRDefault="000E7022" w:rsidP="000E7022">
      <w:r w:rsidRPr="003D66E1">
        <w:rPr>
          <w:b/>
          <w:bCs/>
        </w:rPr>
        <w:t>Inadimplência</w:t>
      </w:r>
      <w:r w:rsidRPr="000E7022">
        <w:t xml:space="preserve"> (I)</w:t>
      </w:r>
      <w:r w:rsidR="003D66E1">
        <w:t>:</w:t>
      </w:r>
      <w:r w:rsidRPr="000E7022">
        <w:t xml:space="preserve"> </w:t>
      </w:r>
    </w:p>
    <w:p w14:paraId="09833B3B" w14:textId="77777777" w:rsidR="00E93FB1" w:rsidRPr="00E93FB1" w:rsidRDefault="00E93FB1" w:rsidP="00E93FB1">
      <w:pPr>
        <w:numPr>
          <w:ilvl w:val="0"/>
          <w:numId w:val="7"/>
        </w:numPr>
        <w:rPr>
          <w:lang w:val="en-US"/>
        </w:rPr>
      </w:pPr>
      <w:r w:rsidRPr="00E93FB1">
        <w:rPr>
          <w:lang w:val="en-US"/>
        </w:rPr>
        <w:t>Código SGS: 21112</w:t>
      </w:r>
    </w:p>
    <w:p w14:paraId="0A83F245" w14:textId="2FAF11D1" w:rsidR="00E93FB1" w:rsidRPr="00E93FB1" w:rsidRDefault="00E93FB1" w:rsidP="00E93FB1">
      <w:pPr>
        <w:numPr>
          <w:ilvl w:val="0"/>
          <w:numId w:val="7"/>
        </w:numPr>
      </w:pPr>
      <w:r w:rsidRPr="00E93FB1">
        <w:t xml:space="preserve">Conceito: </w:t>
      </w:r>
      <w:r>
        <w:t>p</w:t>
      </w:r>
      <w:r w:rsidRPr="00E93FB1">
        <w:t>ercentual da carteira de crédito livre</w:t>
      </w:r>
      <w:r w:rsidR="00B75A22">
        <w:t xml:space="preserve"> PF </w:t>
      </w:r>
      <w:r w:rsidRPr="00E93FB1">
        <w:t>do Sistema Financeiro Nacional com pelo menos uma parcela com atraso superior a 90 dias. Não inclui operações referenciadas em taxas regulamentadas, operações vinculadas a recursos do BNDES ou quaisquer outras lastreadas em recursos compulsórios ou governamentais.</w:t>
      </w:r>
    </w:p>
    <w:p w14:paraId="00CA0A30" w14:textId="25925D36" w:rsidR="00E93FB1" w:rsidRDefault="00E93FB1" w:rsidP="000E7022">
      <w:pPr>
        <w:numPr>
          <w:ilvl w:val="0"/>
          <w:numId w:val="7"/>
        </w:numPr>
      </w:pPr>
      <w:r w:rsidRPr="00E93FB1">
        <w:t>Para</w:t>
      </w:r>
      <w:r w:rsidR="00F43B85">
        <w:t xml:space="preserve"> </w:t>
      </w:r>
      <w:r w:rsidRPr="00E93FB1">
        <w:t>mais informações sobre a série: </w:t>
      </w:r>
      <w:hyperlink r:id="rId16" w:history="1">
        <w:r w:rsidRPr="00E93FB1">
          <w:rPr>
            <w:rStyle w:val="Hyperlink"/>
          </w:rPr>
          <w:t>https://dadosabertos.bcb.gov.br/dataset/21112-inadimplencia-da-carteira-de-credito-com-recursos-livres---pessoas-fisicas---total</w:t>
        </w:r>
      </w:hyperlink>
    </w:p>
    <w:p w14:paraId="67964901" w14:textId="77777777" w:rsidR="00B75A22" w:rsidRDefault="000E7022" w:rsidP="000E7022">
      <w:r w:rsidRPr="003D66E1">
        <w:rPr>
          <w:b/>
          <w:bCs/>
        </w:rPr>
        <w:lastRenderedPageBreak/>
        <w:t>Qualidade do crédito</w:t>
      </w:r>
      <w:r w:rsidRPr="000E7022">
        <w:t xml:space="preserve"> (Q)</w:t>
      </w:r>
      <w:r w:rsidR="003D66E1">
        <w:t>:</w:t>
      </w:r>
      <w:r w:rsidRPr="000E7022">
        <w:t xml:space="preserve"> </w:t>
      </w:r>
    </w:p>
    <w:p w14:paraId="6459E0F3" w14:textId="77777777" w:rsidR="00B75A22" w:rsidRPr="00B75A22" w:rsidRDefault="00B75A22" w:rsidP="00B75A22">
      <w:r w:rsidRPr="00B75A22">
        <w:t>Mede a fração do crédito livre de pessoa física alocada em modalidades consideradas mais onerosas.</w:t>
      </w:r>
    </w:p>
    <w:p w14:paraId="6717C169" w14:textId="77777777" w:rsidR="00B75A22" w:rsidRPr="00B75A22" w:rsidRDefault="00B75A22" w:rsidP="00B75A22">
      <w:pPr>
        <w:rPr>
          <w:lang w:val="en-US"/>
        </w:rPr>
      </w:pPr>
      <w:proofErr w:type="spellStart"/>
      <w:r w:rsidRPr="00B75A22">
        <w:rPr>
          <w:lang w:val="en-US"/>
        </w:rPr>
        <w:t>Componentes</w:t>
      </w:r>
      <w:proofErr w:type="spellEnd"/>
      <w:r w:rsidRPr="00B75A22">
        <w:rPr>
          <w:lang w:val="en-US"/>
        </w:rPr>
        <w:t>:</w:t>
      </w:r>
    </w:p>
    <w:p w14:paraId="1563D202" w14:textId="77777777" w:rsidR="00B75A22" w:rsidRPr="00B75A22" w:rsidRDefault="00B75A22" w:rsidP="00B75A22">
      <w:pPr>
        <w:numPr>
          <w:ilvl w:val="0"/>
          <w:numId w:val="8"/>
        </w:numPr>
        <w:rPr>
          <w:lang w:val="en-US"/>
        </w:rPr>
      </w:pPr>
      <w:r w:rsidRPr="00B75A22">
        <w:rPr>
          <w:lang w:val="en-US"/>
        </w:rPr>
        <w:t>Cheque especial (</w:t>
      </w:r>
      <w:proofErr w:type="spellStart"/>
      <w:r w:rsidRPr="00B75A22">
        <w:rPr>
          <w:lang w:val="en-US"/>
        </w:rPr>
        <w:t>código</w:t>
      </w:r>
      <w:proofErr w:type="spellEnd"/>
      <w:r w:rsidRPr="00B75A22">
        <w:rPr>
          <w:lang w:val="en-US"/>
        </w:rPr>
        <w:t xml:space="preserve"> SGS: 20573)</w:t>
      </w:r>
    </w:p>
    <w:p w14:paraId="317C49AE" w14:textId="77777777" w:rsidR="00B75A22" w:rsidRPr="00B75A22" w:rsidRDefault="00B75A22" w:rsidP="00B75A22">
      <w:pPr>
        <w:numPr>
          <w:ilvl w:val="0"/>
          <w:numId w:val="8"/>
        </w:numPr>
      </w:pPr>
      <w:r w:rsidRPr="00B75A22">
        <w:t>Crédito pessoal não consignado (código SGS: 20574)</w:t>
      </w:r>
    </w:p>
    <w:p w14:paraId="08235F79" w14:textId="77777777" w:rsidR="00B75A22" w:rsidRPr="00B75A22" w:rsidRDefault="00B75A22" w:rsidP="00B75A22">
      <w:pPr>
        <w:numPr>
          <w:ilvl w:val="0"/>
          <w:numId w:val="8"/>
        </w:numPr>
      </w:pPr>
      <w:r w:rsidRPr="00B75A22">
        <w:t>Cartão de crédito rotativo (código SGS: 20587)</w:t>
      </w:r>
    </w:p>
    <w:p w14:paraId="50124E77" w14:textId="77777777" w:rsidR="00B75A22" w:rsidRPr="00B75A22" w:rsidRDefault="00B75A22" w:rsidP="00B75A22">
      <w:pPr>
        <w:numPr>
          <w:ilvl w:val="0"/>
          <w:numId w:val="8"/>
        </w:numPr>
      </w:pPr>
      <w:r w:rsidRPr="00B75A22">
        <w:t>Cartão de crédito parcelado (código SGS: 20588)</w:t>
      </w:r>
    </w:p>
    <w:p w14:paraId="69591D32" w14:textId="77777777" w:rsidR="00B75A22" w:rsidRPr="00B75A22" w:rsidRDefault="00B75A22" w:rsidP="00B75A22">
      <w:pPr>
        <w:rPr>
          <w:lang w:val="en-US"/>
        </w:rPr>
      </w:pPr>
      <w:proofErr w:type="spellStart"/>
      <w:r w:rsidRPr="00B75A22">
        <w:rPr>
          <w:lang w:val="en-US"/>
        </w:rPr>
        <w:t>Métrica</w:t>
      </w:r>
      <w:proofErr w:type="spellEnd"/>
      <w:r w:rsidRPr="00B75A22">
        <w:rPr>
          <w:lang w:val="en-US"/>
        </w:rPr>
        <w:t>:</w:t>
      </w:r>
    </w:p>
    <w:p w14:paraId="1D3EC73A" w14:textId="6ACA4AAB" w:rsidR="00B75A22" w:rsidRDefault="00B75A22" w:rsidP="000E7022">
      <w:pPr>
        <w:numPr>
          <w:ilvl w:val="0"/>
          <w:numId w:val="9"/>
        </w:numPr>
      </w:pPr>
      <w:r w:rsidRPr="00B75A22">
        <w:t>Participação dessas modalidades no total de crédito livre para pessoa física (código SGS: 20570), expressa como </w:t>
      </w:r>
      <w:r w:rsidRPr="00D02886">
        <w:t>fração [0, 1]</w:t>
      </w:r>
      <w:r w:rsidRPr="00B75A22">
        <w:t> (e.g., 0,21 = 21% do crédito livre PF alocado em modalidades onerosas)</w:t>
      </w:r>
    </w:p>
    <w:p w14:paraId="171BCC95" w14:textId="77777777" w:rsidR="00CA6D1F" w:rsidRDefault="00CA6D1F" w:rsidP="00CA6D1F">
      <w:pPr>
        <w:ind w:left="720"/>
      </w:pPr>
    </w:p>
    <w:p w14:paraId="2E72B9D9" w14:textId="76257447" w:rsidR="000E7022" w:rsidRPr="000E7022" w:rsidRDefault="000E7022" w:rsidP="00AA69C5">
      <w:pPr>
        <w:pStyle w:val="Ttulo3"/>
      </w:pPr>
      <w:r w:rsidRPr="000E7022">
        <w:t xml:space="preserve">2. </w:t>
      </w:r>
      <w:r w:rsidRPr="00E4552A">
        <w:t>Normalização</w:t>
      </w:r>
    </w:p>
    <w:p w14:paraId="25611736" w14:textId="5E7CD0F5" w:rsidR="000E7022" w:rsidRPr="000E7022" w:rsidRDefault="000E7022" w:rsidP="000E7022">
      <w:r w:rsidRPr="000E7022">
        <w:t>Como os três componentes têm escalas distintas, é necessário normalizá-los antes da agregação. O índice</w:t>
      </w:r>
      <w:r w:rsidR="00B75A22">
        <w:t xml:space="preserve"> </w:t>
      </w:r>
      <w:r w:rsidRPr="000E7022">
        <w:t xml:space="preserve">é produzido </w:t>
      </w:r>
      <w:r w:rsidR="00CA6D1F">
        <w:t>utilizando a normalização Min-Max: a</w:t>
      </w:r>
      <w:r w:rsidRPr="000E7022">
        <w:t xml:space="preserve"> cada período t, o valor normalizado é dado por</w:t>
      </w:r>
    </w:p>
    <w:p w14:paraId="13682245" w14:textId="03D81F98" w:rsidR="000E7022" w:rsidRPr="000E7022" w:rsidRDefault="00D618CF" w:rsidP="000E7022">
      <w:pPr>
        <w:rPr>
          <w:highlight w:val="yellow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norm</m:t>
              </m:r>
            </m:sup>
          </m:sSub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min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  <m:r>
                <w:rPr>
                  <w:rFonts w:ascii="Cambria Math" w:hAnsi="Cambria Math"/>
                </w:rPr>
                <m:t xml:space="preserve"> - 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min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den>
          </m:f>
        </m:oMath>
      </m:oMathPara>
    </w:p>
    <w:p w14:paraId="2A21CD3C" w14:textId="6736DF64" w:rsidR="00CA6D1F" w:rsidRPr="000E7022" w:rsidRDefault="000E7022" w:rsidP="00CA6D1F">
      <w:r w:rsidRPr="000E7022"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min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sub>
        </m:sSub>
      </m:oMath>
      <w:r w:rsidRPr="000E7022">
        <w:t xml:space="preserve">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sub>
        </m:sSub>
      </m:oMath>
      <w:r w:rsidRPr="000E7022">
        <w:t xml:space="preserve"> são calculados sobre a janela </w:t>
      </w:r>
      <w:r w:rsidR="00CA6D1F">
        <w:t xml:space="preserve">expansiva </w:t>
      </w:r>
      <w:r w:rsidRPr="000E7022">
        <w:t>τ</w:t>
      </w:r>
      <w:r w:rsidR="00CA6D1F">
        <w:t>, isto é, uma</w:t>
      </w:r>
      <w:r w:rsidR="00CA6D1F" w:rsidRPr="000E7022">
        <w:t xml:space="preserve"> janela </w:t>
      </w:r>
      <w:r w:rsidR="00CA6D1F">
        <w:t xml:space="preserve">que </w:t>
      </w:r>
      <w:r w:rsidR="00CA6D1F" w:rsidRPr="000E7022">
        <w:t>cresce a partir do início da amostra: τ = {1, …, t}.</w:t>
      </w:r>
      <w:r w:rsidR="00CA6D1F">
        <w:t xml:space="preserve"> </w:t>
      </w:r>
      <w:r w:rsidR="00CA6D1F" w:rsidRPr="000E7022">
        <w:t xml:space="preserve">Os primeiros 34 meses são utilizados como período de aquecimento e o índice é exibido a partir de janeiro de 2014. </w:t>
      </w:r>
      <w:r w:rsidR="00CA6D1F">
        <w:t>O</w:t>
      </w:r>
      <w:r w:rsidR="00CA6D1F" w:rsidRPr="000E7022">
        <w:t>s parâmetros de normalização são calibrados em relação a todo o histórico acumulado até cada data.</w:t>
      </w:r>
      <w:r w:rsidR="00CA6D1F">
        <w:t xml:space="preserve"> </w:t>
      </w:r>
    </w:p>
    <w:p w14:paraId="68ED6E23" w14:textId="634E3141" w:rsidR="000E7022" w:rsidRPr="000E7022" w:rsidRDefault="000E7022" w:rsidP="000E7022">
      <w:r w:rsidRPr="000E7022">
        <w:t xml:space="preserve">O resultado indica qual fração do intervalo histórico observado o valor atual representa: 0 corresponde ao mínimo da janela e 1 ao máximo. O método é simples e de interpretação direta, mas é sensível a valores extremos. </w:t>
      </w:r>
    </w:p>
    <w:p w14:paraId="416C2559" w14:textId="42BA8FB7" w:rsidR="000E7022" w:rsidRPr="000E7022" w:rsidRDefault="00CA6D1F" w:rsidP="00AA69C5">
      <w:pPr>
        <w:pStyle w:val="Ttulo3"/>
      </w:pPr>
      <w:r>
        <w:lastRenderedPageBreak/>
        <w:t>3</w:t>
      </w:r>
      <w:r w:rsidR="000E7022" w:rsidRPr="000E7022">
        <w:t>. Agregação</w:t>
      </w:r>
    </w:p>
    <w:p w14:paraId="6DF7D9F8" w14:textId="26846D91" w:rsidR="000E7022" w:rsidRPr="000E7022" w:rsidRDefault="000E7022" w:rsidP="000E7022">
      <w:r w:rsidRPr="000E7022">
        <w:t>Após a normalização individual de cada componente, o índice composto é calculado como média simples dos três:</w:t>
      </w:r>
    </w:p>
    <w:p w14:paraId="56F3A34C" w14:textId="45F4F0BB" w:rsidR="000E7022" w:rsidRPr="000E7022" w:rsidRDefault="00D618CF" w:rsidP="000E7022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IDC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12FCF31" w14:textId="0585EB21" w:rsidR="000E7022" w:rsidRPr="000E7022" w:rsidRDefault="000E7022" w:rsidP="000E7022">
      <w:r w:rsidRPr="000E7022"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E702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E7022">
        <w:t xml:space="preserve"> e</w:t>
      </w:r>
      <w:r w:rsidR="00AA647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E7022">
        <w:t xml:space="preserve"> são os valores normalizados do comprometimento de renda, da inadimplência e da qualidade do crédito, respectivamente. </w:t>
      </w:r>
    </w:p>
    <w:sectPr w:rsidR="000E7022" w:rsidRPr="000E702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9766" w14:textId="77777777" w:rsidR="00D618CF" w:rsidRDefault="00D618CF">
      <w:pPr>
        <w:spacing w:after="0" w:line="240" w:lineRule="auto"/>
      </w:pPr>
      <w:r>
        <w:separator/>
      </w:r>
    </w:p>
  </w:endnote>
  <w:endnote w:type="continuationSeparator" w:id="0">
    <w:p w14:paraId="2F4127CD" w14:textId="77777777" w:rsidR="00D618CF" w:rsidRDefault="00D61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55DAD2-432A-4ACE-8451-67706519721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BD2E91-AA03-4543-882D-9B1F7B9BFE09}"/>
    <w:embedItalic r:id="rId3" w:fontKey="{2D50FB01-D638-45F7-AC7C-76DD03AEE2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C756582-8D0A-4728-9189-BFCF927561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9A0E92-4AF3-4DD4-AD20-B138DB40B8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3745" w14:textId="77777777" w:rsidR="000E7022" w:rsidRDefault="000E70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5209" w14:textId="77777777" w:rsidR="000E7022" w:rsidRDefault="000E702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8B87" w14:textId="77777777" w:rsidR="000E7022" w:rsidRDefault="000E70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3D687" w14:textId="77777777" w:rsidR="00D618CF" w:rsidRDefault="00D618CF">
      <w:pPr>
        <w:spacing w:after="0" w:line="240" w:lineRule="auto"/>
      </w:pPr>
      <w:r>
        <w:separator/>
      </w:r>
    </w:p>
  </w:footnote>
  <w:footnote w:type="continuationSeparator" w:id="0">
    <w:p w14:paraId="3199B13D" w14:textId="77777777" w:rsidR="00D618CF" w:rsidRDefault="00D618CF">
      <w:pPr>
        <w:spacing w:after="0" w:line="240" w:lineRule="auto"/>
      </w:pPr>
      <w:r>
        <w:continuationSeparator/>
      </w:r>
    </w:p>
  </w:footnote>
  <w:footnote w:id="1">
    <w:p w14:paraId="231A2F14" w14:textId="070B0BB7" w:rsidR="00B470F5" w:rsidRDefault="003944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Professor da FGV EAESP e coordenador do Centro de Estudos de </w:t>
      </w:r>
      <w:proofErr w:type="spellStart"/>
      <w:r>
        <w:rPr>
          <w:color w:val="000000"/>
          <w:sz w:val="20"/>
          <w:szCs w:val="20"/>
        </w:rPr>
        <w:t>Microfinanças</w:t>
      </w:r>
      <w:proofErr w:type="spellEnd"/>
      <w:r>
        <w:rPr>
          <w:color w:val="000000"/>
          <w:sz w:val="20"/>
          <w:szCs w:val="20"/>
        </w:rPr>
        <w:t xml:space="preserve"> e Inclusão Financeira da FGV (</w:t>
      </w:r>
      <w:proofErr w:type="spellStart"/>
      <w:r>
        <w:rPr>
          <w:color w:val="000000"/>
          <w:sz w:val="20"/>
          <w:szCs w:val="20"/>
        </w:rPr>
        <w:t>FGV</w:t>
      </w:r>
      <w:r w:rsidR="00315EB3">
        <w:rPr>
          <w:color w:val="000000"/>
          <w:sz w:val="20"/>
          <w:szCs w:val="20"/>
        </w:rPr>
        <w:t>c</w:t>
      </w:r>
      <w:r>
        <w:rPr>
          <w:color w:val="000000"/>
          <w:sz w:val="20"/>
          <w:szCs w:val="20"/>
        </w:rPr>
        <w:t>emif</w:t>
      </w:r>
      <w:proofErr w:type="spellEnd"/>
      <w:r>
        <w:rPr>
          <w:color w:val="000000"/>
          <w:sz w:val="20"/>
          <w:szCs w:val="20"/>
        </w:rPr>
        <w:t xml:space="preserve">). </w:t>
      </w:r>
    </w:p>
  </w:footnote>
  <w:footnote w:id="2">
    <w:p w14:paraId="3E8CE2AA" w14:textId="2B14D50F" w:rsidR="00B470F5" w:rsidRDefault="003944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Professor </w:t>
      </w:r>
      <w:r w:rsidR="00315EB3">
        <w:rPr>
          <w:color w:val="000000"/>
          <w:sz w:val="20"/>
          <w:szCs w:val="20"/>
        </w:rPr>
        <w:t xml:space="preserve">da FGV EAESP </w:t>
      </w:r>
      <w:r>
        <w:rPr>
          <w:color w:val="000000"/>
          <w:sz w:val="20"/>
          <w:szCs w:val="20"/>
        </w:rPr>
        <w:t xml:space="preserve">e pesquisador do Centro de Estudos de </w:t>
      </w:r>
      <w:proofErr w:type="spellStart"/>
      <w:r>
        <w:rPr>
          <w:color w:val="000000"/>
          <w:sz w:val="20"/>
          <w:szCs w:val="20"/>
        </w:rPr>
        <w:t>Microfinanças</w:t>
      </w:r>
      <w:proofErr w:type="spellEnd"/>
      <w:r>
        <w:rPr>
          <w:color w:val="000000"/>
          <w:sz w:val="20"/>
          <w:szCs w:val="20"/>
        </w:rPr>
        <w:t xml:space="preserve"> e Inclusão Financeira da FGV(</w:t>
      </w:r>
      <w:proofErr w:type="spellStart"/>
      <w:r>
        <w:rPr>
          <w:color w:val="000000"/>
          <w:sz w:val="20"/>
          <w:szCs w:val="20"/>
        </w:rPr>
        <w:t>FGVcemif</w:t>
      </w:r>
      <w:proofErr w:type="spellEnd"/>
      <w:r>
        <w:rPr>
          <w:color w:val="000000"/>
          <w:sz w:val="20"/>
          <w:szCs w:val="20"/>
        </w:rPr>
        <w:t>).</w:t>
      </w:r>
    </w:p>
  </w:footnote>
  <w:footnote w:id="3">
    <w:p w14:paraId="3DE069C7" w14:textId="520F1D09" w:rsidR="00B470F5" w:rsidRDefault="00394479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="004E5201">
        <w:rPr>
          <w:sz w:val="20"/>
          <w:szCs w:val="20"/>
        </w:rPr>
        <w:t>Dou</w:t>
      </w:r>
      <w:r w:rsidR="00D701EB">
        <w:rPr>
          <w:sz w:val="20"/>
          <w:szCs w:val="20"/>
        </w:rPr>
        <w:t>to</w:t>
      </w:r>
      <w:r w:rsidR="004E5201">
        <w:rPr>
          <w:sz w:val="20"/>
          <w:szCs w:val="20"/>
        </w:rPr>
        <w:t>rando na FGV EESP</w:t>
      </w:r>
      <w:r w:rsidR="00315EB3">
        <w:rPr>
          <w:sz w:val="20"/>
          <w:szCs w:val="20"/>
        </w:rPr>
        <w:t xml:space="preserve"> e Pesquisador </w:t>
      </w:r>
      <w:r>
        <w:rPr>
          <w:sz w:val="20"/>
          <w:szCs w:val="20"/>
        </w:rPr>
        <w:t xml:space="preserve">no Centro de Estudos de </w:t>
      </w:r>
      <w:proofErr w:type="spellStart"/>
      <w:r>
        <w:rPr>
          <w:sz w:val="20"/>
          <w:szCs w:val="20"/>
        </w:rPr>
        <w:t>Microfinanças</w:t>
      </w:r>
      <w:proofErr w:type="spellEnd"/>
      <w:r>
        <w:rPr>
          <w:sz w:val="20"/>
          <w:szCs w:val="20"/>
        </w:rPr>
        <w:t xml:space="preserve"> e Inclusão Financeira da FGV (</w:t>
      </w:r>
      <w:proofErr w:type="spellStart"/>
      <w:r>
        <w:rPr>
          <w:sz w:val="20"/>
          <w:szCs w:val="20"/>
        </w:rPr>
        <w:t>FGV</w:t>
      </w:r>
      <w:r w:rsidR="00315EB3">
        <w:rPr>
          <w:sz w:val="20"/>
          <w:szCs w:val="20"/>
        </w:rPr>
        <w:t>c</w:t>
      </w:r>
      <w:r>
        <w:rPr>
          <w:sz w:val="20"/>
          <w:szCs w:val="20"/>
        </w:rPr>
        <w:t>emif</w:t>
      </w:r>
      <w:proofErr w:type="spellEnd"/>
      <w:r>
        <w:rPr>
          <w:sz w:val="20"/>
          <w:szCs w:val="20"/>
        </w:rPr>
        <w:t>).</w:t>
      </w:r>
    </w:p>
  </w:footnote>
  <w:footnote w:id="4">
    <w:p w14:paraId="25C02923" w14:textId="0A9C772F" w:rsidR="00675256" w:rsidRPr="0035796D" w:rsidRDefault="00675256" w:rsidP="00675256">
      <w:pPr>
        <w:pStyle w:val="Textodenotaderodap"/>
      </w:pPr>
      <w:r>
        <w:rPr>
          <w:rStyle w:val="Refdenotaderodap"/>
        </w:rPr>
        <w:footnoteRef/>
      </w:r>
      <w:r>
        <w:t xml:space="preserve"> Nas figuras 1 a 3, </w:t>
      </w:r>
      <w:proofErr w:type="gramStart"/>
      <w:r w:rsidRPr="0035796D">
        <w:t>Os</w:t>
      </w:r>
      <w:proofErr w:type="gramEnd"/>
      <w:r w:rsidRPr="0035796D">
        <w:t xml:space="preserve"> dados de 2015 a 2025 se referem ao mês de dezembro. O dado de 2026 corresponde </w:t>
      </w:r>
      <w:proofErr w:type="spellStart"/>
      <w:r w:rsidRPr="0035796D">
        <w:t>a</w:t>
      </w:r>
      <w:proofErr w:type="spellEnd"/>
      <w:r w:rsidRPr="0035796D">
        <w:t xml:space="preserve"> </w:t>
      </w:r>
      <w:proofErr w:type="gramStart"/>
      <w:r w:rsidRPr="0035796D">
        <w:t>Janeiro</w:t>
      </w:r>
      <w:proofErr w:type="gramEnd"/>
      <w:r w:rsidRPr="0035796D">
        <w:t xml:space="preserve"> o</w:t>
      </w:r>
      <w:r>
        <w:t xml:space="preserve">u </w:t>
      </w:r>
      <w:r w:rsidRPr="0035796D">
        <w:t>fevereiro</w:t>
      </w:r>
      <w:r>
        <w:t xml:space="preserve">, conforme o </w:t>
      </w:r>
      <w:r w:rsidRPr="0035796D">
        <w:t>último dado disponível).</w:t>
      </w:r>
    </w:p>
    <w:p w14:paraId="16C0BFD5" w14:textId="57F6FC0E" w:rsidR="00675256" w:rsidRDefault="00675256">
      <w:pPr>
        <w:pStyle w:val="Textodenotaderodap"/>
      </w:pPr>
    </w:p>
  </w:footnote>
  <w:footnote w:id="5">
    <w:p w14:paraId="17FECC1D" w14:textId="58D7E261" w:rsidR="006F64E7" w:rsidRDefault="006F64E7">
      <w:pPr>
        <w:pStyle w:val="Textodenotaderodap"/>
      </w:pPr>
      <w:r>
        <w:rPr>
          <w:rStyle w:val="Refdenotaderodap"/>
        </w:rPr>
        <w:footnoteRef/>
      </w:r>
      <w:r>
        <w:t xml:space="preserve"> Ver anexo para detalhes da normalização.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A6F0" w14:textId="77777777" w:rsidR="000E7022" w:rsidRDefault="000E70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F192" w14:textId="77777777" w:rsidR="000E7022" w:rsidRDefault="000E702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5EDE1" w14:textId="77777777" w:rsidR="000E7022" w:rsidRDefault="000E7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E64"/>
    <w:multiLevelType w:val="multilevel"/>
    <w:tmpl w:val="EE7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0C3F"/>
    <w:multiLevelType w:val="multilevel"/>
    <w:tmpl w:val="1AF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64E9"/>
    <w:multiLevelType w:val="multilevel"/>
    <w:tmpl w:val="0A7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0C90"/>
    <w:multiLevelType w:val="multilevel"/>
    <w:tmpl w:val="48FC56B4"/>
    <w:lvl w:ilvl="0">
      <w:start w:val="1"/>
      <w:numFmt w:val="lowerRoman"/>
      <w:lvlText w:val="%1.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44BE9"/>
    <w:multiLevelType w:val="multilevel"/>
    <w:tmpl w:val="B8E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24EEA"/>
    <w:multiLevelType w:val="multilevel"/>
    <w:tmpl w:val="4D1EC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F91428"/>
    <w:multiLevelType w:val="multilevel"/>
    <w:tmpl w:val="E9A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31647"/>
    <w:multiLevelType w:val="multilevel"/>
    <w:tmpl w:val="AFE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E44CC"/>
    <w:multiLevelType w:val="multilevel"/>
    <w:tmpl w:val="0D864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CD2B34"/>
    <w:multiLevelType w:val="multilevel"/>
    <w:tmpl w:val="641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227737">
    <w:abstractNumId w:val="8"/>
  </w:num>
  <w:num w:numId="2" w16cid:durableId="698699452">
    <w:abstractNumId w:val="3"/>
  </w:num>
  <w:num w:numId="3" w16cid:durableId="1469930537">
    <w:abstractNumId w:val="0"/>
  </w:num>
  <w:num w:numId="4" w16cid:durableId="1115292940">
    <w:abstractNumId w:val="4"/>
  </w:num>
  <w:num w:numId="5" w16cid:durableId="1474904223">
    <w:abstractNumId w:val="9"/>
  </w:num>
  <w:num w:numId="6" w16cid:durableId="1507013978">
    <w:abstractNumId w:val="7"/>
  </w:num>
  <w:num w:numId="7" w16cid:durableId="1495612473">
    <w:abstractNumId w:val="1"/>
  </w:num>
  <w:num w:numId="8" w16cid:durableId="970289154">
    <w:abstractNumId w:val="2"/>
  </w:num>
  <w:num w:numId="9" w16cid:durableId="806052023">
    <w:abstractNumId w:val="6"/>
  </w:num>
  <w:num w:numId="10" w16cid:durableId="126966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F5"/>
    <w:rsid w:val="0000629F"/>
    <w:rsid w:val="00014D07"/>
    <w:rsid w:val="0002480A"/>
    <w:rsid w:val="000436CA"/>
    <w:rsid w:val="00044287"/>
    <w:rsid w:val="00045691"/>
    <w:rsid w:val="00055A91"/>
    <w:rsid w:val="00055FBB"/>
    <w:rsid w:val="00061C27"/>
    <w:rsid w:val="00067C05"/>
    <w:rsid w:val="0007238B"/>
    <w:rsid w:val="000871D0"/>
    <w:rsid w:val="00092DFF"/>
    <w:rsid w:val="000B2276"/>
    <w:rsid w:val="000B3467"/>
    <w:rsid w:val="000C4DEE"/>
    <w:rsid w:val="000D12C4"/>
    <w:rsid w:val="000E6915"/>
    <w:rsid w:val="000E7022"/>
    <w:rsid w:val="000F7E9F"/>
    <w:rsid w:val="001001AD"/>
    <w:rsid w:val="00101BFA"/>
    <w:rsid w:val="001128D8"/>
    <w:rsid w:val="001230EA"/>
    <w:rsid w:val="00124F8B"/>
    <w:rsid w:val="001255C0"/>
    <w:rsid w:val="001311B8"/>
    <w:rsid w:val="00132EC0"/>
    <w:rsid w:val="00140C28"/>
    <w:rsid w:val="0015341F"/>
    <w:rsid w:val="00166F7E"/>
    <w:rsid w:val="00167887"/>
    <w:rsid w:val="00170EBC"/>
    <w:rsid w:val="0017221A"/>
    <w:rsid w:val="00176A24"/>
    <w:rsid w:val="00180FB4"/>
    <w:rsid w:val="001814FC"/>
    <w:rsid w:val="001827A3"/>
    <w:rsid w:val="00187653"/>
    <w:rsid w:val="00192CA9"/>
    <w:rsid w:val="001A41AA"/>
    <w:rsid w:val="001A58F8"/>
    <w:rsid w:val="001B1ADB"/>
    <w:rsid w:val="001B4E7D"/>
    <w:rsid w:val="001B602A"/>
    <w:rsid w:val="001E1635"/>
    <w:rsid w:val="00206881"/>
    <w:rsid w:val="00206FC2"/>
    <w:rsid w:val="002148F3"/>
    <w:rsid w:val="00245245"/>
    <w:rsid w:val="002B209A"/>
    <w:rsid w:val="002D1131"/>
    <w:rsid w:val="002D3FF0"/>
    <w:rsid w:val="002D59CE"/>
    <w:rsid w:val="002D7872"/>
    <w:rsid w:val="002E5294"/>
    <w:rsid w:val="002E5545"/>
    <w:rsid w:val="00310124"/>
    <w:rsid w:val="00315EB3"/>
    <w:rsid w:val="003161F7"/>
    <w:rsid w:val="00325274"/>
    <w:rsid w:val="00325F18"/>
    <w:rsid w:val="003262F8"/>
    <w:rsid w:val="00327F29"/>
    <w:rsid w:val="0034542C"/>
    <w:rsid w:val="0035356A"/>
    <w:rsid w:val="00354F8D"/>
    <w:rsid w:val="0035796D"/>
    <w:rsid w:val="00363C1C"/>
    <w:rsid w:val="00377448"/>
    <w:rsid w:val="0038722B"/>
    <w:rsid w:val="00394479"/>
    <w:rsid w:val="003B7D1E"/>
    <w:rsid w:val="003C1174"/>
    <w:rsid w:val="003D4263"/>
    <w:rsid w:val="003D66E1"/>
    <w:rsid w:val="003E273F"/>
    <w:rsid w:val="004019A7"/>
    <w:rsid w:val="00404782"/>
    <w:rsid w:val="00410DC8"/>
    <w:rsid w:val="00426E1D"/>
    <w:rsid w:val="0043172D"/>
    <w:rsid w:val="004330AF"/>
    <w:rsid w:val="0044760D"/>
    <w:rsid w:val="004673E4"/>
    <w:rsid w:val="00476A02"/>
    <w:rsid w:val="00480720"/>
    <w:rsid w:val="004A0CF7"/>
    <w:rsid w:val="004A53E2"/>
    <w:rsid w:val="004D5F6F"/>
    <w:rsid w:val="004E34D2"/>
    <w:rsid w:val="004E4417"/>
    <w:rsid w:val="004E5201"/>
    <w:rsid w:val="004F12BD"/>
    <w:rsid w:val="004F43DB"/>
    <w:rsid w:val="00500A39"/>
    <w:rsid w:val="00505FD9"/>
    <w:rsid w:val="005528B2"/>
    <w:rsid w:val="005622C2"/>
    <w:rsid w:val="005873D5"/>
    <w:rsid w:val="005B00F2"/>
    <w:rsid w:val="005B3EFB"/>
    <w:rsid w:val="005E32ED"/>
    <w:rsid w:val="005E64AF"/>
    <w:rsid w:val="005F1DB3"/>
    <w:rsid w:val="0060613C"/>
    <w:rsid w:val="0061195D"/>
    <w:rsid w:val="00616028"/>
    <w:rsid w:val="00617D14"/>
    <w:rsid w:val="00621C51"/>
    <w:rsid w:val="00622365"/>
    <w:rsid w:val="0062335B"/>
    <w:rsid w:val="00654B7C"/>
    <w:rsid w:val="0065704F"/>
    <w:rsid w:val="0067434C"/>
    <w:rsid w:val="00675256"/>
    <w:rsid w:val="006811C2"/>
    <w:rsid w:val="00696DA5"/>
    <w:rsid w:val="006B1B83"/>
    <w:rsid w:val="006B23B0"/>
    <w:rsid w:val="006B53D3"/>
    <w:rsid w:val="006C5FF7"/>
    <w:rsid w:val="006F1508"/>
    <w:rsid w:val="006F64E7"/>
    <w:rsid w:val="00707EBA"/>
    <w:rsid w:val="00714EF7"/>
    <w:rsid w:val="00751CA3"/>
    <w:rsid w:val="0075237A"/>
    <w:rsid w:val="00754517"/>
    <w:rsid w:val="00760736"/>
    <w:rsid w:val="00780650"/>
    <w:rsid w:val="0079144E"/>
    <w:rsid w:val="007E2B62"/>
    <w:rsid w:val="007E3890"/>
    <w:rsid w:val="007F4DC5"/>
    <w:rsid w:val="008042E9"/>
    <w:rsid w:val="00807FA1"/>
    <w:rsid w:val="00810A64"/>
    <w:rsid w:val="00810C44"/>
    <w:rsid w:val="008114AE"/>
    <w:rsid w:val="008147EF"/>
    <w:rsid w:val="00815220"/>
    <w:rsid w:val="00832571"/>
    <w:rsid w:val="00856D95"/>
    <w:rsid w:val="008635B3"/>
    <w:rsid w:val="0086754A"/>
    <w:rsid w:val="008706DC"/>
    <w:rsid w:val="00870B8D"/>
    <w:rsid w:val="00880121"/>
    <w:rsid w:val="008823E1"/>
    <w:rsid w:val="00891E07"/>
    <w:rsid w:val="008C2E29"/>
    <w:rsid w:val="008C7F90"/>
    <w:rsid w:val="008E5708"/>
    <w:rsid w:val="008F23DC"/>
    <w:rsid w:val="00906A69"/>
    <w:rsid w:val="0090737D"/>
    <w:rsid w:val="009363EF"/>
    <w:rsid w:val="00946B92"/>
    <w:rsid w:val="009551A4"/>
    <w:rsid w:val="00956FB2"/>
    <w:rsid w:val="00970020"/>
    <w:rsid w:val="00970621"/>
    <w:rsid w:val="00971754"/>
    <w:rsid w:val="00977401"/>
    <w:rsid w:val="009C1918"/>
    <w:rsid w:val="009C2964"/>
    <w:rsid w:val="009D209D"/>
    <w:rsid w:val="009D3AD5"/>
    <w:rsid w:val="009D7C0C"/>
    <w:rsid w:val="009E40C4"/>
    <w:rsid w:val="009E4227"/>
    <w:rsid w:val="00A0030B"/>
    <w:rsid w:val="00A04CA7"/>
    <w:rsid w:val="00A14FA5"/>
    <w:rsid w:val="00A1530B"/>
    <w:rsid w:val="00A21DB7"/>
    <w:rsid w:val="00A22518"/>
    <w:rsid w:val="00A7147F"/>
    <w:rsid w:val="00A7686F"/>
    <w:rsid w:val="00A84CB4"/>
    <w:rsid w:val="00A90B18"/>
    <w:rsid w:val="00A949F4"/>
    <w:rsid w:val="00AA6479"/>
    <w:rsid w:val="00AA69C5"/>
    <w:rsid w:val="00AC5CEB"/>
    <w:rsid w:val="00AD12EF"/>
    <w:rsid w:val="00AD2FFD"/>
    <w:rsid w:val="00AF5FED"/>
    <w:rsid w:val="00B00346"/>
    <w:rsid w:val="00B2258C"/>
    <w:rsid w:val="00B457E3"/>
    <w:rsid w:val="00B470F5"/>
    <w:rsid w:val="00B51EEF"/>
    <w:rsid w:val="00B67E51"/>
    <w:rsid w:val="00B70283"/>
    <w:rsid w:val="00B75A22"/>
    <w:rsid w:val="00BA4204"/>
    <w:rsid w:val="00BA64CE"/>
    <w:rsid w:val="00BD0735"/>
    <w:rsid w:val="00BE7FCD"/>
    <w:rsid w:val="00BF1AA4"/>
    <w:rsid w:val="00C0616B"/>
    <w:rsid w:val="00C13375"/>
    <w:rsid w:val="00C208EC"/>
    <w:rsid w:val="00C25964"/>
    <w:rsid w:val="00C3014D"/>
    <w:rsid w:val="00C315D7"/>
    <w:rsid w:val="00C40EA9"/>
    <w:rsid w:val="00C65D4D"/>
    <w:rsid w:val="00C758AB"/>
    <w:rsid w:val="00C7619B"/>
    <w:rsid w:val="00C82C6B"/>
    <w:rsid w:val="00C86EDD"/>
    <w:rsid w:val="00CA6D1F"/>
    <w:rsid w:val="00CB6A16"/>
    <w:rsid w:val="00CC4183"/>
    <w:rsid w:val="00CE5892"/>
    <w:rsid w:val="00CE6CC7"/>
    <w:rsid w:val="00D00DE6"/>
    <w:rsid w:val="00D02886"/>
    <w:rsid w:val="00D03077"/>
    <w:rsid w:val="00D10C80"/>
    <w:rsid w:val="00D13399"/>
    <w:rsid w:val="00D24E21"/>
    <w:rsid w:val="00D36053"/>
    <w:rsid w:val="00D424DC"/>
    <w:rsid w:val="00D44912"/>
    <w:rsid w:val="00D618CF"/>
    <w:rsid w:val="00D634F2"/>
    <w:rsid w:val="00D640B8"/>
    <w:rsid w:val="00D6609D"/>
    <w:rsid w:val="00D701EB"/>
    <w:rsid w:val="00D717FB"/>
    <w:rsid w:val="00D722AE"/>
    <w:rsid w:val="00D86CA2"/>
    <w:rsid w:val="00DA04DD"/>
    <w:rsid w:val="00DA09FA"/>
    <w:rsid w:val="00DA1594"/>
    <w:rsid w:val="00DB4B8B"/>
    <w:rsid w:val="00DB6FEB"/>
    <w:rsid w:val="00DF70AD"/>
    <w:rsid w:val="00E000E1"/>
    <w:rsid w:val="00E17475"/>
    <w:rsid w:val="00E26412"/>
    <w:rsid w:val="00E3175D"/>
    <w:rsid w:val="00E32A28"/>
    <w:rsid w:val="00E413BE"/>
    <w:rsid w:val="00E4428E"/>
    <w:rsid w:val="00E4552A"/>
    <w:rsid w:val="00E660E7"/>
    <w:rsid w:val="00E676CD"/>
    <w:rsid w:val="00E915B0"/>
    <w:rsid w:val="00E93FB1"/>
    <w:rsid w:val="00E96144"/>
    <w:rsid w:val="00EA5730"/>
    <w:rsid w:val="00EB3494"/>
    <w:rsid w:val="00EB3B6C"/>
    <w:rsid w:val="00ED008D"/>
    <w:rsid w:val="00F30962"/>
    <w:rsid w:val="00F34584"/>
    <w:rsid w:val="00F3671B"/>
    <w:rsid w:val="00F43B85"/>
    <w:rsid w:val="00F51365"/>
    <w:rsid w:val="00F527BD"/>
    <w:rsid w:val="00F55F21"/>
    <w:rsid w:val="00F65FD1"/>
    <w:rsid w:val="00F67CAD"/>
    <w:rsid w:val="00F71AA3"/>
    <w:rsid w:val="00F9064C"/>
    <w:rsid w:val="00F91AB6"/>
    <w:rsid w:val="00F92367"/>
    <w:rsid w:val="00FA1202"/>
    <w:rsid w:val="00FA57CF"/>
    <w:rsid w:val="00FB7320"/>
    <w:rsid w:val="00FD6957"/>
    <w:rsid w:val="00FD6FAC"/>
    <w:rsid w:val="00FE3783"/>
    <w:rsid w:val="00FE4D5D"/>
    <w:rsid w:val="00FE607E"/>
    <w:rsid w:val="00F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C736B"/>
  <w15:docId w15:val="{73E37D9C-66C8-4F22-9098-81BB4903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C65D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629F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0E7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7022"/>
  </w:style>
  <w:style w:type="paragraph" w:styleId="Rodap">
    <w:name w:val="footer"/>
    <w:basedOn w:val="Normal"/>
    <w:link w:val="RodapChar"/>
    <w:uiPriority w:val="99"/>
    <w:unhideWhenUsed/>
    <w:rsid w:val="000E7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7022"/>
  </w:style>
  <w:style w:type="character" w:styleId="TextodoEspaoReservado">
    <w:name w:val="Placeholder Text"/>
    <w:basedOn w:val="Fontepargpadro"/>
    <w:uiPriority w:val="99"/>
    <w:semiHidden/>
    <w:rsid w:val="009551A4"/>
    <w:rPr>
      <w:color w:val="666666"/>
    </w:rPr>
  </w:style>
  <w:style w:type="character" w:styleId="CdigoHTML">
    <w:name w:val="HTML Code"/>
    <w:basedOn w:val="Fontepargpadro"/>
    <w:uiPriority w:val="99"/>
    <w:semiHidden/>
    <w:unhideWhenUsed/>
    <w:rsid w:val="0043172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43172D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C191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C191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C191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9C191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191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27F29"/>
    <w:rPr>
      <w:color w:val="800080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D0288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288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288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288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2886"/>
    <w:rPr>
      <w:b/>
      <w:bCs/>
      <w:sz w:val="20"/>
      <w:szCs w:val="20"/>
    </w:rPr>
  </w:style>
  <w:style w:type="character" w:styleId="nfase">
    <w:name w:val="Emphasis"/>
    <w:basedOn w:val="Fontepargpadro"/>
    <w:uiPriority w:val="20"/>
    <w:qFormat/>
    <w:rsid w:val="00F67CAD"/>
    <w:rPr>
      <w:i/>
      <w:iCs/>
    </w:rPr>
  </w:style>
  <w:style w:type="character" w:styleId="RefernciaSutil">
    <w:name w:val="Subtle Reference"/>
    <w:basedOn w:val="Fontepargpadro"/>
    <w:uiPriority w:val="31"/>
    <w:qFormat/>
    <w:rsid w:val="00AA69C5"/>
    <w:rPr>
      <w:smallCaps/>
      <w:color w:val="5A5A5A" w:themeColor="text1" w:themeTint="A5"/>
    </w:rPr>
  </w:style>
  <w:style w:type="paragraph" w:styleId="Citao">
    <w:name w:val="Quote"/>
    <w:basedOn w:val="Normal"/>
    <w:next w:val="Normal"/>
    <w:link w:val="CitaoChar"/>
    <w:uiPriority w:val="29"/>
    <w:qFormat/>
    <w:rsid w:val="00AA69C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9C5"/>
    <w:rPr>
      <w:i/>
      <w:iCs/>
      <w:color w:val="404040" w:themeColor="text1" w:themeTint="BF"/>
    </w:rPr>
  </w:style>
  <w:style w:type="character" w:styleId="nfaseSutil">
    <w:name w:val="Subtle Emphasis"/>
    <w:basedOn w:val="Fontepargpadro"/>
    <w:uiPriority w:val="19"/>
    <w:qFormat/>
    <w:rsid w:val="00AA69C5"/>
    <w:rPr>
      <w:i/>
      <w:iC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AA69C5"/>
    <w:rPr>
      <w:b/>
      <w:bCs/>
      <w:smallCaps/>
      <w:color w:val="4F81BD" w:themeColor="accent1"/>
      <w:spacing w:val="5"/>
    </w:rPr>
  </w:style>
  <w:style w:type="paragraph" w:styleId="Reviso">
    <w:name w:val="Revision"/>
    <w:hidden/>
    <w:uiPriority w:val="99"/>
    <w:semiHidden/>
    <w:rsid w:val="00176A24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adosabertos.bcb.gov.br/dataset/21112-inadimplencia-da-carteira-de-credito-com-recursos-livres---pessoas-fisicas---tota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dadosabertos.bcb.gov.br/dataset/29034-comprometimento-de-renda-das-familias-com-o-servico-da-divida-com-o-sistema-financeiro-nacion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77944D-F58D-E947-8F84-1DA1AEB54CED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e48a3515-3a24-42ce-bf44-0b6c59c934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wR7CQfo9GS7RiKuKC70px1QdA==">CgMxLjA4AHIhMTljUkxBVnF2dlRJXy1ldmd2SF8xRTBCdGpJMnp2a2xO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F494B7-E8A5-41DC-8885-BC6FBB10C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Lauro Emilio Gonzalez Farias</cp:lastModifiedBy>
  <cp:revision>2</cp:revision>
  <cp:lastPrinted>2026-04-22T05:47:00Z</cp:lastPrinted>
  <dcterms:created xsi:type="dcterms:W3CDTF">2026-04-22T19:56:00Z</dcterms:created>
  <dcterms:modified xsi:type="dcterms:W3CDTF">2026-04-22T19:56:00Z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0x010100E5B06553897F5045A936C86E9890C0B4</vt:lpwstr>
  </property>
  <property fmtid="{D5CDD505-2E9C-101B-9397-08002B2CF9AE}" pid="3" name="MSIP_Label_84f7750d-9cdf-4ba7-80aa-2c6ffdc35229_Enabled">
    <vt:lpwstr>true</vt:lpwstr>
  </property>
  <property fmtid="{D5CDD505-2E9C-101B-9397-08002B2CF9AE}" pid="4" name="MSIP_Label_84f7750d-9cdf-4ba7-80aa-2c6ffdc35229_SetDate">
    <vt:lpwstr>2026-02-18T12:45:29Z</vt:lpwstr>
  </property>
  <property fmtid="{D5CDD505-2E9C-101B-9397-08002B2CF9AE}" pid="5" name="MSIP_Label_84f7750d-9cdf-4ba7-80aa-2c6ffdc35229_Method">
    <vt:lpwstr>Standard</vt:lpwstr>
  </property>
  <property fmtid="{D5CDD505-2E9C-101B-9397-08002B2CF9AE}" pid="6" name="MSIP_Label_84f7750d-9cdf-4ba7-80aa-2c6ffdc35229_Name">
    <vt:lpwstr>Nível - 1</vt:lpwstr>
  </property>
  <property fmtid="{D5CDD505-2E9C-101B-9397-08002B2CF9AE}" pid="7" name="MSIP_Label_84f7750d-9cdf-4ba7-80aa-2c6ffdc35229_SiteId">
    <vt:lpwstr>79f6b639-ab12-4280-8077-bdbeef869b33</vt:lpwstr>
  </property>
  <property fmtid="{D5CDD505-2E9C-101B-9397-08002B2CF9AE}" pid="8" name="MSIP_Label_84f7750d-9cdf-4ba7-80aa-2c6ffdc35229_ActionId">
    <vt:lpwstr>914ec769-d742-4668-977e-4be103298bab</vt:lpwstr>
  </property>
  <property fmtid="{D5CDD505-2E9C-101B-9397-08002B2CF9AE}" pid="9" name="MSIP_Label_84f7750d-9cdf-4ba7-80aa-2c6ffdc35229_ContentBits">
    <vt:lpwstr>0</vt:lpwstr>
  </property>
  <property fmtid="{D5CDD505-2E9C-101B-9397-08002B2CF9AE}" pid="10" name="MSIP_Label_84f7750d-9cdf-4ba7-80aa-2c6ffdc35229_Tag">
    <vt:lpwstr>10, 3, 0, 1</vt:lpwstr>
  </property>
</Properties>
</file>