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020"/>
        <w:jc w:val="right"/>
      </w:pPr>
      <w:r>
        <w:drawing>
          <wp:inline xmlns:a="http://schemas.openxmlformats.org/drawingml/2006/main" xmlns:pic="http://schemas.openxmlformats.org/drawingml/2006/picture">
            <wp:extent cx="2844000" cy="723927"/>
            <wp:docPr id="1" name="Picture 1" descr="Logotipo FGV EAESP e FGVcem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72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 w:after="170"/>
        <w:jc w:val="center"/>
      </w:pPr>
      <w:r>
        <w:rPr>
          <w:rFonts w:ascii="Palatino" w:hAnsi="Palatino"/>
          <w:b/>
          <w:sz w:val="34"/>
        </w:rPr>
        <w:t>Índice de Desconforto de Crédito</w:t>
      </w:r>
    </w:p>
    <w:p>
      <w:pPr>
        <w:spacing w:after="680"/>
        <w:jc w:val="center"/>
      </w:pPr>
      <w:r>
        <w:rPr>
          <w:rFonts w:ascii="Palatino" w:hAnsi="Palatino"/>
          <w:b w:val="0"/>
          <w:i/>
          <w:sz w:val="24"/>
        </w:rPr>
        <w:t>Nota Técnica de Atualização — Divulgação setembro de 2026; competência julho de 2026</w:t>
      </w:r>
    </w:p>
    <w:p>
      <w:pPr>
        <w:spacing w:line="276" w:lineRule="auto"/>
        <w:jc w:val="right"/>
      </w:pPr>
      <w:r>
        <w:rPr>
          <w:rFonts w:ascii="Palatino" w:hAnsi="Palatino"/>
          <w:sz w:val="24"/>
        </w:rPr>
        <w:t>Lauro Gonzalez</w:t>
      </w:r>
      <w:r>
        <w:br/>
      </w:r>
      <w:r>
        <w:rPr>
          <w:rFonts w:ascii="Palatino" w:hAnsi="Palatino"/>
          <w:sz w:val="24"/>
        </w:rPr>
        <w:t>Matheus L. Carrijo</w:t>
      </w:r>
      <w:r>
        <w:br/>
      </w:r>
      <w:r>
        <w:rPr>
          <w:rFonts w:ascii="Palatino" w:hAnsi="Palatino"/>
          <w:sz w:val="24"/>
        </w:rPr>
        <w:t>Rafael Schiozer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701" w:bottom="1417" w:left="1701" w:header="567" w:footer="567" w:gutter="0"/>
          <w:cols w:space="720"/>
          <w:docGrid w:linePitch="360"/>
        </w:sectPr>
      </w:pP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Resumo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>Com a publicação, em setembro de 2026, das Estatísticas Monetárias e de Crédito do Banco Central do Brasil (competência 202609), o Índice de Desconforto de Crédito (IDC) foi recalculado e estendido até julho de 2026 — último mês para o qual há observação disponível da série de comprometimento de renda das famílias (SGS 29034), que delimita o horizonte de cálculo do índice.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Em </w:t>
      </w:r>
      <w:r>
        <w:rPr>
          <w:rFonts w:ascii="Palatino" w:hAnsi="Palatino"/>
          <w:b/>
          <w:i w:val="0"/>
        </w:rPr>
        <w:t>jul-2026</w:t>
      </w:r>
      <w:r>
        <w:rPr>
          <w:rFonts w:ascii="Palatino" w:hAnsi="Palatino"/>
          <w:b w:val="0"/>
          <w:i w:val="0"/>
        </w:rPr>
        <w:t xml:space="preserve">, o IDC foi de </w:t>
      </w:r>
      <w:r>
        <w:rPr>
          <w:rFonts w:ascii="Palatino" w:hAnsi="Palatino"/>
          <w:b/>
          <w:i w:val="0"/>
        </w:rPr>
        <w:t>0,963</w:t>
      </w:r>
      <w:r>
        <w:rPr>
          <w:rFonts w:ascii="Palatino" w:hAnsi="Palatino"/>
          <w:b w:val="0"/>
          <w:i w:val="0"/>
        </w:rPr>
        <w:t xml:space="preserve">, com alta de </w:t>
      </w:r>
      <w:r>
        <w:rPr>
          <w:rFonts w:ascii="Palatino" w:hAnsi="Palatino"/>
          <w:b/>
          <w:i w:val="0"/>
        </w:rPr>
        <w:t>0,013 ponto</w:t>
      </w:r>
      <w:r>
        <w:rPr>
          <w:rFonts w:ascii="Palatino" w:hAnsi="Palatino"/>
          <w:b w:val="0"/>
          <w:i w:val="0"/>
        </w:rPr>
        <w:t xml:space="preserve"> em relação aos </w:t>
      </w:r>
      <w:r>
        <w:rPr>
          <w:rFonts w:ascii="Palatino" w:hAnsi="Palatino"/>
          <w:b/>
          <w:i w:val="0"/>
        </w:rPr>
        <w:t>0,950</w:t>
      </w:r>
      <w:r>
        <w:rPr>
          <w:rFonts w:ascii="Palatino" w:hAnsi="Palatino"/>
          <w:b w:val="0"/>
          <w:i w:val="0"/>
        </w:rPr>
        <w:t xml:space="preserve"> de </w:t>
      </w:r>
      <w:r>
        <w:rPr>
          <w:rFonts w:ascii="Palatino" w:hAnsi="Palatino"/>
          <w:b/>
          <w:i w:val="0"/>
        </w:rPr>
        <w:t>jun-2026</w:t>
      </w:r>
      <w:r>
        <w:rPr>
          <w:rFonts w:ascii="Palatino" w:hAnsi="Palatino"/>
          <w:b w:val="0"/>
          <w:i w:val="0"/>
        </w:rPr>
        <w:t xml:space="preserve">, ambos calculados com a safra </w:t>
      </w:r>
      <w:r>
        <w:rPr>
          <w:rFonts w:ascii="Palatino" w:hAnsi="Palatino"/>
          <w:b/>
          <w:i w:val="0"/>
        </w:rPr>
        <w:t>202609</w:t>
      </w:r>
      <w:r>
        <w:rPr>
          <w:rFonts w:ascii="Palatino" w:hAnsi="Palatino"/>
          <w:b w:val="0"/>
          <w:i w:val="0"/>
        </w:rPr>
        <w:t xml:space="preserve">. O resultado foi o sétimo maior entre as </w:t>
      </w:r>
      <w:r>
        <w:rPr>
          <w:rFonts w:ascii="Palatino" w:hAnsi="Palatino"/>
          <w:b/>
          <w:i w:val="0"/>
        </w:rPr>
        <w:t>151</w:t>
      </w:r>
      <w:r>
        <w:rPr>
          <w:rFonts w:ascii="Palatino" w:hAnsi="Palatino"/>
          <w:b w:val="0"/>
          <w:i w:val="0"/>
        </w:rPr>
        <w:t xml:space="preserve"> observações válidas desde </w:t>
      </w:r>
      <w:r>
        <w:rPr>
          <w:rFonts w:ascii="Palatino" w:hAnsi="Palatino"/>
          <w:b/>
          <w:i w:val="0"/>
        </w:rPr>
        <w:t>jan-2014</w:t>
      </w:r>
      <w:r>
        <w:rPr>
          <w:rFonts w:ascii="Palatino" w:hAnsi="Palatino"/>
          <w:b w:val="0"/>
          <w:i w:val="0"/>
        </w:rPr>
        <w:t xml:space="preserve">. Na escala normalizada, em que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 representa o pior e </w:t>
      </w:r>
      <w:r>
        <w:rPr>
          <w:rFonts w:ascii="Palatino" w:hAnsi="Palatino"/>
          <w:b/>
          <w:i w:val="0"/>
        </w:rPr>
        <w:t>0,000</w:t>
      </w:r>
      <w:r>
        <w:rPr>
          <w:rFonts w:ascii="Palatino" w:hAnsi="Palatino"/>
          <w:b w:val="0"/>
          <w:i w:val="0"/>
        </w:rPr>
        <w:t xml:space="preserve"> o melhor resultado histórico observado, C e I marcaram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, enquanto Q ficou em </w:t>
      </w:r>
      <w:r>
        <w:rPr>
          <w:rFonts w:ascii="Palatino" w:hAnsi="Palatino"/>
          <w:b/>
          <w:i w:val="0"/>
        </w:rPr>
        <w:t>0,888</w:t>
      </w:r>
      <w:r>
        <w:rPr>
          <w:rFonts w:ascii="Palatino" w:hAnsi="Palatino"/>
          <w:b w:val="0"/>
          <w:i w:val="0"/>
        </w:rPr>
        <w:t>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Resultados de julho de 2026</w:t>
      </w:r>
    </w:p>
    <w:p>
      <w:pPr>
        <w:pStyle w:val="IDCCaption"/>
        <w:jc w:val="center"/>
      </w:pPr>
      <w:r>
        <w:rPr>
          <w:rFonts w:ascii="Palatino" w:hAnsi="Palatino"/>
          <w:b/>
          <w:sz w:val="21"/>
        </w:rPr>
        <w:t xml:space="preserve">Tabela 1. </w:t>
      </w:r>
      <w:r>
        <w:rPr>
          <w:rFonts w:ascii="Palatino" w:hAnsi="Palatino"/>
          <w:b w:val="0"/>
          <w:i/>
        </w:rPr>
        <w:t>Componentes brutos e valores normalizados do IDC — jul-2026.</w:t>
      </w:r>
    </w:p>
    <w:tbl>
      <w:tblPr>
        <w:tblW w:type="dxa" w:w="8504"/>
        <w:tblLayout w:type="fixed"/>
        <w:tblLook w:firstColumn="1" w:firstRow="1" w:lastColumn="0" w:lastRow="0" w:noHBand="0" w:noVBand="1" w:val="04A0"/>
        <w:tblInd w:w="80" w:type="dxa"/>
      </w:tblPr>
      <w:tblGrid>
        <w:gridCol w:w="4535"/>
        <w:gridCol w:w="1700"/>
        <w:gridCol w:w="2269"/>
      </w:tblGrid>
      <w:tr>
        <w:trPr>
          <w:cantSplit/>
          <w:tblHeader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Indicador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Valor bruto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single" w:sz="8" w:color="000000"/>
              <w:start w:val="nil"/>
              <w:bottom w:val="single" w:sz="4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Valor normalizado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IDC (média dos componentes normalizados)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/>
                <w:i w:val="0"/>
                <w:sz w:val="21"/>
              </w:rPr>
              <w:t>0,963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C — Comprometimento de renda das famílias com a dívida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28,7%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1,000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I — Inadimplência da carteira de crédito livre PF (90</w:t>
            </w:r>
            <w:r>
              <w:rPr>
                <w:rFonts w:ascii="Arial" w:hAnsi="Arial"/>
                <w:b w:val="0"/>
                <w:i w:val="0"/>
                <w:sz w:val="21"/>
              </w:rPr>
              <w:t>+</w:t>
            </w:r>
            <w:r>
              <w:rPr>
                <w:rFonts w:ascii="Palatino" w:hAnsi="Palatino"/>
                <w:b w:val="0"/>
                <w:i w:val="0"/>
                <w:sz w:val="21"/>
              </w:rPr>
              <w:t xml:space="preserve"> dias)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7,8%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1,000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Palatino" w:hAnsi="Palatino"/>
                <w:b w:val="0"/>
                <w:i w:val="0"/>
                <w:sz w:val="21"/>
              </w:rPr>
              <w:t>Q — Participação das modalidades onerosas no crédito livre PF</w:t>
            </w:r>
          </w:p>
        </w:tc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24,4%</w:t>
            </w:r>
          </w:p>
        </w:tc>
        <w:tc>
          <w:tcPr>
            <w:tcW w:type="dxa" w:w="22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  <w:start w:val="nil"/>
              <w:bottom w:val="single" w:sz="8" w:color="000000"/>
              <w:end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Palatino" w:hAnsi="Palatino"/>
                <w:b w:val="0"/>
                <w:i w:val="0"/>
                <w:sz w:val="21"/>
              </w:rPr>
              <w:t>0,888</w:t>
            </w:r>
          </w:p>
        </w:tc>
      </w:tr>
    </w:tbl>
    <w:p>
      <w:pPr>
        <w:pStyle w:val="IDCSource"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Banco Central do Brasil (Estatísticas Monetárias e de Crédito,</w:t>
        <w:br/>
        <w:t>divulgação 202609), elaboração própria.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Em relação à observação imediatamente anterior — </w:t>
      </w:r>
      <w:r>
        <w:rPr>
          <w:rFonts w:ascii="Palatino" w:hAnsi="Palatino"/>
          <w:b/>
          <w:i w:val="0"/>
        </w:rPr>
        <w:t>jun-2026</w:t>
      </w:r>
      <w:r>
        <w:rPr>
          <w:rFonts w:ascii="Palatino" w:hAnsi="Palatino"/>
          <w:b w:val="0"/>
          <w:i w:val="0"/>
        </w:rPr>
        <w:t xml:space="preserve">, quando o IDC marcava </w:t>
      </w:r>
      <w:r>
        <w:rPr>
          <w:rFonts w:ascii="Palatino" w:hAnsi="Palatino"/>
          <w:b/>
          <w:i w:val="0"/>
        </w:rPr>
        <w:t>0,950</w:t>
      </w:r>
      <w:r>
        <w:rPr>
          <w:rFonts w:ascii="Palatino" w:hAnsi="Palatino"/>
          <w:b w:val="0"/>
          <w:i w:val="0"/>
        </w:rPr>
        <w:t xml:space="preserve"> — o índice subiu </w:t>
      </w:r>
      <w:r>
        <w:rPr>
          <w:rFonts w:ascii="Palatino" w:hAnsi="Palatino"/>
          <w:b/>
          <w:i w:val="0"/>
        </w:rPr>
        <w:t>0,013 ponto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jul-2026</w:t>
      </w:r>
      <w:r>
        <w:rPr>
          <w:rFonts w:ascii="Palatino" w:hAnsi="Palatino"/>
          <w:b w:val="0"/>
          <w:i w:val="0"/>
        </w:rPr>
        <w:t>. O movimento concentrou-se em I: sua alta superou a redução de Q, enquanto C permaneceu estável.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Comprometimento de renda (C) permaneceu em </w:t>
      </w:r>
      <w:r>
        <w:rPr>
          <w:rFonts w:ascii="Palatino" w:hAnsi="Palatino"/>
          <w:b/>
          <w:i w:val="0"/>
        </w:rPr>
        <w:t>28,7%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Palatino" w:hAnsi="Palatino"/>
          <w:b/>
          <w:i w:val="0"/>
        </w:rPr>
        <w:t>0,0 p.p.</w:t>
      </w:r>
      <w:r>
        <w:rPr>
          <w:rFonts w:ascii="Palatino" w:hAnsi="Palatino"/>
          <w:b w:val="0"/>
          <w:i w:val="0"/>
        </w:rPr>
        <w:t xml:space="preserve">). O componente normalizado ficou em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>, correspondente ao pior posicionamento histórico observado. A estabilidade manteve o peso do serviço da dívida sobre a renda no máximo da amostra.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Inadimplência (I) avançou de </w:t>
      </w:r>
      <w:r>
        <w:rPr>
          <w:rFonts w:ascii="Palatino" w:hAnsi="Palatino"/>
          <w:b/>
          <w:i w:val="0"/>
        </w:rPr>
        <w:t>7,4%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7,8%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Arial" w:hAnsi="Arial"/>
          <w:b/>
          <w:i w:val="0"/>
        </w:rPr>
        <w:t>+</w:t>
      </w:r>
      <w:r>
        <w:rPr>
          <w:rFonts w:ascii="Palatino" w:hAnsi="Palatino"/>
          <w:b/>
          <w:i w:val="0"/>
        </w:rPr>
        <w:t>0,4 p.p.</w:t>
      </w:r>
      <w:r>
        <w:rPr>
          <w:rFonts w:ascii="Palatino" w:hAnsi="Palatino"/>
          <w:b w:val="0"/>
          <w:i w:val="0"/>
        </w:rPr>
        <w:t xml:space="preserve">), e seu valor normalizado passou de </w:t>
      </w:r>
      <w:r>
        <w:rPr>
          <w:rFonts w:ascii="Palatino" w:hAnsi="Palatino"/>
          <w:b/>
          <w:i w:val="0"/>
        </w:rPr>
        <w:t>0,943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>. A taxa bruta atingiu o maior nível no horizonte calculável do IDC e respondeu pela alta mensal do índice.</w:t>
      </w:r>
    </w:p>
    <w:p>
      <w:pPr>
        <w:numPr>
          <w:ilvl w:val="0"/>
          <w:numId w:val="11"/>
        </w:numPr>
        <w:widowControl/>
        <w:spacing w:line="300" w:lineRule="exact" w:before="60" w:after="0"/>
        <w:ind w:left="454" w:firstLine="0"/>
        <w:jc w:val="both"/>
      </w:pPr>
      <w:r>
        <w:rPr>
          <w:rFonts w:ascii="Palatino" w:hAnsi="Palatino"/>
          <w:b w:val="0"/>
          <w:i w:val="0"/>
        </w:rPr>
        <w:t xml:space="preserve">Qualidade do crédito (Q) caiu de </w:t>
      </w:r>
      <w:r>
        <w:rPr>
          <w:rFonts w:ascii="Palatino" w:hAnsi="Palatino"/>
          <w:b/>
          <w:i w:val="0"/>
        </w:rPr>
        <w:t>24,5%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24,4%</w:t>
      </w:r>
      <w:r>
        <w:rPr>
          <w:rFonts w:ascii="Palatino" w:hAnsi="Palatino"/>
          <w:b w:val="0"/>
          <w:i w:val="0"/>
        </w:rPr>
        <w:t xml:space="preserve"> (</w:t>
      </w:r>
      <w:r>
        <w:rPr>
          <w:rFonts w:ascii="Palatino" w:hAnsi="Palatino"/>
          <w:b/>
          <w:i w:val="0"/>
        </w:rPr>
        <w:t>-0,1 p.p.</w:t>
      </w:r>
      <w:r>
        <w:rPr>
          <w:rFonts w:ascii="Palatino" w:hAnsi="Palatino"/>
          <w:b w:val="0"/>
          <w:i w:val="0"/>
        </w:rPr>
        <w:t xml:space="preserve">, com base nos valores não arredondados), e seu valor normalizado recuou de </w:t>
      </w:r>
      <w:r>
        <w:rPr>
          <w:rFonts w:ascii="Palatino" w:hAnsi="Palatino"/>
          <w:b/>
          <w:i w:val="0"/>
        </w:rPr>
        <w:t>0,907</w:t>
      </w:r>
      <w:r>
        <w:rPr>
          <w:rFonts w:ascii="Palatino" w:hAnsi="Palatino"/>
          <w:b w:val="0"/>
          <w:i w:val="0"/>
        </w:rPr>
        <w:t xml:space="preserve"> para </w:t>
      </w:r>
      <w:r>
        <w:rPr>
          <w:rFonts w:ascii="Palatino" w:hAnsi="Palatino"/>
          <w:b/>
          <w:i w:val="0"/>
        </w:rPr>
        <w:t>0,888</w:t>
      </w:r>
      <w:r>
        <w:rPr>
          <w:rFonts w:ascii="Palatino" w:hAnsi="Palatino"/>
          <w:b w:val="0"/>
          <w:i w:val="0"/>
        </w:rPr>
        <w:t>. A menor participação das modalidades onerosas no crédito livre PF compensou parcialmente a piora de I.</w:t>
      </w:r>
    </w:p>
    <w:p>
      <w:pPr>
        <w:widowControl/>
        <w:spacing w:line="30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Em conjunto, os dados indicam aumento do desconforto agregado em </w:t>
      </w:r>
      <w:r>
        <w:rPr>
          <w:rFonts w:ascii="Palatino" w:hAnsi="Palatino"/>
          <w:b/>
          <w:i w:val="0"/>
        </w:rPr>
        <w:t>jul-2026</w:t>
      </w:r>
      <w:r>
        <w:rPr>
          <w:rFonts w:ascii="Palatino" w:hAnsi="Palatino"/>
          <w:b w:val="0"/>
          <w:i w:val="0"/>
        </w:rPr>
        <w:t>, determinado pela inadimplência, com C ainda no máximo histórico e alívio parcial em Q. O IDC permaneceu entre os níveis mais altos da série, mas mede posição relativa no histórico, e não uma medida absoluta de endividamento.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Trajetória do índice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A Figura </w:t>
      </w:r>
      <w:r>
        <w:rPr>
          <w:rFonts w:ascii="Palatino" w:hAnsi="Palatino"/>
          <w:b w:val="0"/>
          <w:i w:val="0"/>
        </w:rPr>
        <w:t>1</w:t>
      </w:r>
      <w:r>
        <w:rPr>
          <w:rFonts w:ascii="Palatino" w:hAnsi="Palatino"/>
          <w:b w:val="0"/>
          <w:i w:val="0"/>
        </w:rPr>
        <w:t xml:space="preserve"> mostra que, após atingir </w:t>
      </w:r>
      <w:r>
        <w:rPr>
          <w:rFonts w:ascii="Palatino" w:hAnsi="Palatino"/>
          <w:b/>
          <w:i w:val="0"/>
        </w:rPr>
        <w:t>1,000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fev-2026</w:t>
      </w:r>
      <w:r>
        <w:rPr>
          <w:rFonts w:ascii="Palatino" w:hAnsi="Palatino"/>
          <w:b w:val="0"/>
          <w:i w:val="0"/>
        </w:rPr>
        <w:t xml:space="preserve">, o IDC passou a </w:t>
      </w:r>
      <w:r>
        <w:rPr>
          <w:rFonts w:ascii="Palatino" w:hAnsi="Palatino"/>
          <w:b/>
          <w:i w:val="0"/>
        </w:rPr>
        <w:t>0,960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mar-2026</w:t>
      </w:r>
      <w:r>
        <w:rPr>
          <w:rFonts w:ascii="Palatino" w:hAnsi="Palatino"/>
          <w:b w:val="0"/>
          <w:i w:val="0"/>
        </w:rPr>
        <w:t xml:space="preserve">, </w:t>
      </w:r>
      <w:r>
        <w:rPr>
          <w:rFonts w:ascii="Palatino" w:hAnsi="Palatino"/>
          <w:b/>
          <w:i w:val="0"/>
        </w:rPr>
        <w:t>0,990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abr-2026</w:t>
      </w:r>
      <w:r>
        <w:rPr>
          <w:rFonts w:ascii="Palatino" w:hAnsi="Palatino"/>
          <w:b w:val="0"/>
          <w:i w:val="0"/>
        </w:rPr>
        <w:t xml:space="preserve">, </w:t>
      </w:r>
      <w:r>
        <w:rPr>
          <w:rFonts w:ascii="Palatino" w:hAnsi="Palatino"/>
          <w:b/>
          <w:i w:val="0"/>
        </w:rPr>
        <w:t>0,983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mai-2026</w:t>
      </w:r>
      <w:r>
        <w:rPr>
          <w:rFonts w:ascii="Palatino" w:hAnsi="Palatino"/>
          <w:b w:val="0"/>
          <w:i w:val="0"/>
        </w:rPr>
        <w:t xml:space="preserve">, </w:t>
      </w:r>
      <w:r>
        <w:rPr>
          <w:rFonts w:ascii="Palatino" w:hAnsi="Palatino"/>
          <w:b/>
          <w:i w:val="0"/>
        </w:rPr>
        <w:t>0,950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jun-2026</w:t>
      </w:r>
      <w:r>
        <w:rPr>
          <w:rFonts w:ascii="Palatino" w:hAnsi="Palatino"/>
          <w:b w:val="0"/>
          <w:i w:val="0"/>
        </w:rPr>
        <w:t xml:space="preserve"> e </w:t>
      </w:r>
      <w:r>
        <w:rPr>
          <w:rFonts w:ascii="Palatino" w:hAnsi="Palatino"/>
          <w:b/>
          <w:i w:val="0"/>
        </w:rPr>
        <w:t>0,963</w:t>
      </w:r>
      <w:r>
        <w:rPr>
          <w:rFonts w:ascii="Palatino" w:hAnsi="Palatino"/>
          <w:b w:val="0"/>
          <w:i w:val="0"/>
        </w:rPr>
        <w:t xml:space="preserve"> em </w:t>
      </w:r>
      <w:r>
        <w:rPr>
          <w:rFonts w:ascii="Palatino" w:hAnsi="Palatino"/>
          <w:b/>
          <w:i w:val="0"/>
        </w:rPr>
        <w:t>jul-2026</w:t>
      </w:r>
      <w:r>
        <w:rPr>
          <w:rFonts w:ascii="Palatino" w:hAnsi="Palatino"/>
          <w:b w:val="0"/>
          <w:i w:val="0"/>
        </w:rPr>
        <w:t xml:space="preserve">. A Figura </w:t>
      </w:r>
      <w:r>
        <w:rPr>
          <w:rFonts w:ascii="Palatino" w:hAnsi="Palatino"/>
          <w:b w:val="0"/>
          <w:i w:val="0"/>
        </w:rPr>
        <w:t>2</w:t>
      </w:r>
      <w:r>
        <w:rPr>
          <w:rFonts w:ascii="Palatino" w:hAnsi="Palatino"/>
          <w:b w:val="0"/>
          <w:i w:val="0"/>
        </w:rPr>
        <w:t xml:space="preserve"> evidencia que a alta mais recente refletiu o avanço de I para seu máximo no horizonte calculável do IDC; C permaneceu no máximo da amostra, enquanto Q recuou.</w:t>
      </w:r>
    </w:p>
    <w:p>
      <w:pPr>
        <w:numPr>
          <w:ilvl w:val="0"/>
          <w:numId w:val="10"/>
        </w:numPr>
        <w:pStyle w:val="Heading1"/>
      </w:pPr>
      <w:r>
        <w:rPr>
          <w:rFonts w:ascii="Palatino" w:hAnsi="Palatino"/>
          <w:b w:val="0"/>
          <w:i w:val="0"/>
        </w:rPr>
        <w:t>Próxima atualização</w:t>
      </w:r>
    </w:p>
    <w:p>
      <w:pPr>
        <w:widowControl/>
        <w:spacing w:line="30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>A próxima atualização é esperada para outubro de 2026; o IDC será estendido para ago-2026 caso a série de comprometimento de renda (SGS 29034) avance até lá.</w:t>
      </w:r>
    </w:p>
    <w:p>
      <w:pPr>
        <w:pStyle w:val="Heading1"/>
        <w:spacing w:before="240" w:after="80"/>
      </w:pPr>
      <w:r>
        <w:rPr>
          <w:rFonts w:ascii="Palatino" w:hAnsi="Palatino"/>
          <w:b w:val="0"/>
          <w:i w:val="0"/>
        </w:rPr>
        <w:t>Notas</w:t>
      </w:r>
    </w:p>
    <w:p>
      <w:pPr>
        <w:pStyle w:val="IDCNotes"/>
        <w:widowControl/>
        <w:spacing w:line="260" w:lineRule="exact" w:before="0" w:after="0"/>
        <w:ind w:firstLine="0"/>
        <w:jc w:val="both"/>
      </w:pPr>
      <w:r>
        <w:rPr>
          <w:rFonts w:ascii="Palatino" w:hAnsi="Palatino"/>
          <w:b w:val="0"/>
          <w:i w:val="0"/>
        </w:rPr>
        <w:t xml:space="preserve">Sobre o IDC. O Índice de Desconforto de Crédito (IDC) é construído a partir de três séries do Sistema Gerenciador de Séries Temporais (SGS) do Banco Central do Brasil: comprometimento de renda das famílias com o serviço da dívida (SGS 29034), inadimplência da carteira de crédito livre PF — atrasos superiores a 90 dias (SGS 21112) — e participação das modalidades onerosas (cheque especial, SGS 20573; crédito pessoal não consignado, SGS 20574; cartão de crédito rotativo, SGS 20587; cartão de crédito parcelado, SGS 20588) no total do crédito livre para pessoa física (SGS 20570). Cada componente é normalizado pelo método min-max com janela expansiva, a partir de mar-2011; o índice é exibido a partir de jan-2014, após o período de aquecimento da janela, e corresponde à média simples dos três componentes normalizados, contido no intervalo [0, 1]. Por construção, o IDC mede a posição relativa do mês corrente em relação ao histórico observado pelo índice. O relatório de divulgação está disponível em </w:t>
      </w:r>
      <w:hyperlink r:id="rId16">
        <w:r>
          <w:rPr>
            <w:color w:val="555555"/>
            <w:u w:val="single"/>
            <w:rFonts w:ascii="Palatino" w:hAnsi="Palatino"/>
          </w:rPr>
          <w:t>https://eaesp.fgv.br/producao-intelectual/indice-desconforto-credito-idc</w:t>
        </w:r>
      </w:hyperlink>
      <w:r>
        <w:rPr>
          <w:rFonts w:ascii="Palatino" w:hAnsi="Palatino"/>
          <w:b w:val="0"/>
          <w:i w:val="0"/>
        </w:rPr>
        <w:t>.</w:t>
      </w:r>
    </w:p>
    <w:p>
      <w:pPr>
        <w:pStyle w:val="IDCNotes"/>
        <w:widowControl/>
        <w:spacing w:line="26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>Revisões dos dados. Os valores históricos do IDC são recalculados a cada edição com a safra mais recente dos dados do Banco Central. Revisões com efeito material sobre o índice ou sua interpretação são descritas no relatório; a série disponibilizada incorpora todas as revisões identificadas.</w:t>
      </w:r>
    </w:p>
    <w:p>
      <w:pPr>
        <w:pStyle w:val="IDCNotes"/>
        <w:widowControl/>
        <w:spacing w:line="260" w:lineRule="exact" w:before="0" w:after="0"/>
        <w:ind w:firstLine="300"/>
        <w:jc w:val="both"/>
      </w:pPr>
      <w:r>
        <w:rPr>
          <w:rFonts w:ascii="Palatino" w:hAnsi="Palatino"/>
          <w:b w:val="0"/>
          <w:i w:val="0"/>
        </w:rPr>
        <w:t xml:space="preserve">Citação recomendada. Gonzalez, L.; Carrijo, M. L.; Schiozer, R. </w:t>
      </w:r>
      <w:r>
        <w:rPr>
          <w:rFonts w:ascii="Palatino" w:hAnsi="Palatino"/>
          <w:b w:val="0"/>
          <w:i/>
        </w:rPr>
        <w:t>Índice de Desconforto de Crédito (IDC).</w:t>
      </w:r>
      <w:r>
        <w:rPr>
          <w:rFonts w:ascii="Palatino" w:hAnsi="Palatino"/>
          <w:b w:val="0"/>
          <w:i w:val="0"/>
        </w:rPr>
        <w:t xml:space="preserve"> FGVcemif/FGV-EAESP.</w:t>
      </w:r>
    </w:p>
    <w:p>
      <w:pPr>
        <w:pStyle w:val="Heading1"/>
        <w:pageBreakBefore/>
      </w:pPr>
      <w:r>
        <w:rPr>
          <w:rFonts w:ascii="Palatino" w:hAnsi="Palatino"/>
          <w:b w:val="0"/>
          <w:i w:val="0"/>
        </w:rPr>
        <w:t>Anexo de figuras</w:t>
      </w:r>
    </w:p>
    <w:p>
      <w:pPr>
        <w:keepNext/>
        <w:keepLines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 descr="Evolução do Índice de Desconforto de Crédito (jan-2014 a jul-2026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DCCaption"/>
        <w:keepLines/>
        <w:jc w:val="center"/>
      </w:pPr>
      <w:r>
        <w:rPr>
          <w:rFonts w:ascii="Palatino" w:hAnsi="Palatino"/>
          <w:b/>
          <w:sz w:val="21"/>
        </w:rPr>
        <w:t xml:space="preserve">Figura 1. </w:t>
      </w:r>
      <w:r>
        <w:rPr>
          <w:rFonts w:ascii="Palatino" w:hAnsi="Palatino"/>
          <w:b w:val="0"/>
          <w:i/>
        </w:rPr>
        <w:t>Evolução do Índice de Desconforto de Crédito (jan-2014 a jul-2026).</w:t>
      </w:r>
    </w:p>
    <w:p>
      <w:pPr>
        <w:pStyle w:val="IDCSource"/>
        <w:keepLines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BCB, elaboração própria.</w:t>
      </w:r>
    </w:p>
    <w:p>
      <w:r>
        <w:br w:type="page"/>
      </w:r>
    </w:p>
    <w:p>
      <w:pPr>
        <w:keepNext/>
        <w:keepLines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167603"/>
            <wp:docPr id="3" name="Picture 3" descr="Evolução das componentes brutas C, I e Q (mar-2011 a jul-2026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_ra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67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DCCaption"/>
        <w:keepLines/>
        <w:jc w:val="center"/>
      </w:pPr>
      <w:r>
        <w:rPr>
          <w:rFonts w:ascii="Palatino" w:hAnsi="Palatino"/>
          <w:b/>
          <w:sz w:val="21"/>
        </w:rPr>
        <w:t xml:space="preserve">Figura 2. </w:t>
      </w:r>
      <w:r>
        <w:rPr>
          <w:rFonts w:ascii="Palatino" w:hAnsi="Palatino"/>
          <w:b w:val="0"/>
          <w:i/>
        </w:rPr>
        <w:t>Evolução das componentes brutas C, I e Q (mar-2011 a jul-2026).</w:t>
      </w:r>
    </w:p>
    <w:p>
      <w:pPr>
        <w:pStyle w:val="IDCSource"/>
        <w:keepLines/>
        <w:jc w:val="center"/>
      </w:pPr>
      <w:r>
        <w:rPr>
          <w:rFonts w:ascii="Palatino" w:hAnsi="Palatino"/>
          <w:i/>
          <w:sz w:val="19"/>
        </w:rPr>
        <w:t xml:space="preserve">Fonte: </w:t>
      </w:r>
      <w:r>
        <w:rPr>
          <w:rFonts w:ascii="Palatino" w:hAnsi="Palatino"/>
          <w:b w:val="0"/>
          <w:i/>
        </w:rPr>
        <w:t>BCB, elaboração própria.</w:t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567" w:footer="567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Palatino" w:hAnsi="Palatino"/>
        <w:b w:val="0"/>
        <w:i w:val="0"/>
        <w:sz w:val="22"/>
      </w:rPr>
      <w:t>30 de setembro de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Palatino" w:hAnsi="Palatino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Palatino" w:hAnsi="Palatino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IDCHeader"/>
      <w:tabs>
        <w:tab w:pos="8504" w:val="right"/>
      </w:tabs>
      <w:pBdr>
        <w:bottom w:val="single" w:sz="4" w:space="1" w:color="BFBFBF"/>
      </w:pBdr>
    </w:pPr>
    <w:r>
      <w:rPr>
        <w:rFonts w:ascii="Palatino" w:hAnsi="Palatino"/>
        <w:b w:val="0"/>
        <w:i/>
      </w:rPr>
      <w:t>Índice de Desconforto de Crédito</w:t>
    </w:r>
    <w:r>
      <w:tab/>
    </w:r>
    <w:r>
      <w:rPr>
        <w:rFonts w:ascii="Palatino" w:hAnsi="Palatino"/>
        <w:b w:val="0"/>
        <w:i/>
      </w:rPr>
      <w:t>FGVcemif / FGV-EAESP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pBdr>
        <w:bottom w:val="single" w:sz="4" w:space="1" w:color="BFBFB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pStyle w:val="Heading1"/>
      <w:suff w:val="space"/>
      <w:lvlText w:val="%1"/>
      <w:lvlJc w:val="left"/>
      <w:pPr>
        <w:ind w:left="0" w:hanging="0"/>
      </w:pPr>
      <w:rPr>
        <w:rFonts w:ascii="Palatino" w:hAnsi="Palatino"/>
        <w:b/>
      </w:rPr>
    </w:lvl>
  </w:abstractNum>
  <w:abstractNum w:abstractNumId="10">
    <w:multiLevelType w:val="single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Palatino" w:hAnsi="Palatin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before="0" w:after="0"/>
    </w:pPr>
    <w:rPr>
      <w:rFonts w:ascii="Palatino" w:hAnsi="Palatin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Palatino" w:hAnsi="Palatino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DCCaption">
    <w:name w:val="IDC Caption"/>
    <w:pPr>
      <w:keepNext/>
      <w:spacing w:before="0" w:after="80"/>
    </w:pPr>
    <w:rPr>
      <w:rFonts w:ascii="Palatino" w:hAnsi="Palatino"/>
      <w:i/>
      <w:color w:val="000000"/>
      <w:sz w:val="21"/>
    </w:rPr>
  </w:style>
  <w:style w:type="paragraph" w:customStyle="1" w:styleId="IDCSource">
    <w:name w:val="IDC Source"/>
    <w:pPr>
      <w:keepNext w:val="0"/>
      <w:spacing w:before="0" w:after="160"/>
    </w:pPr>
    <w:rPr>
      <w:rFonts w:ascii="Palatino" w:hAnsi="Palatino"/>
      <w:i/>
      <w:color w:val="000000"/>
      <w:sz w:val="19"/>
    </w:rPr>
  </w:style>
  <w:style w:type="paragraph" w:customStyle="1" w:styleId="IDCHeader">
    <w:name w:val="IDC Header"/>
    <w:pPr>
      <w:keepNext w:val="0"/>
      <w:spacing w:before="0" w:after="160"/>
    </w:pPr>
    <w:rPr>
      <w:rFonts w:ascii="Palatino" w:hAnsi="Palatino"/>
      <w:i/>
      <w:color w:val="000000"/>
      <w:sz w:val="18"/>
    </w:rPr>
  </w:style>
  <w:style w:type="paragraph" w:customStyle="1" w:styleId="IDCNotes">
    <w:name w:val="IDC Notes"/>
    <w:pPr>
      <w:spacing w:line="260" w:lineRule="exact" w:before="0" w:after="0"/>
    </w:pPr>
    <w:rPr>
      <w:rFonts w:ascii="Palatino" w:hAnsi="Palatino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eaesp.fgv.br/producao-intelectual/indice-desconforto-credito-idc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Desconforto de Crédito</dc:title>
  <dc:subject>Nota Técnica de Atualização do IDC</dc:subject>
  <dc:creator>Lauro Gonzalez; Matheus L. Carrijo; Rafael Schiozer</dc:creator>
  <cp:keywords>crédito, endividamento, Brasil, BCB, FGV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