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 xml:space="preserve">Nota Técnica de Atualização — Divulgação </w:t>
      </w:r>
      <w:r>
        <w:rPr>
          <w:rFonts w:ascii="Palatino" w:hAnsi="Palatino"/>
          <w:b/>
          <w:color w:val="9B2323"/>
          <w:sz w:val="24"/>
        </w:rPr>
        <w:t>[mês de ano]</w:t>
      </w:r>
      <w:r>
        <w:rPr>
          <w:rFonts w:ascii="Palatino" w:hAnsi="Palatino"/>
          <w:b w:val="0"/>
          <w:i/>
          <w:sz w:val="24"/>
        </w:rPr>
        <w:t xml:space="preserve">; competência </w:t>
      </w:r>
      <w:r>
        <w:rPr>
          <w:rFonts w:ascii="Palatino" w:hAnsi="Palatino"/>
          <w:b/>
          <w:color w:val="9B2323"/>
          <w:sz w:val="24"/>
        </w:rPr>
        <w:t>[mês por extenso de ano]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Rafael Schiozer</w:t>
      </w:r>
      <w:r>
        <w:br/>
      </w:r>
      <w:r>
        <w:rPr>
          <w:rFonts w:ascii="Palatino" w:hAnsi="Palatino"/>
          <w:sz w:val="24"/>
        </w:rPr>
        <w:t>Matheus L. Carrijo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Com a publicação, em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, das Estatísticas Monetárias e de Crédito do Banco Central do Brasil (competência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 w:val="0"/>
        </w:rPr>
        <w:t xml:space="preserve">), o Índice de Desconforto de Crédito (IDC) foi recalculado e estendido até </w:t>
      </w:r>
      <w:r>
        <w:rPr>
          <w:rFonts w:ascii="Palatino" w:hAnsi="Palatino"/>
          <w:b/>
          <w:color w:val="9B2323"/>
        </w:rPr>
        <w:t>[mês por extenso de ano]</w:t>
      </w:r>
      <w:r>
        <w:rPr>
          <w:rFonts w:ascii="Palatino" w:hAnsi="Palatino"/>
          <w:b w:val="0"/>
          <w:i w:val="0"/>
        </w:rPr>
        <w:t xml:space="preserve">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destaque: valor do IDC em mmm-AAAA, posição histórica e situação dos três componentes C, I e Q simultaneamente.]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 xml:space="preserve">Resultados de </w:t>
      </w:r>
      <w:r>
        <w:rPr>
          <w:rFonts w:ascii="Palatino" w:hAnsi="Palatino"/>
          <w:b/>
          <w:color w:val="9B2323"/>
        </w:rPr>
        <w:t>[mês por extenso de ano]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 xml:space="preserve">Componentes brutos e valores normalizados do IDC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(90+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 xml:space="preserve">divulgação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/>
        </w:rPr>
        <w:t>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 w:val="0"/>
          <w:i w:val="0"/>
        </w:rPr>
        <w:t xml:space="preserve"> — o índice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/>
          <w:i w:val="0"/>
        </w:rPr>
        <w:t xml:space="preserve">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. </w:t>
      </w:r>
      <w:r>
        <w:rPr>
          <w:rFonts w:ascii="Palatino" w:hAnsi="Palatino"/>
          <w:b/>
          <w:color w:val="9B2323"/>
        </w:rPr>
        <w:t>[Breve caracterização: variação disseminada ou concentrada nos componentes.]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</w:t>
      </w:r>
      <w:r>
        <w:rPr>
          <w:rFonts w:ascii="Palatino" w:hAnsi="Palatino"/>
          <w:b/>
          <w:color w:val="9B2323"/>
        </w:rPr>
        <w:t>[avançou/recuou]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síntese sobre o significado conjunto dos movimentos. Lembre: o IDC mede posição relativa, não endividamento absoluto.]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próxima atualização do IDC está prevista para a divulgação seguinte das Estatísticas Monetárias e de Crédito do Banco Central, esperada para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. O índice será estendido para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 caso a série de comprometimento de renda das famílias (SGS 29034) avance para essa competência.</w:t>
      </w:r>
    </w:p>
    <w:p>
      <w:pPr>
        <w:pStyle w:val="Heading1"/>
      </w:pPr>
      <w:r>
        <w:rPr>
          <w:rFonts w:ascii="Palatino" w:hAnsi="Palatino"/>
          <w:b w:val="0"/>
          <w:i w:val="0"/>
        </w:rPr>
        <w:t>Notas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Schiozer, R.; Carrijo, M. L.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widowControl/>
        <w:spacing w:line="300" w:lineRule="exact" w:before="0" w:after="0"/>
        <w:ind w:firstLine="300"/>
        <w:jc w:val="both"/>
      </w:pP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7937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[index.png]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 xml:space="preserve">Evolução do Índice de Desconforto de Crédito (jan-2014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9638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[components_raw.png]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 xml:space="preserve">Evolução das componentes brutas C, I e Q (mar-2011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/>
        <w:color w:val="9B2323"/>
        <w:sz w:val="22"/>
      </w:rPr>
      <w:t>[dia de mês de ano]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Rafael Schiozer; Matheus L. Carrijo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