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>Nota Técnica de Atualização — Divulgação setembro de 2026; competência julho de 2026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Matheus L. Carrijo</w:t>
      </w:r>
      <w:r>
        <w:br/>
      </w:r>
      <w:r>
        <w:rPr>
          <w:rFonts w:ascii="Palatino" w:hAnsi="Palatino"/>
          <w:sz w:val="24"/>
        </w:rPr>
        <w:t>Rafael Schiozer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Com a publicação, em setembro de 2026, das Estatísticas Monetárias e de Crédito do Banco Central do Brasil (competência 202609), o Índice de Desconforto de Crédito (IDC) foi recalculado e estendido até julho de 2026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 xml:space="preserve">, o IDC foi de </w:t>
      </w:r>
      <w:r>
        <w:rPr>
          <w:rFonts w:ascii="Palatino" w:hAnsi="Palatino"/>
          <w:b/>
          <w:i w:val="0"/>
        </w:rPr>
        <w:t>0,963</w:t>
      </w:r>
      <w:r>
        <w:rPr>
          <w:rFonts w:ascii="Palatino" w:hAnsi="Palatino"/>
          <w:b w:val="0"/>
          <w:i w:val="0"/>
        </w:rPr>
        <w:t xml:space="preserve">, com alta de </w:t>
      </w:r>
      <w:r>
        <w:rPr>
          <w:rFonts w:ascii="Palatino" w:hAnsi="Palatino"/>
          <w:b/>
          <w:i w:val="0"/>
        </w:rPr>
        <w:t>0,013 ponto</w:t>
      </w:r>
      <w:r>
        <w:rPr>
          <w:rFonts w:ascii="Palatino" w:hAnsi="Palatino"/>
          <w:b w:val="0"/>
          <w:i w:val="0"/>
        </w:rPr>
        <w:t xml:space="preserve"> em relação aos </w:t>
      </w:r>
      <w:r>
        <w:rPr>
          <w:rFonts w:ascii="Palatino" w:hAnsi="Palatino"/>
          <w:b/>
          <w:i w:val="0"/>
        </w:rPr>
        <w:t>0,950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, ambos calculados com a safra </w:t>
      </w:r>
      <w:r>
        <w:rPr>
          <w:rFonts w:ascii="Palatino" w:hAnsi="Palatino"/>
          <w:b/>
          <w:i w:val="0"/>
        </w:rPr>
        <w:t>202609</w:t>
      </w:r>
      <w:r>
        <w:rPr>
          <w:rFonts w:ascii="Palatino" w:hAnsi="Palatino"/>
          <w:b w:val="0"/>
          <w:i w:val="0"/>
        </w:rPr>
        <w:t xml:space="preserve">. O resultado foi o sétimo maior entre as </w:t>
      </w:r>
      <w:r>
        <w:rPr>
          <w:rFonts w:ascii="Palatino" w:hAnsi="Palatino"/>
          <w:b/>
          <w:i w:val="0"/>
        </w:rPr>
        <w:t>151</w:t>
      </w:r>
      <w:r>
        <w:rPr>
          <w:rFonts w:ascii="Palatino" w:hAnsi="Palatino"/>
          <w:b w:val="0"/>
          <w:i w:val="0"/>
        </w:rPr>
        <w:t xml:space="preserve"> observações válidas desde </w:t>
      </w:r>
      <w:r>
        <w:rPr>
          <w:rFonts w:ascii="Palatino" w:hAnsi="Palatino"/>
          <w:b/>
          <w:i w:val="0"/>
        </w:rPr>
        <w:t>jan-2014</w:t>
      </w:r>
      <w:r>
        <w:rPr>
          <w:rFonts w:ascii="Palatino" w:hAnsi="Palatino"/>
          <w:b w:val="0"/>
          <w:i w:val="0"/>
        </w:rPr>
        <w:t xml:space="preserve">. Na escala normalizada, em que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representa o pior e </w:t>
      </w:r>
      <w:r>
        <w:rPr>
          <w:rFonts w:ascii="Palatino" w:hAnsi="Palatino"/>
          <w:b/>
          <w:i w:val="0"/>
        </w:rPr>
        <w:t>0,000</w:t>
      </w:r>
      <w:r>
        <w:rPr>
          <w:rFonts w:ascii="Palatino" w:hAnsi="Palatino"/>
          <w:b w:val="0"/>
          <w:i w:val="0"/>
        </w:rPr>
        <w:t xml:space="preserve"> o melhor resultado histórico observado, C e I marcaram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, enquanto Q ficou em </w:t>
      </w:r>
      <w:r>
        <w:rPr>
          <w:rFonts w:ascii="Palatino" w:hAnsi="Palatino"/>
          <w:b/>
          <w:i w:val="0"/>
        </w:rPr>
        <w:t>0,888</w:t>
      </w:r>
      <w:r>
        <w:rPr>
          <w:rFonts w:ascii="Palatino" w:hAnsi="Palatino"/>
          <w:b w:val="0"/>
          <w:i w:val="0"/>
        </w:rPr>
        <w:t>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Resultados de julho de 2026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>Componentes brutos e valores normalizados do IDC — jul-2026.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i w:val="0"/>
                <w:sz w:val="21"/>
              </w:rPr>
              <w:t>0,963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28,7%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</w:t>
            </w:r>
            <w:r>
              <w:rPr>
                <w:rFonts w:ascii="Arial" w:hAnsi="Arial"/>
                <w:b w:val="0"/>
                <w:i w:val="0"/>
                <w:sz w:val="21"/>
              </w:rPr>
              <w:t>+</w:t>
            </w:r>
            <w:r>
              <w:rPr>
                <w:rFonts w:ascii="Palatino" w:hAnsi="Palatino"/>
                <w:b w:val="0"/>
                <w:i w:val="0"/>
                <w:sz w:val="21"/>
              </w:rPr>
              <w:t xml:space="preserve">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7,8%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das modalidades onerosas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24,4%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0,888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>divulgação 202609),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i w:val="0"/>
        </w:rPr>
        <w:t>0,950</w:t>
      </w:r>
      <w:r>
        <w:rPr>
          <w:rFonts w:ascii="Palatino" w:hAnsi="Palatino"/>
          <w:b w:val="0"/>
          <w:i w:val="0"/>
        </w:rPr>
        <w:t xml:space="preserve"> — o índice subiu </w:t>
      </w:r>
      <w:r>
        <w:rPr>
          <w:rFonts w:ascii="Palatino" w:hAnsi="Palatino"/>
          <w:b/>
          <w:i w:val="0"/>
        </w:rPr>
        <w:t>0,013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>. O movimento concentrou-se em I: sua alta superou a redução de Q, enquanto C permaneceu estável.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permaneceu em </w:t>
      </w:r>
      <w:r>
        <w:rPr>
          <w:rFonts w:ascii="Palatino" w:hAnsi="Palatino"/>
          <w:b/>
          <w:i w:val="0"/>
        </w:rPr>
        <w:t>28,7%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0,0 p.p.</w:t>
      </w:r>
      <w:r>
        <w:rPr>
          <w:rFonts w:ascii="Palatino" w:hAnsi="Palatino"/>
          <w:b w:val="0"/>
          <w:i w:val="0"/>
        </w:rPr>
        <w:t xml:space="preserve">). O componente normalizado ficou em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, correspondente ao pior posicionamento histórico observado. A estabilidade manteve o peso do serviço da dívida sobre a renda no máximo da amostra.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avançou de </w:t>
      </w:r>
      <w:r>
        <w:rPr>
          <w:rFonts w:ascii="Palatino" w:hAnsi="Palatino"/>
          <w:b/>
          <w:i w:val="0"/>
        </w:rPr>
        <w:t>7,4%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7,8%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Arial" w:hAnsi="Arial"/>
          <w:b/>
          <w:i w:val="0"/>
        </w:rPr>
        <w:t>+</w:t>
      </w:r>
      <w:r>
        <w:rPr>
          <w:rFonts w:ascii="Palatino" w:hAnsi="Palatino"/>
          <w:b/>
          <w:i w:val="0"/>
        </w:rPr>
        <w:t>0,4 p.p.</w:t>
      </w:r>
      <w:r>
        <w:rPr>
          <w:rFonts w:ascii="Palatino" w:hAnsi="Palatino"/>
          <w:b w:val="0"/>
          <w:i w:val="0"/>
        </w:rPr>
        <w:t xml:space="preserve">), e seu valor normalizado passou de </w:t>
      </w:r>
      <w:r>
        <w:rPr>
          <w:rFonts w:ascii="Palatino" w:hAnsi="Palatino"/>
          <w:b/>
          <w:i w:val="0"/>
        </w:rPr>
        <w:t>0,943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. A taxa bruta atingiu o maior nível do histórico disponível e respondeu pela alta mensal do IDC.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Qualidade do crédito (Q) caiu de </w:t>
      </w:r>
      <w:r>
        <w:rPr>
          <w:rFonts w:ascii="Palatino" w:hAnsi="Palatino"/>
          <w:b/>
          <w:i w:val="0"/>
        </w:rPr>
        <w:t>24,5%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24,4%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-0,1 p.p.</w:t>
      </w:r>
      <w:r>
        <w:rPr>
          <w:rFonts w:ascii="Palatino" w:hAnsi="Palatino"/>
          <w:b w:val="0"/>
          <w:i w:val="0"/>
        </w:rPr>
        <w:t xml:space="preserve">, com base nos valores não arredondados), e seu valor normalizado recuou de </w:t>
      </w:r>
      <w:r>
        <w:rPr>
          <w:rFonts w:ascii="Palatino" w:hAnsi="Palatino"/>
          <w:b/>
          <w:i w:val="0"/>
        </w:rPr>
        <w:t>0,907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0,888</w:t>
      </w:r>
      <w:r>
        <w:rPr>
          <w:rFonts w:ascii="Palatino" w:hAnsi="Palatino"/>
          <w:b w:val="0"/>
          <w:i w:val="0"/>
        </w:rPr>
        <w:t>. A menor participação das modalidades onerosas no crédito livre PF compensou parcialmente a piora de I.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conjunto, os dados indicam aumento do desconforto agregado 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>, determinado pela inadimplência, com C ainda no máximo histórico e alívio parcial em Q. O IDC permaneceu entre os níveis mais altos da série, mas mede posição relativa no histórico, e não uma medida absoluta de endividamento.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Figura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mostra que, após atingir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fev-2026</w:t>
      </w:r>
      <w:r>
        <w:rPr>
          <w:rFonts w:ascii="Palatino" w:hAnsi="Palatino"/>
          <w:b w:val="0"/>
          <w:i w:val="0"/>
        </w:rPr>
        <w:t xml:space="preserve">, o IDC passou a </w:t>
      </w:r>
      <w:r>
        <w:rPr>
          <w:rFonts w:ascii="Palatino" w:hAnsi="Palatino"/>
          <w:b/>
          <w:i w:val="0"/>
        </w:rPr>
        <w:t>0,960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mar-2026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0,990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abr-2026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0,983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0,950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 e </w:t>
      </w:r>
      <w:r>
        <w:rPr>
          <w:rFonts w:ascii="Palatino" w:hAnsi="Palatino"/>
          <w:b/>
          <w:i w:val="0"/>
        </w:rPr>
        <w:t>0,963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 xml:space="preserve">. A Figura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evidencia que a alta mais recente refletiu o avanço de I para seu máximo histórico; C permaneceu no máximo da amostra, enquanto Q recuou.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A próxima atualização é esperada para outubro de 2026; o IDC será estendido para ago-2026 caso a série de comprometimento de renda (SGS 29034) avance até lá.</w:t>
      </w:r>
    </w:p>
    <w:p>
      <w:pPr>
        <w:pStyle w:val="Heading1"/>
        <w:spacing w:before="240" w:after="80"/>
      </w:pPr>
      <w:r>
        <w:rPr>
          <w:rFonts w:ascii="Palatino" w:hAnsi="Palatino"/>
          <w:b w:val="0"/>
          <w:i w:val="0"/>
        </w:rPr>
        <w:t>Notas</w:t>
      </w:r>
    </w:p>
    <w:p>
      <w:pPr>
        <w:pStyle w:val="IDCNotes"/>
        <w:widowControl/>
        <w:spacing w:line="26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das modalidades onerosas (cheque especial, SGS 20573; crédito pessoal não consignado, SGS 20574; cartão de crédito rotativo, SGS 20587; cartão de crédito parcelado, SGS 20588) no total do crédito livre para pessoa física (SGS 20570).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>Revisões dos dados. Os valores históricos do IDC são recalculados a cada edição com a safra mais recente dos dados do Banco Central. Revisões com efeito material sobre o índice ou sua interpretação são descritas no relatório; a série disponibilizada incorpora todas as revisões identificadas.</w:t>
      </w: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Carrijo, M. L.; Schiozer, R.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</w:t>
      </w: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2" name="Picture 2" descr="Evolução do Índice de Desconforto de Crédito (jan-2014 a jul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>Evolução do Índice de Desconforto de Crédito (jan-2014 a jul-2026).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167603"/>
            <wp:docPr id="3" name="Picture 3" descr="Evolução das componentes brutas C, I e Q (mar-2011 a jul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_ra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67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>Evolução das componentes brutas C, I e Q (mar-2011 a jul-2026).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 w:val="0"/>
        <w:i w:val="0"/>
        <w:sz w:val="22"/>
      </w:rPr>
      <w:t>30 de setembro de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  <w:style w:type="paragraph" w:customStyle="1" w:styleId="IDCNotes">
    <w:name w:val="IDC Notes"/>
    <w:pPr>
      <w:spacing w:line="260" w:lineRule="exact" w:before="0" w:after="0"/>
    </w:pPr>
    <w:rPr>
      <w:rFonts w:ascii="Palatino" w:hAnsi="Palatino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Relationship Id="rId17" Type="http://schemas.openxmlformats.org/officeDocument/2006/relationships/image" Target="media/image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Matheus L. Carrijo; Rafael Schiozer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