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 xml:space="preserve">Nota Técnica de Atualização — Divulgação </w:t>
      </w:r>
      <w:r>
        <w:rPr>
          <w:rFonts w:ascii="Palatino" w:hAnsi="Palatino"/>
          <w:b/>
          <w:color w:val="9B2323"/>
          <w:sz w:val="24"/>
        </w:rPr>
        <w:t>[mês de ano]</w:t>
      </w:r>
      <w:r>
        <w:rPr>
          <w:rFonts w:ascii="Palatino" w:hAnsi="Palatino"/>
          <w:b w:val="0"/>
          <w:i/>
          <w:sz w:val="24"/>
        </w:rPr>
        <w:t xml:space="preserve">; competência </w:t>
      </w:r>
      <w:r>
        <w:rPr>
          <w:rFonts w:ascii="Palatino" w:hAnsi="Palatino"/>
          <w:b/>
          <w:color w:val="9B2323"/>
          <w:sz w:val="24"/>
        </w:rPr>
        <w:t>[mês por extenso de ano]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Com a publicação, em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, das Estatísticas Monetárias e de Crédito do Banco Central do Brasil (competência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 w:val="0"/>
        </w:rPr>
        <w:t xml:space="preserve">), o Índice de Desconforto de Crédito (IDC) foi recalculado e estendido até </w:t>
      </w:r>
      <w:r>
        <w:rPr>
          <w:rFonts w:ascii="Palatino" w:hAnsi="Palatino"/>
          <w:b/>
          <w:color w:val="9B2323"/>
        </w:rPr>
        <w:t>[mês por extenso de ano]</w:t>
      </w:r>
      <w:r>
        <w:rPr>
          <w:rFonts w:ascii="Palatino" w:hAnsi="Palatino"/>
          <w:b w:val="0"/>
          <w:i w:val="0"/>
        </w:rPr>
        <w:t xml:space="preserve">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destaque: valor do IDC em mmm-AAAA, posição histórica e situação dos três componentes C, I e Q simultaneamente.]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 xml:space="preserve">Resultados de </w:t>
      </w:r>
      <w:r>
        <w:rPr>
          <w:rFonts w:ascii="Palatino" w:hAnsi="Palatino"/>
          <w:b/>
          <w:color w:val="9B2323"/>
        </w:rPr>
        <w:t>[mês por extenso de ano]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 xml:space="preserve">Componentes brutos e valores normalizados do IDC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[XX,X]</w:t>
            </w:r>
            <w:r>
              <w:rPr>
                <w:rFonts w:ascii="Palatino" w:hAnsi="Palatino"/>
                <w:b w:val="0"/>
                <w:i w:val="0"/>
                <w:sz w:val="21"/>
              </w:rPr>
              <w:t>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color w:val="9B2323"/>
                <w:sz w:val="21"/>
              </w:rPr>
              <w:t>[X,XXX]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 xml:space="preserve">divulgação </w:t>
      </w:r>
      <w:r>
        <w:rPr>
          <w:rFonts w:ascii="Palatino" w:hAnsi="Palatino"/>
          <w:b/>
          <w:color w:val="9B2323"/>
        </w:rPr>
        <w:t>[AAAAMM]</w:t>
      </w:r>
      <w:r>
        <w:rPr>
          <w:rFonts w:ascii="Palatino" w:hAnsi="Palatino"/>
          <w:b w:val="0"/>
          <w:i/>
        </w:rPr>
        <w:t>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 w:val="0"/>
          <w:i w:val="0"/>
        </w:rPr>
        <w:t xml:space="preserve"> — o índice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</w:t>
      </w:r>
      <w:r>
        <w:rPr>
          <w:rFonts w:ascii="Palatino" w:hAnsi="Palatino"/>
          <w:b/>
          <w:color w:val="9B2323"/>
        </w:rPr>
        <w:t>[X,XXX]</w:t>
      </w:r>
      <w:r>
        <w:rPr>
          <w:rFonts w:ascii="Palatino" w:hAnsi="Palatino"/>
          <w:b/>
          <w:i w:val="0"/>
        </w:rPr>
        <w:t xml:space="preserve">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. </w:t>
      </w:r>
      <w:r>
        <w:rPr>
          <w:rFonts w:ascii="Palatino" w:hAnsi="Palatino"/>
          <w:b/>
          <w:color w:val="9B2323"/>
        </w:rPr>
        <w:t>[Breve caracterização: variação disseminada ou concentrada nos componentes.]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</w:t>
      </w:r>
      <w:r>
        <w:rPr>
          <w:rFonts w:ascii="Palatino" w:hAnsi="Palatino"/>
          <w:b/>
          <w:color w:val="9B2323"/>
        </w:rPr>
        <w:t>[avançou/recuou]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</w:t>
      </w:r>
      <w:r>
        <w:rPr>
          <w:rFonts w:ascii="Palatino" w:hAnsi="Palatino"/>
          <w:b/>
          <w:color w:val="9B2323"/>
        </w:rPr>
        <w:t>[subiu/caiu]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color w:val="9B2323"/>
        </w:rPr>
        <w:t>[XX,X]</w:t>
      </w:r>
      <w:r>
        <w:rPr>
          <w:rFonts w:ascii="Palatino" w:hAnsi="Palatino"/>
          <w:b/>
          <w:i w:val="0"/>
        </w:rPr>
        <w:t>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color w:val="9B2323"/>
        </w:rPr>
        <w:t>[±X,X]</w:t>
      </w:r>
      <w:r>
        <w:rPr>
          <w:rFonts w:ascii="Palatino" w:hAnsi="Palatino"/>
          <w:b w:val="0"/>
          <w:i w:val="0"/>
        </w:rPr>
        <w:t xml:space="preserve"> p.p.). </w:t>
      </w:r>
      <w:r>
        <w:rPr>
          <w:rFonts w:ascii="Palatino" w:hAnsi="Palatino"/>
          <w:b/>
          <w:color w:val="9B2323"/>
        </w:rPr>
        <w:t>[Contextualização histórica e interpretação econômica.]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/>
          <w:color w:val="9B2323"/>
        </w:rPr>
        <w:t>[Parágrafo de síntese sobre o significado conjunto dos movimentos. Lembre: o IDC mede posição relativa, não endividamento absoluto.]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próxima atualização do IDC está prevista para a divulgação seguinte das Estatísticas Monetárias e de Crédito do Banco Central, esperada para </w:t>
      </w:r>
      <w:r>
        <w:rPr>
          <w:rFonts w:ascii="Palatino" w:hAnsi="Palatino"/>
          <w:b/>
          <w:color w:val="9B2323"/>
        </w:rPr>
        <w:t>[mês de ano]</w:t>
      </w:r>
      <w:r>
        <w:rPr>
          <w:rFonts w:ascii="Palatino" w:hAnsi="Palatino"/>
          <w:b w:val="0"/>
          <w:i w:val="0"/>
        </w:rPr>
        <w:t xml:space="preserve">. O índice será estendido para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 w:val="0"/>
        </w:rPr>
        <w:t xml:space="preserve"> caso a série de comprometimento de renda das famílias (SGS 29034) avance para essa competência.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1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1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7937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[index.png]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 xml:space="preserve">Evolução do Índice de Desconforto de Crédito (jan-2014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8504"/>
      </w:tblGrid>
      <w:tr>
        <w:trPr>
          <w:cantSplit/>
          <w:trHeight w:val="9638" w:hRule="exact"/>
        </w:trPr>
        <w:tc>
          <w:tcPr>
            <w:tcW w:type="dxa" w:w="85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6" w:color="A0A0A0"/>
              <w:start w:val="nil"/>
              <w:bottom w:val="single" w:sz="6" w:color="A0A0A0"/>
              <w:end w:val="nil"/>
              <w:insideH w:val="nil"/>
              <w:insideV w:val="nil"/>
            </w:tcBorders>
          </w:tcPr>
          <w:p>
            <w:pPr>
              <w:spacing w:line="240" w:lineRule="auto" w:before="0" w:after="0"/>
              <w:jc w:val="center"/>
            </w:pPr>
            <w:r>
              <w:rPr>
                <w:rFonts w:ascii="Helvetica" w:hAnsi="Helvetica"/>
                <w:color w:val="5F5F5F"/>
                <w:sz w:val="20"/>
              </w:rPr>
              <w:t>[components_raw.png]</w:t>
            </w:r>
          </w:p>
        </w:tc>
      </w:tr>
    </w:tbl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 xml:space="preserve">Evolução das componentes brutas C, I e Q (mar-2011 a </w:t>
      </w:r>
      <w:r>
        <w:rPr>
          <w:rFonts w:ascii="Palatino" w:hAnsi="Palatino"/>
          <w:b/>
          <w:color w:val="9B2323"/>
        </w:rPr>
        <w:t>[mmm-AAAA]</w:t>
      </w:r>
      <w:r>
        <w:rPr>
          <w:rFonts w:ascii="Palatino" w:hAnsi="Palatino"/>
          <w:b w:val="0"/>
          <w:i/>
        </w:rPr>
        <w:t>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/>
        <w:color w:val="9B2323"/>
        <w:sz w:val="22"/>
      </w:rPr>
      <w:t>[dia de mês de ano]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160" w:lineRule="exact" w:before="0" w:after="0"/>
    </w:pPr>
    <w:rPr>
      <w:rFonts w:ascii="Palatino" w:hAnsi="Palatino"/>
      <w:color w:val="000000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