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020"/>
        <w:jc w:val="right"/>
      </w:pPr>
      <w:r>
        <w:drawing>
          <wp:inline xmlns:a="http://schemas.openxmlformats.org/drawingml/2006/main" xmlns:pic="http://schemas.openxmlformats.org/drawingml/2006/picture">
            <wp:extent cx="2844000" cy="723927"/>
            <wp:docPr id="1" name="Picture 1" descr="Logotipo FGV EAESP e FGVcemi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72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80" w:after="170"/>
        <w:jc w:val="center"/>
      </w:pPr>
      <w:r>
        <w:rPr>
          <w:rFonts w:ascii="Palatino" w:hAnsi="Palatino"/>
          <w:b/>
          <w:sz w:val="34"/>
        </w:rPr>
        <w:t>Índice de Desconforto de Crédito</w:t>
      </w:r>
    </w:p>
    <w:p>
      <w:pPr>
        <w:spacing w:after="680"/>
        <w:jc w:val="center"/>
      </w:pPr>
      <w:r>
        <w:rPr>
          <w:rFonts w:ascii="Palatino" w:hAnsi="Palatino"/>
          <w:b w:val="0"/>
          <w:i/>
          <w:sz w:val="24"/>
        </w:rPr>
        <w:t>Nota Técnica de Atualização — Divulgação agosto de 2026; competência junho de 2026</w:t>
      </w:r>
    </w:p>
    <w:p>
      <w:pPr>
        <w:spacing w:line="276" w:lineRule="auto"/>
        <w:jc w:val="right"/>
      </w:pPr>
      <w:r>
        <w:rPr>
          <w:rFonts w:ascii="Palatino" w:hAnsi="Palatino"/>
          <w:sz w:val="24"/>
        </w:rPr>
        <w:t>Lauro Gonzalez</w:t>
      </w:r>
      <w:r>
        <w:br/>
      </w:r>
      <w:r>
        <w:rPr>
          <w:rFonts w:ascii="Palatino" w:hAnsi="Palatino"/>
          <w:sz w:val="24"/>
        </w:rPr>
        <w:t>Matheus L. Carrijo</w:t>
      </w:r>
      <w:r>
        <w:br/>
      </w:r>
      <w:r>
        <w:rPr>
          <w:rFonts w:ascii="Palatino" w:hAnsi="Palatino"/>
          <w:sz w:val="24"/>
        </w:rPr>
        <w:t>Rafael Schiozer</w:t>
      </w:r>
    </w:p>
    <w:p>
      <w:pPr>
        <w:sectPr>
          <w:headerReference w:type="default" r:id="rId9"/>
          <w:footerReference w:type="default" r:id="rId10"/>
          <w:pgSz w:w="11906" w:h="16838"/>
          <w:pgMar w:top="1417" w:right="1701" w:bottom="1417" w:left="1701" w:header="567" w:footer="567" w:gutter="0"/>
          <w:cols w:space="720"/>
          <w:docGrid w:linePitch="360"/>
        </w:sectPr>
      </w:pP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Resumo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>Com a publicação, em agosto de 2026, das Estatísticas Monetárias e de Crédito do Banco Central do Brasil (competência 202608), o Índice de Desconforto de Crédito (IDC) foi recalculado e estendido até junho de 2026 — último mês para o qual há observação disponível da série de comprometimento de renda das famílias (SGS 29034), que delimita o horizonte de cálculo do índice.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Em </w:t>
      </w:r>
      <w:r>
        <w:rPr>
          <w:rFonts w:ascii="Palatino" w:hAnsi="Palatino"/>
          <w:b/>
          <w:i w:val="0"/>
        </w:rPr>
        <w:t>jun-2026</w:t>
      </w:r>
      <w:r>
        <w:rPr>
          <w:rFonts w:ascii="Palatino" w:hAnsi="Palatino"/>
          <w:b w:val="0"/>
          <w:i w:val="0"/>
        </w:rPr>
        <w:t xml:space="preserve">, o IDC foi de </w:t>
      </w:r>
      <w:r>
        <w:rPr>
          <w:rFonts w:ascii="Palatino" w:hAnsi="Palatino"/>
          <w:b/>
          <w:i w:val="0"/>
        </w:rPr>
        <w:t>0,959</w:t>
      </w:r>
      <w:r>
        <w:rPr>
          <w:rFonts w:ascii="Palatino" w:hAnsi="Palatino"/>
          <w:b w:val="0"/>
          <w:i w:val="0"/>
        </w:rPr>
        <w:t xml:space="preserve">, com recuo de </w:t>
      </w:r>
      <w:r>
        <w:rPr>
          <w:rFonts w:ascii="Palatino" w:hAnsi="Palatino"/>
          <w:b/>
          <w:i w:val="0"/>
        </w:rPr>
        <w:t>0,024 ponto</w:t>
      </w:r>
      <w:r>
        <w:rPr>
          <w:rFonts w:ascii="Palatino" w:hAnsi="Palatino"/>
          <w:b w:val="0"/>
          <w:i w:val="0"/>
        </w:rPr>
        <w:t xml:space="preserve"> em relação aos </w:t>
      </w:r>
      <w:r>
        <w:rPr>
          <w:rFonts w:ascii="Palatino" w:hAnsi="Palatino"/>
          <w:b/>
          <w:i w:val="0"/>
        </w:rPr>
        <w:t>0,983</w:t>
      </w:r>
      <w:r>
        <w:rPr>
          <w:rFonts w:ascii="Palatino" w:hAnsi="Palatino"/>
          <w:b w:val="0"/>
          <w:i w:val="0"/>
        </w:rPr>
        <w:t xml:space="preserve"> de </w:t>
      </w:r>
      <w:r>
        <w:rPr>
          <w:rFonts w:ascii="Palatino" w:hAnsi="Palatino"/>
          <w:b/>
          <w:i w:val="0"/>
        </w:rPr>
        <w:t>mai-2026</w:t>
      </w:r>
      <w:r>
        <w:rPr>
          <w:rFonts w:ascii="Palatino" w:hAnsi="Palatino"/>
          <w:b w:val="0"/>
          <w:i w:val="0"/>
        </w:rPr>
        <w:t xml:space="preserve">, ambos calculados com a safra </w:t>
      </w:r>
      <w:r>
        <w:rPr>
          <w:rFonts w:ascii="Palatino" w:hAnsi="Palatino"/>
          <w:b/>
          <w:i w:val="0"/>
        </w:rPr>
        <w:t>202608</w:t>
      </w:r>
      <w:r>
        <w:rPr>
          <w:rFonts w:ascii="Palatino" w:hAnsi="Palatino"/>
          <w:b w:val="0"/>
          <w:i w:val="0"/>
        </w:rPr>
        <w:t xml:space="preserve">. Apesar da redução, o resultado foi o 11º maior entre as </w:t>
      </w:r>
      <w:r>
        <w:rPr>
          <w:rFonts w:ascii="Palatino" w:hAnsi="Palatino"/>
          <w:b/>
          <w:i w:val="0"/>
        </w:rPr>
        <w:t>150</w:t>
      </w:r>
      <w:r>
        <w:rPr>
          <w:rFonts w:ascii="Palatino" w:hAnsi="Palatino"/>
          <w:b w:val="0"/>
          <w:i w:val="0"/>
        </w:rPr>
        <w:t xml:space="preserve"> observações válidas desde </w:t>
      </w:r>
      <w:r>
        <w:rPr>
          <w:rFonts w:ascii="Palatino" w:hAnsi="Palatino"/>
          <w:b/>
          <w:i w:val="0"/>
        </w:rPr>
        <w:t>jan-2014</w:t>
      </w:r>
      <w:r>
        <w:rPr>
          <w:rFonts w:ascii="Palatino" w:hAnsi="Palatino"/>
          <w:b w:val="0"/>
          <w:i w:val="0"/>
        </w:rPr>
        <w:t xml:space="preserve">. Na escala normalizada, em que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 representa o pior e </w:t>
      </w:r>
      <w:r>
        <w:rPr>
          <w:rFonts w:ascii="Palatino" w:hAnsi="Palatino"/>
          <w:b/>
          <w:i w:val="0"/>
        </w:rPr>
        <w:t>0,000</w:t>
      </w:r>
      <w:r>
        <w:rPr>
          <w:rFonts w:ascii="Palatino" w:hAnsi="Palatino"/>
          <w:b w:val="0"/>
          <w:i w:val="0"/>
        </w:rPr>
        <w:t xml:space="preserve"> o melhor resultado histórico observado, C marcou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, I, </w:t>
      </w:r>
      <w:r>
        <w:rPr>
          <w:rFonts w:ascii="Palatino" w:hAnsi="Palatino"/>
          <w:b/>
          <w:i w:val="0"/>
        </w:rPr>
        <w:t>0,971</w:t>
      </w:r>
      <w:r>
        <w:rPr>
          <w:rFonts w:ascii="Palatino" w:hAnsi="Palatino"/>
          <w:b w:val="0"/>
          <w:i w:val="0"/>
        </w:rPr>
        <w:t xml:space="preserve">, e Q, </w:t>
      </w:r>
      <w:r>
        <w:rPr>
          <w:rFonts w:ascii="Palatino" w:hAnsi="Palatino"/>
          <w:b/>
          <w:i w:val="0"/>
        </w:rPr>
        <w:t>0,907</w:t>
      </w:r>
      <w:r>
        <w:rPr>
          <w:rFonts w:ascii="Palatino" w:hAnsi="Palatino"/>
          <w:b w:val="0"/>
          <w:i w:val="0"/>
        </w:rPr>
        <w:t>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Resultados de junho de 2026</w:t>
      </w:r>
    </w:p>
    <w:p>
      <w:pPr>
        <w:pStyle w:val="IDCCaption"/>
        <w:jc w:val="center"/>
      </w:pPr>
      <w:r>
        <w:rPr>
          <w:rFonts w:ascii="Palatino" w:hAnsi="Palatino"/>
          <w:b/>
          <w:sz w:val="21"/>
        </w:rPr>
        <w:t xml:space="preserve">Tabela 1. </w:t>
      </w:r>
      <w:r>
        <w:rPr>
          <w:rFonts w:ascii="Palatino" w:hAnsi="Palatino"/>
          <w:b w:val="0"/>
          <w:i/>
        </w:rPr>
        <w:t>Componentes brutos e valores normalizados do IDC — jun-2026.</w:t>
      </w:r>
    </w:p>
    <w:tbl>
      <w:tblPr>
        <w:tblW w:type="dxa" w:w="8504"/>
        <w:tblLayout w:type="fixed"/>
        <w:tblLook w:firstColumn="1" w:firstRow="1" w:lastColumn="0" w:lastRow="0" w:noHBand="0" w:noVBand="1" w:val="04A0"/>
        <w:tblInd w:w="80" w:type="dxa"/>
      </w:tblPr>
      <w:tblGrid>
        <w:gridCol w:w="4535"/>
        <w:gridCol w:w="1700"/>
        <w:gridCol w:w="2269"/>
      </w:tblGrid>
      <w:tr>
        <w:trPr>
          <w:cantSplit/>
          <w:tblHeader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Indicador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Valor bruto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Valor normalizado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IDC (média dos componentes normalizados)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i w:val="0"/>
                <w:sz w:val="21"/>
              </w:rPr>
              <w:t>0,959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C — Comprometimento de renda das famílias com a dívida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28,9%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1,000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 — Inadimplência da carteira de crédito livre PF (90</w:t>
            </w:r>
            <w:r>
              <w:rPr>
                <w:rFonts w:ascii="Arial" w:hAnsi="Arial"/>
                <w:b w:val="0"/>
                <w:i w:val="0"/>
                <w:sz w:val="21"/>
              </w:rPr>
              <w:t>+</w:t>
            </w:r>
            <w:r>
              <w:rPr>
                <w:rFonts w:ascii="Palatino" w:hAnsi="Palatino"/>
                <w:b w:val="0"/>
                <w:i w:val="0"/>
                <w:sz w:val="21"/>
              </w:rPr>
              <w:t xml:space="preserve"> dias)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7,4%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0,971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Q — Participação das modalidades onerosas no crédito livre PF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24,5%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0,907</w:t>
            </w:r>
          </w:p>
        </w:tc>
      </w:tr>
    </w:tbl>
    <w:p>
      <w:pPr>
        <w:pStyle w:val="IDCSource"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Banco Central do Brasil (Estatísticas Monetárias e de Crédito,</w:t>
        <w:br/>
        <w:t>divulgação 202608), elaboração própria.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Em relação à observação imediatamente anterior — </w:t>
      </w:r>
      <w:r>
        <w:rPr>
          <w:rFonts w:ascii="Palatino" w:hAnsi="Palatino"/>
          <w:b/>
          <w:i w:val="0"/>
        </w:rPr>
        <w:t>mai-2026</w:t>
      </w:r>
      <w:r>
        <w:rPr>
          <w:rFonts w:ascii="Palatino" w:hAnsi="Palatino"/>
          <w:b w:val="0"/>
          <w:i w:val="0"/>
        </w:rPr>
        <w:t xml:space="preserve">, quando o IDC marcava </w:t>
      </w:r>
      <w:r>
        <w:rPr>
          <w:rFonts w:ascii="Palatino" w:hAnsi="Palatino"/>
          <w:b/>
          <w:i w:val="0"/>
        </w:rPr>
        <w:t>0,983</w:t>
      </w:r>
      <w:r>
        <w:rPr>
          <w:rFonts w:ascii="Palatino" w:hAnsi="Palatino"/>
          <w:b w:val="0"/>
          <w:i w:val="0"/>
        </w:rPr>
        <w:t xml:space="preserve"> — o índice recuou </w:t>
      </w:r>
      <w:r>
        <w:rPr>
          <w:rFonts w:ascii="Palatino" w:hAnsi="Palatino"/>
          <w:b/>
          <w:i w:val="0"/>
        </w:rPr>
        <w:t>0,024 ponto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jun-2026</w:t>
      </w:r>
      <w:r>
        <w:rPr>
          <w:rFonts w:ascii="Palatino" w:hAnsi="Palatino"/>
          <w:b w:val="0"/>
          <w:i w:val="0"/>
        </w:rPr>
        <w:t>. O movimento não foi disseminado: I e Q recuaram, enquanto C avançou e permaneceu no teto da escala normalizada.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Comprometimento de renda (C) passou de </w:t>
      </w:r>
      <w:r>
        <w:rPr>
          <w:rFonts w:ascii="Palatino" w:hAnsi="Palatino"/>
          <w:b/>
          <w:i w:val="0"/>
        </w:rPr>
        <w:t>28,5%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28,9%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Arial" w:hAnsi="Arial"/>
          <w:b/>
          <w:i w:val="0"/>
        </w:rPr>
        <w:t>+</w:t>
      </w:r>
      <w:r>
        <w:rPr>
          <w:rFonts w:ascii="Palatino" w:hAnsi="Palatino"/>
          <w:b/>
          <w:i w:val="0"/>
        </w:rPr>
        <w:t>0,4 p.p.</w:t>
      </w:r>
      <w:r>
        <w:rPr>
          <w:rFonts w:ascii="Palatino" w:hAnsi="Palatino"/>
          <w:b w:val="0"/>
          <w:i w:val="0"/>
        </w:rPr>
        <w:t xml:space="preserve">). O avanço levou C a um novo máximo da série bruta. Como o componente já estava no limite superior da normalização, permaneceu em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>, o pior posicionamento histórico observado.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Inadimplência (I) recuou de </w:t>
      </w:r>
      <w:r>
        <w:rPr>
          <w:rFonts w:ascii="Palatino" w:hAnsi="Palatino"/>
          <w:b/>
          <w:i w:val="0"/>
        </w:rPr>
        <w:t>7,5%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7,4%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i w:val="0"/>
        </w:rPr>
        <w:t>-0,1 p.p.</w:t>
      </w:r>
      <w:r>
        <w:rPr>
          <w:rFonts w:ascii="Palatino" w:hAnsi="Palatino"/>
          <w:b w:val="0"/>
          <w:i w:val="0"/>
        </w:rPr>
        <w:t xml:space="preserve">), e seu valor normalizado caiu de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0,971</w:t>
      </w:r>
      <w:r>
        <w:rPr>
          <w:rFonts w:ascii="Palatino" w:hAnsi="Palatino"/>
          <w:b w:val="0"/>
          <w:i w:val="0"/>
        </w:rPr>
        <w:t>. A taxa bruta ainda corresponde ao segundo maior nível do histórico observado.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Qualidade do crédito (Q) caiu de </w:t>
      </w:r>
      <w:r>
        <w:rPr>
          <w:rFonts w:ascii="Palatino" w:hAnsi="Palatino"/>
          <w:b/>
          <w:i w:val="0"/>
        </w:rPr>
        <w:t>24,8%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24,5%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i w:val="0"/>
        </w:rPr>
        <w:t>-0,3 p.p.</w:t>
      </w:r>
      <w:r>
        <w:rPr>
          <w:rFonts w:ascii="Palatino" w:hAnsi="Palatino"/>
          <w:b w:val="0"/>
          <w:i w:val="0"/>
        </w:rPr>
        <w:t xml:space="preserve">, com base nos valores não arredondados), e seu valor normalizado recuou de </w:t>
      </w:r>
      <w:r>
        <w:rPr>
          <w:rFonts w:ascii="Palatino" w:hAnsi="Palatino"/>
          <w:b/>
          <w:i w:val="0"/>
        </w:rPr>
        <w:t>0,950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0,907</w:t>
      </w:r>
      <w:r>
        <w:rPr>
          <w:rFonts w:ascii="Palatino" w:hAnsi="Palatino"/>
          <w:b w:val="0"/>
          <w:i w:val="0"/>
        </w:rPr>
        <w:t>. Essa foi a maior contribuição entre os componentes normalizados para a redução mensal do IDC.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Em conjunto, os dados sinalizam alívio moderado do desconforto agregado em </w:t>
      </w:r>
      <w:r>
        <w:rPr>
          <w:rFonts w:ascii="Palatino" w:hAnsi="Palatino"/>
          <w:b/>
          <w:i w:val="0"/>
        </w:rPr>
        <w:t>jun-2026</w:t>
      </w:r>
      <w:r>
        <w:rPr>
          <w:rFonts w:ascii="Palatino" w:hAnsi="Palatino"/>
          <w:b w:val="0"/>
          <w:i w:val="0"/>
        </w:rPr>
        <w:t>, concentrado nas reduções de I e Q. O IDC permaneceu, porém, entre os níveis mais elevados da série, com C no máximo histórico. O indicador mede posição relativa no histórico, e não uma medida absoluta de endividamento.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Revisões dos dados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A comparação das divulgações </w:t>
      </w:r>
      <w:r>
        <w:rPr>
          <w:rFonts w:ascii="Palatino" w:hAnsi="Palatino"/>
          <w:b/>
          <w:i w:val="0"/>
        </w:rPr>
        <w:t>202607</w:t>
      </w:r>
      <w:r>
        <w:rPr>
          <w:rFonts w:ascii="Palatino" w:hAnsi="Palatino"/>
          <w:b w:val="0"/>
          <w:i w:val="0"/>
        </w:rPr>
        <w:t xml:space="preserve"> e </w:t>
      </w:r>
      <w:r>
        <w:rPr>
          <w:rFonts w:ascii="Palatino" w:hAnsi="Palatino"/>
          <w:b/>
          <w:i w:val="0"/>
        </w:rPr>
        <w:t>202608</w:t>
      </w:r>
      <w:r>
        <w:rPr>
          <w:rFonts w:ascii="Palatino" w:hAnsi="Palatino"/>
          <w:b w:val="0"/>
          <w:i w:val="0"/>
        </w:rPr>
        <w:t xml:space="preserve"> identificou </w:t>
      </w:r>
      <w:r>
        <w:rPr>
          <w:rFonts w:ascii="Palatino" w:hAnsi="Palatino"/>
          <w:b/>
          <w:i w:val="0"/>
        </w:rPr>
        <w:t>19</w:t>
      </w:r>
      <w:r>
        <w:rPr>
          <w:rFonts w:ascii="Palatino" w:hAnsi="Palatino"/>
          <w:b w:val="0"/>
          <w:i w:val="0"/>
        </w:rPr>
        <w:t xml:space="preserve"> alterações em observações históricas. A inadimplência foi revista em </w:t>
      </w:r>
      <w:r>
        <w:rPr>
          <w:rFonts w:ascii="Palatino" w:hAnsi="Palatino"/>
          <w:b/>
          <w:i w:val="0"/>
        </w:rPr>
        <w:t>mai-2026</w:t>
      </w:r>
      <w:r>
        <w:rPr>
          <w:rFonts w:ascii="Palatino" w:hAnsi="Palatino"/>
          <w:b w:val="0"/>
          <w:i w:val="0"/>
        </w:rPr>
        <w:t xml:space="preserve"> e </w:t>
      </w:r>
      <w:r>
        <w:rPr>
          <w:rFonts w:ascii="Palatino" w:hAnsi="Palatino"/>
          <w:b/>
          <w:i w:val="0"/>
        </w:rPr>
        <w:t>jun-2026</w:t>
      </w:r>
      <w:r>
        <w:rPr>
          <w:rFonts w:ascii="Palatino" w:hAnsi="Palatino"/>
          <w:b w:val="0"/>
          <w:i w:val="0"/>
        </w:rPr>
        <w:t xml:space="preserve">; o crédito livre PF total, em </w:t>
      </w:r>
      <w:r>
        <w:rPr>
          <w:rFonts w:ascii="Palatino" w:hAnsi="Palatino"/>
          <w:b/>
          <w:i w:val="0"/>
        </w:rPr>
        <w:t>nov-2025</w:t>
      </w:r>
      <w:r>
        <w:rPr>
          <w:rFonts w:ascii="Palatino" w:hAnsi="Palatino"/>
          <w:b w:val="0"/>
          <w:i w:val="0"/>
        </w:rPr>
        <w:t xml:space="preserve">, </w:t>
      </w:r>
      <w:r>
        <w:rPr>
          <w:rFonts w:ascii="Palatino" w:hAnsi="Palatino"/>
          <w:b/>
          <w:i w:val="0"/>
        </w:rPr>
        <w:t>dez-2025</w:t>
      </w:r>
      <w:r>
        <w:rPr>
          <w:rFonts w:ascii="Palatino" w:hAnsi="Palatino"/>
          <w:b w:val="0"/>
          <w:i w:val="0"/>
        </w:rPr>
        <w:t xml:space="preserve">, </w:t>
      </w:r>
      <w:r>
        <w:rPr>
          <w:rFonts w:ascii="Palatino" w:hAnsi="Palatino"/>
          <w:b/>
          <w:i w:val="0"/>
        </w:rPr>
        <w:t>jan-2026</w:t>
      </w:r>
      <w:r>
        <w:rPr>
          <w:rFonts w:ascii="Palatino" w:hAnsi="Palatino"/>
          <w:b w:val="0"/>
          <w:i w:val="0"/>
        </w:rPr>
        <w:t xml:space="preserve">, </w:t>
      </w:r>
      <w:r>
        <w:rPr>
          <w:rFonts w:ascii="Palatino" w:hAnsi="Palatino"/>
          <w:b/>
          <w:i w:val="0"/>
        </w:rPr>
        <w:t>fev-2026</w:t>
      </w:r>
      <w:r>
        <w:rPr>
          <w:rFonts w:ascii="Palatino" w:hAnsi="Palatino"/>
          <w:b w:val="0"/>
          <w:i w:val="0"/>
        </w:rPr>
        <w:t xml:space="preserve">, </w:t>
      </w:r>
      <w:r>
        <w:rPr>
          <w:rFonts w:ascii="Palatino" w:hAnsi="Palatino"/>
          <w:b/>
          <w:i w:val="0"/>
        </w:rPr>
        <w:t>mar-2026</w:t>
      </w:r>
      <w:r>
        <w:rPr>
          <w:rFonts w:ascii="Palatino" w:hAnsi="Palatino"/>
          <w:b w:val="0"/>
          <w:i w:val="0"/>
        </w:rPr>
        <w:t xml:space="preserve">, </w:t>
      </w:r>
      <w:r>
        <w:rPr>
          <w:rFonts w:ascii="Palatino" w:hAnsi="Palatino"/>
          <w:b/>
          <w:i w:val="0"/>
        </w:rPr>
        <w:t>mai-2026</w:t>
      </w:r>
      <w:r>
        <w:rPr>
          <w:rFonts w:ascii="Palatino" w:hAnsi="Palatino"/>
          <w:b w:val="0"/>
          <w:i w:val="0"/>
        </w:rPr>
        <w:t xml:space="preserve"> e </w:t>
      </w:r>
      <w:r>
        <w:rPr>
          <w:rFonts w:ascii="Palatino" w:hAnsi="Palatino"/>
          <w:b/>
          <w:i w:val="0"/>
        </w:rPr>
        <w:t>jun-2026</w:t>
      </w:r>
      <w:r>
        <w:rPr>
          <w:rFonts w:ascii="Palatino" w:hAnsi="Palatino"/>
          <w:b w:val="0"/>
          <w:i w:val="0"/>
        </w:rPr>
        <w:t xml:space="preserve">; cheque especial, em </w:t>
      </w:r>
      <w:r>
        <w:rPr>
          <w:rFonts w:ascii="Palatino" w:hAnsi="Palatino"/>
          <w:b/>
          <w:i w:val="0"/>
        </w:rPr>
        <w:t>fev-2026</w:t>
      </w:r>
      <w:r>
        <w:rPr>
          <w:rFonts w:ascii="Palatino" w:hAnsi="Palatino"/>
          <w:b w:val="0"/>
          <w:i w:val="0"/>
        </w:rPr>
        <w:t xml:space="preserve">, </w:t>
      </w:r>
      <w:r>
        <w:rPr>
          <w:rFonts w:ascii="Palatino" w:hAnsi="Palatino"/>
          <w:b/>
          <w:i w:val="0"/>
        </w:rPr>
        <w:t>mai-2026</w:t>
      </w:r>
      <w:r>
        <w:rPr>
          <w:rFonts w:ascii="Palatino" w:hAnsi="Palatino"/>
          <w:b w:val="0"/>
          <w:i w:val="0"/>
        </w:rPr>
        <w:t xml:space="preserve"> e </w:t>
      </w:r>
      <w:r>
        <w:rPr>
          <w:rFonts w:ascii="Palatino" w:hAnsi="Palatino"/>
          <w:b/>
          <w:i w:val="0"/>
        </w:rPr>
        <w:t>jun-2026</w:t>
      </w:r>
      <w:r>
        <w:rPr>
          <w:rFonts w:ascii="Palatino" w:hAnsi="Palatino"/>
          <w:b w:val="0"/>
          <w:i w:val="0"/>
        </w:rPr>
        <w:t xml:space="preserve">; crédito pessoal não consignado, em </w:t>
      </w:r>
      <w:r>
        <w:rPr>
          <w:rFonts w:ascii="Palatino" w:hAnsi="Palatino"/>
          <w:b/>
          <w:i w:val="0"/>
        </w:rPr>
        <w:t>nov-2025</w:t>
      </w:r>
      <w:r>
        <w:rPr>
          <w:rFonts w:ascii="Palatino" w:hAnsi="Palatino"/>
          <w:b w:val="0"/>
          <w:i w:val="0"/>
        </w:rPr>
        <w:t xml:space="preserve">, </w:t>
      </w:r>
      <w:r>
        <w:rPr>
          <w:rFonts w:ascii="Palatino" w:hAnsi="Palatino"/>
          <w:b/>
          <w:i w:val="0"/>
        </w:rPr>
        <w:t>dez-2025</w:t>
      </w:r>
      <w:r>
        <w:rPr>
          <w:rFonts w:ascii="Palatino" w:hAnsi="Palatino"/>
          <w:b w:val="0"/>
          <w:i w:val="0"/>
        </w:rPr>
        <w:t xml:space="preserve">, </w:t>
      </w:r>
      <w:r>
        <w:rPr>
          <w:rFonts w:ascii="Palatino" w:hAnsi="Palatino"/>
          <w:b/>
          <w:i w:val="0"/>
        </w:rPr>
        <w:t>fev-2026</w:t>
      </w:r>
      <w:r>
        <w:rPr>
          <w:rFonts w:ascii="Palatino" w:hAnsi="Palatino"/>
          <w:b w:val="0"/>
          <w:i w:val="0"/>
        </w:rPr>
        <w:t xml:space="preserve">, </w:t>
      </w:r>
      <w:r>
        <w:rPr>
          <w:rFonts w:ascii="Palatino" w:hAnsi="Palatino"/>
          <w:b/>
          <w:i w:val="0"/>
        </w:rPr>
        <w:t>mai-2026</w:t>
      </w:r>
      <w:r>
        <w:rPr>
          <w:rFonts w:ascii="Palatino" w:hAnsi="Palatino"/>
          <w:b w:val="0"/>
          <w:i w:val="0"/>
        </w:rPr>
        <w:t xml:space="preserve"> e </w:t>
      </w:r>
      <w:r>
        <w:rPr>
          <w:rFonts w:ascii="Palatino" w:hAnsi="Palatino"/>
          <w:b/>
          <w:i w:val="0"/>
        </w:rPr>
        <w:t>jun-2026</w:t>
      </w:r>
      <w:r>
        <w:rPr>
          <w:rFonts w:ascii="Palatino" w:hAnsi="Palatino"/>
          <w:b w:val="0"/>
          <w:i w:val="0"/>
        </w:rPr>
        <w:t xml:space="preserve">; e cartões rotativo e parcelado, em </w:t>
      </w:r>
      <w:r>
        <w:rPr>
          <w:rFonts w:ascii="Palatino" w:hAnsi="Palatino"/>
          <w:b/>
          <w:i w:val="0"/>
        </w:rPr>
        <w:t>jun-2026</w:t>
      </w:r>
      <w:r>
        <w:rPr>
          <w:rFonts w:ascii="Palatino" w:hAnsi="Palatino"/>
          <w:b w:val="0"/>
          <w:i w:val="0"/>
        </w:rPr>
        <w:t>. C não foi revisto.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A Tabela </w:t>
      </w:r>
      <w:r>
        <w:rPr>
          <w:rFonts w:ascii="Palatino" w:hAnsi="Palatino"/>
          <w:b w:val="0"/>
          <w:i w:val="0"/>
        </w:rPr>
        <w:t>2</w:t>
      </w:r>
      <w:r>
        <w:rPr>
          <w:rFonts w:ascii="Palatino" w:hAnsi="Palatino"/>
          <w:b w:val="0"/>
          <w:i w:val="0"/>
        </w:rPr>
        <w:t xml:space="preserve"> apresenta todas as seis competências cujo IDC mudou; alterações brutas sem efeito no índice não aparecem na tabela.</w:t>
      </w:r>
    </w:p>
    <w:p>
      <w:pPr>
        <w:pStyle w:val="IDCCaption"/>
        <w:jc w:val="center"/>
      </w:pPr>
      <w:r>
        <w:rPr>
          <w:rFonts w:ascii="Palatino" w:hAnsi="Palatino"/>
          <w:b/>
          <w:sz w:val="21"/>
        </w:rPr>
        <w:t xml:space="preserve">Tabela 2. </w:t>
      </w:r>
      <w:r>
        <w:rPr>
          <w:rFonts w:ascii="Palatino" w:hAnsi="Palatino"/>
          <w:b w:val="0"/>
          <w:i/>
        </w:rPr>
        <w:t>IDC alterado pela revisão dos dados — divulgações 202607 e 202608.</w:t>
      </w:r>
    </w:p>
    <w:tbl>
      <w:tblPr>
        <w:tblW w:type="dxa" w:w="8504"/>
        <w:tblLayout w:type="fixed"/>
        <w:tblLook w:firstColumn="1" w:firstRow="1" w:lastColumn="0" w:lastRow="0" w:noHBand="0" w:noVBand="1" w:val="04A0"/>
        <w:tblInd w:w="80" w:type="dxa"/>
      </w:tblPr>
      <w:tblGrid>
        <w:gridCol w:w="1700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0"/>
              </w:rPr>
              <w:t>Competência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0"/>
              </w:rPr>
              <w:t>IDC na 202607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0"/>
              </w:rPr>
              <w:t>IDC na 202608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0"/>
              </w:rPr>
              <w:t>Revisão</w:t>
            </w:r>
          </w:p>
        </w:tc>
      </w:tr>
      <w:tr>
        <w:trPr>
          <w:cantSplit/>
        </w:trPr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0"/>
              </w:rPr>
              <w:t>nov-2025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0"/>
              </w:rPr>
              <w:t>0,961223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0"/>
              </w:rPr>
              <w:t>0,961093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0"/>
              </w:rPr>
              <w:t>-0,000130</w:t>
            </w:r>
          </w:p>
        </w:tc>
      </w:tr>
      <w:tr>
        <w:trPr>
          <w:cantSplit/>
        </w:trPr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0"/>
              </w:rPr>
              <w:t>dez-2025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0"/>
              </w:rPr>
              <w:t>0,962843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0"/>
              </w:rPr>
              <w:t>0,962738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0"/>
              </w:rPr>
              <w:t>-0,000105</w:t>
            </w:r>
          </w:p>
        </w:tc>
      </w:tr>
      <w:tr>
        <w:trPr>
          <w:cantSplit/>
        </w:trPr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0"/>
              </w:rPr>
              <w:t>jan-2026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0"/>
              </w:rPr>
              <w:t>0,995975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0"/>
              </w:rPr>
              <w:t>0,995927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0"/>
              </w:rPr>
              <w:t>-0,000048</w:t>
            </w:r>
          </w:p>
        </w:tc>
      </w:tr>
      <w:tr>
        <w:trPr>
          <w:cantSplit/>
        </w:trPr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0"/>
              </w:rPr>
              <w:t>mar-2026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0"/>
              </w:rPr>
              <w:t>0,960299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0"/>
              </w:rPr>
              <w:t>0,960371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i w:val="0"/>
                <w:sz w:val="20"/>
              </w:rPr>
              <w:t>+</w:t>
            </w:r>
            <w:r>
              <w:rPr>
                <w:rFonts w:ascii="Palatino" w:hAnsi="Palatino"/>
                <w:b w:val="0"/>
                <w:i w:val="0"/>
                <w:sz w:val="20"/>
              </w:rPr>
              <w:t>0,000072</w:t>
            </w:r>
          </w:p>
        </w:tc>
      </w:tr>
      <w:tr>
        <w:trPr>
          <w:cantSplit/>
        </w:trPr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0"/>
              </w:rPr>
              <w:t>abr-2026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0"/>
              </w:rPr>
              <w:t>0,990355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0"/>
              </w:rPr>
              <w:t>0,990431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i w:val="0"/>
                <w:sz w:val="20"/>
              </w:rPr>
              <w:t>+</w:t>
            </w:r>
            <w:r>
              <w:rPr>
                <w:rFonts w:ascii="Palatino" w:hAnsi="Palatino"/>
                <w:b w:val="0"/>
                <w:i w:val="0"/>
                <w:sz w:val="20"/>
              </w:rPr>
              <w:t>0,000077</w:t>
            </w:r>
          </w:p>
        </w:tc>
      </w:tr>
      <w:tr>
        <w:trPr>
          <w:cantSplit/>
        </w:trPr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0"/>
              </w:rPr>
              <w:t>mai-2026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0"/>
              </w:rPr>
              <w:t>0,981232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0"/>
              </w:rPr>
              <w:t>0,983233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i w:val="0"/>
                <w:sz w:val="20"/>
              </w:rPr>
              <w:t>+</w:t>
            </w:r>
            <w:r>
              <w:rPr>
                <w:rFonts w:ascii="Palatino" w:hAnsi="Palatino"/>
                <w:b w:val="0"/>
                <w:i w:val="0"/>
                <w:sz w:val="20"/>
              </w:rPr>
              <w:t>0,002001</w:t>
            </w:r>
          </w:p>
        </w:tc>
      </w:tr>
    </w:tbl>
    <w:p>
      <w:pPr>
        <w:pStyle w:val="IDCSource"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Banco Central do Brasil (Estatísticas Monetárias e de Crédito,</w:t>
        <w:br/>
        <w:t>divulgações 202607 e 202608), elaboração própria.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A maior revisão ocorreu em </w:t>
      </w:r>
      <w:r>
        <w:rPr>
          <w:rFonts w:ascii="Palatino" w:hAnsi="Palatino"/>
          <w:b/>
          <w:i w:val="0"/>
        </w:rPr>
        <w:t>mai-2026</w:t>
      </w:r>
      <w:r>
        <w:rPr>
          <w:rFonts w:ascii="Palatino" w:hAnsi="Palatino"/>
          <w:b w:val="0"/>
          <w:i w:val="0"/>
        </w:rPr>
        <w:t xml:space="preserve">, base da comparação mensal: I passou de </w:t>
      </w:r>
      <w:r>
        <w:rPr>
          <w:rFonts w:ascii="Palatino" w:hAnsi="Palatino"/>
          <w:b/>
          <w:i w:val="0"/>
        </w:rPr>
        <w:t>7,6%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7,5%</w:t>
      </w:r>
      <w:r>
        <w:rPr>
          <w:rFonts w:ascii="Palatino" w:hAnsi="Palatino"/>
          <w:b w:val="0"/>
          <w:i w:val="0"/>
        </w:rPr>
        <w:t xml:space="preserve">, embora permanecesse em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 normalizado; Q passou de </w:t>
      </w:r>
      <w:r>
        <w:rPr>
          <w:rFonts w:ascii="Palatino" w:hAnsi="Palatino"/>
          <w:b/>
          <w:i w:val="0"/>
        </w:rPr>
        <w:t>24,761307%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24,800783%</w:t>
      </w:r>
      <w:r>
        <w:rPr>
          <w:rFonts w:ascii="Palatino" w:hAnsi="Palatino"/>
          <w:b w:val="0"/>
          <w:i w:val="0"/>
        </w:rPr>
        <w:t xml:space="preserve">, e seu valor normalizado, de </w:t>
      </w:r>
      <w:r>
        <w:rPr>
          <w:rFonts w:ascii="Palatino" w:hAnsi="Palatino"/>
          <w:b/>
          <w:i w:val="0"/>
        </w:rPr>
        <w:t>0,943695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0,949699</w:t>
      </w:r>
      <w:r>
        <w:rPr>
          <w:rFonts w:ascii="Palatino" w:hAnsi="Palatino"/>
          <w:b w:val="0"/>
          <w:i w:val="0"/>
        </w:rPr>
        <w:t xml:space="preserve">; C não mudou. Assim, a variação mensal homogênea na safra </w:t>
      </w:r>
      <w:r>
        <w:rPr>
          <w:rFonts w:ascii="Palatino" w:hAnsi="Palatino"/>
          <w:b/>
          <w:i w:val="0"/>
        </w:rPr>
        <w:t>202608</w:t>
      </w:r>
      <w:r>
        <w:rPr>
          <w:rFonts w:ascii="Palatino" w:hAnsi="Palatino"/>
          <w:b w:val="0"/>
          <w:i w:val="0"/>
        </w:rPr>
        <w:t xml:space="preserve"> é de </w:t>
      </w:r>
      <w:r>
        <w:rPr>
          <w:rFonts w:ascii="Palatino" w:hAnsi="Palatino"/>
          <w:b/>
          <w:i w:val="0"/>
        </w:rPr>
        <w:t>-0,024030 ponto</w:t>
      </w:r>
      <w:r>
        <w:rPr>
          <w:rFonts w:ascii="Palatino" w:hAnsi="Palatino"/>
          <w:b w:val="0"/>
          <w:i w:val="0"/>
        </w:rPr>
        <w:t xml:space="preserve">; ante o valor de maio publicado na divulgação anterior, a diferença seria de </w:t>
      </w:r>
      <w:r>
        <w:rPr>
          <w:rFonts w:ascii="Palatino" w:hAnsi="Palatino"/>
          <w:b/>
          <w:i w:val="0"/>
        </w:rPr>
        <w:t>-0,022029 ponto</w:t>
      </w:r>
      <w:r>
        <w:rPr>
          <w:rFonts w:ascii="Palatino" w:hAnsi="Palatino"/>
          <w:b w:val="0"/>
          <w:i w:val="0"/>
        </w:rPr>
        <w:t>. Esta nota usa a primeira comparação.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Trajetória do índice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A Figura </w:t>
      </w:r>
      <w:r>
        <w:rPr>
          <w:rFonts w:ascii="Palatino" w:hAnsi="Palatino"/>
          <w:b w:val="0"/>
          <w:i w:val="0"/>
        </w:rPr>
        <w:t>1</w:t>
      </w:r>
      <w:r>
        <w:rPr>
          <w:rFonts w:ascii="Palatino" w:hAnsi="Palatino"/>
          <w:b w:val="0"/>
          <w:i w:val="0"/>
        </w:rPr>
        <w:t xml:space="preserve"> mostra que, após atingir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fev-2026</w:t>
      </w:r>
      <w:r>
        <w:rPr>
          <w:rFonts w:ascii="Palatino" w:hAnsi="Palatino"/>
          <w:b w:val="0"/>
          <w:i w:val="0"/>
        </w:rPr>
        <w:t xml:space="preserve">, o IDC passou a </w:t>
      </w:r>
      <w:r>
        <w:rPr>
          <w:rFonts w:ascii="Palatino" w:hAnsi="Palatino"/>
          <w:b/>
          <w:i w:val="0"/>
        </w:rPr>
        <w:t>0,960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mar-2026</w:t>
      </w:r>
      <w:r>
        <w:rPr>
          <w:rFonts w:ascii="Palatino" w:hAnsi="Palatino"/>
          <w:b w:val="0"/>
          <w:i w:val="0"/>
        </w:rPr>
        <w:t xml:space="preserve">, </w:t>
      </w:r>
      <w:r>
        <w:rPr>
          <w:rFonts w:ascii="Palatino" w:hAnsi="Palatino"/>
          <w:b/>
          <w:i w:val="0"/>
        </w:rPr>
        <w:t>0,990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abr-2026</w:t>
      </w:r>
      <w:r>
        <w:rPr>
          <w:rFonts w:ascii="Palatino" w:hAnsi="Palatino"/>
          <w:b w:val="0"/>
          <w:i w:val="0"/>
        </w:rPr>
        <w:t xml:space="preserve">, </w:t>
      </w:r>
      <w:r>
        <w:rPr>
          <w:rFonts w:ascii="Palatino" w:hAnsi="Palatino"/>
          <w:b/>
          <w:i w:val="0"/>
        </w:rPr>
        <w:t>0,983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mai-2026</w:t>
      </w:r>
      <w:r>
        <w:rPr>
          <w:rFonts w:ascii="Palatino" w:hAnsi="Palatino"/>
          <w:b w:val="0"/>
          <w:i w:val="0"/>
        </w:rPr>
        <w:t xml:space="preserve"> e </w:t>
      </w:r>
      <w:r>
        <w:rPr>
          <w:rFonts w:ascii="Palatino" w:hAnsi="Palatino"/>
          <w:b/>
          <w:i w:val="0"/>
        </w:rPr>
        <w:t>0,959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jun-2026</w:t>
      </w:r>
      <w:r>
        <w:rPr>
          <w:rFonts w:ascii="Palatino" w:hAnsi="Palatino"/>
          <w:b w:val="0"/>
          <w:i w:val="0"/>
        </w:rPr>
        <w:t xml:space="preserve">. A Figura </w:t>
      </w:r>
      <w:r>
        <w:rPr>
          <w:rFonts w:ascii="Palatino" w:hAnsi="Palatino"/>
          <w:b w:val="0"/>
          <w:i w:val="0"/>
        </w:rPr>
        <w:t>2</w:t>
      </w:r>
      <w:r>
        <w:rPr>
          <w:rFonts w:ascii="Palatino" w:hAnsi="Palatino"/>
          <w:b w:val="0"/>
          <w:i w:val="0"/>
        </w:rPr>
        <w:t xml:space="preserve"> evidencia que o recuo mais recente refletiu as quedas de I e Q, enquanto C avançou para um novo máximo bruto e permaneceu no teto normalizado de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>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Próxima atualização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>A próxima atualização é esperada para setembro de 2026; o IDC será estendido para jul-2026 caso a série de comprometimento de renda (SGS 29034) avance até lá.</w:t>
      </w:r>
    </w:p>
    <w:p>
      <w:pPr>
        <w:pStyle w:val="Heading1"/>
        <w:spacing w:before="240" w:after="80"/>
      </w:pPr>
      <w:r>
        <w:rPr>
          <w:rFonts w:ascii="Palatino" w:hAnsi="Palatino"/>
          <w:b w:val="0"/>
          <w:i w:val="0"/>
        </w:rPr>
        <w:t>Notas</w:t>
      </w:r>
    </w:p>
    <w:p>
      <w:pPr>
        <w:pStyle w:val="IDCNotes"/>
        <w:widowControl/>
        <w:spacing w:line="16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Sobre o IDC. O Índice de Desconforto de Crédito (IDC) é construído a partir de três séries do Sistema Gerenciador de Séries Temporais (SGS) do Banco Central do Brasil: comprometimento de renda das famílias com o serviço da dívida (SGS 29034), inadimplência da carteira de crédito livre PF — atrasos superiores a 90 dias (SGS 21112) — e participação das modalidades onerosas (cheque especial, SGS 20573; crédito pessoal não consignado, SGS 20574; cartão de crédito rotativo, SGS 20587; cartão de crédito parcelado, SGS 20588) no total do crédito livre para pessoa física (SGS 20570). Cada componente é normalizado pelo método min-max com janela expansiva, a partir de mar-2011; o índice é exibido a partir de jan-2014, após o período de aquecimento da janela, e corresponde à média simples dos três componentes normalizados, contido no intervalo [0, 1]. Por construção, o IDC mede a posição relativa do mês corrente em relação ao histórico observado pelo índice. O relatório de divulgação está disponível em </w:t>
      </w:r>
      <w:hyperlink r:id="rId16">
        <w:r>
          <w:rPr>
            <w:color w:val="555555"/>
            <w:u w:val="single"/>
            <w:rFonts w:ascii="Palatino" w:hAnsi="Palatino"/>
          </w:rPr>
          <w:t>https://eaesp.fgv.br/producao-intelectual/indice-desconforto-credito-idc</w:t>
        </w:r>
      </w:hyperlink>
      <w:r>
        <w:rPr>
          <w:rFonts w:ascii="Palatino" w:hAnsi="Palatino"/>
          <w:b w:val="0"/>
          <w:i w:val="0"/>
        </w:rPr>
        <w:t>.</w:t>
      </w:r>
    </w:p>
    <w:p>
      <w:pPr>
        <w:pStyle w:val="IDCNotes"/>
        <w:widowControl/>
        <w:spacing w:line="16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Citação recomendada. Gonzalez, L.; Carrijo, M. L.; Schiozer, R. </w:t>
      </w:r>
      <w:r>
        <w:rPr>
          <w:rFonts w:ascii="Palatino" w:hAnsi="Palatino"/>
          <w:b w:val="0"/>
          <w:i/>
        </w:rPr>
        <w:t>Índice de Desconforto de Crédito (IDC).</w:t>
      </w:r>
      <w:r>
        <w:rPr>
          <w:rFonts w:ascii="Palatino" w:hAnsi="Palatino"/>
          <w:b w:val="0"/>
          <w:i w:val="0"/>
        </w:rPr>
        <w:t xml:space="preserve"> FGVcemif/FGV-EAESP.</w:t>
      </w:r>
    </w:p>
    <w:p>
      <w:pPr>
        <w:pStyle w:val="Heading1"/>
        <w:pageBreakBefore/>
      </w:pPr>
      <w:r>
        <w:rPr>
          <w:rFonts w:ascii="Palatino" w:hAnsi="Palatino"/>
          <w:b w:val="0"/>
          <w:i w:val="0"/>
        </w:rPr>
        <w:t>Anexo de figuras</w:t>
      </w:r>
    </w:p>
    <w:p>
      <w:pPr>
        <w:keepNext/>
        <w:keepLines/>
        <w:spacing w:line="240" w:lineRule="auto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5400000"/>
            <wp:docPr id="2" name="Picture 2" descr="Evolução do Índice de Desconforto de Crédito (jan-2014 a jun-2026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DCCaption"/>
        <w:keepLines/>
        <w:jc w:val="center"/>
      </w:pPr>
      <w:r>
        <w:rPr>
          <w:rFonts w:ascii="Palatino" w:hAnsi="Palatino"/>
          <w:b/>
          <w:sz w:val="21"/>
        </w:rPr>
        <w:t xml:space="preserve">Figura 1. </w:t>
      </w:r>
      <w:r>
        <w:rPr>
          <w:rFonts w:ascii="Palatino" w:hAnsi="Palatino"/>
          <w:b w:val="0"/>
          <w:i/>
        </w:rPr>
        <w:t>Evolução do Índice de Desconforto de Crédito (jan-2014 a jun-2026).</w:t>
      </w:r>
    </w:p>
    <w:p>
      <w:pPr>
        <w:pStyle w:val="IDCSource"/>
        <w:keepLines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BCB, elaboração própria.</w:t>
      </w:r>
    </w:p>
    <w:p>
      <w:r>
        <w:br w:type="page"/>
      </w:r>
    </w:p>
    <w:p>
      <w:pPr>
        <w:keepNext/>
        <w:keepLines/>
        <w:spacing w:line="240" w:lineRule="auto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6167603"/>
            <wp:docPr id="3" name="Picture 3" descr="Evolução das componentes brutas C, I e Q (mar-2011 a jun-2026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_ra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67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DCCaption"/>
        <w:keepLines/>
        <w:jc w:val="center"/>
      </w:pPr>
      <w:r>
        <w:rPr>
          <w:rFonts w:ascii="Palatino" w:hAnsi="Palatino"/>
          <w:b/>
          <w:sz w:val="21"/>
        </w:rPr>
        <w:t xml:space="preserve">Figura 2. </w:t>
      </w:r>
      <w:r>
        <w:rPr>
          <w:rFonts w:ascii="Palatino" w:hAnsi="Palatino"/>
          <w:b w:val="0"/>
          <w:i/>
        </w:rPr>
        <w:t>Evolução das componentes brutas C, I e Q (mar-2011 a jun-2026).</w:t>
      </w:r>
    </w:p>
    <w:p>
      <w:pPr>
        <w:pStyle w:val="IDCSource"/>
        <w:keepLines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BCB, elaboração própria.</w:t>
      </w:r>
    </w:p>
    <w:sectPr w:rsidR="00FC693F" w:rsidRPr="0006063C" w:rsidSect="00034616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17" w:right="1701" w:bottom="1417" w:left="1701" w:header="567" w:footer="567" w:gutter="0"/>
      <w:cols w:space="720"/>
      <w:titlePg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Palatino" w:hAnsi="Palatino"/>
        <w:b w:val="0"/>
        <w:i w:val="0"/>
        <w:sz w:val="22"/>
      </w:rPr>
      <w:t>31 de agosto de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Palatino" w:hAnsi="Palatino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Palatino" w:hAnsi="Palatino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IDCHeader"/>
      <w:tabs>
        <w:tab w:pos="8504" w:val="right"/>
      </w:tabs>
      <w:pBdr>
        <w:bottom w:val="single" w:sz="4" w:space="1" w:color="BFBFBF"/>
      </w:pBdr>
    </w:pPr>
    <w:r>
      <w:rPr>
        <w:rFonts w:ascii="Palatino" w:hAnsi="Palatino"/>
        <w:b w:val="0"/>
        <w:i/>
      </w:rPr>
      <w:t>Índice de Desconforto de Crédito</w:t>
    </w:r>
    <w:r>
      <w:tab/>
    </w:r>
    <w:r>
      <w:rPr>
        <w:rFonts w:ascii="Palatino" w:hAnsi="Palatino"/>
        <w:b w:val="0"/>
        <w:i/>
      </w:rPr>
      <w:t>FGVcemif / FGV-EAESP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pBdr>
        <w:bottom w:val="single" w:sz="4" w:space="1" w:color="BFBFBF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  <w:rPr>
        <w:rFonts w:ascii="Palatino" w:hAnsi="Palatino"/>
        <w:b/>
      </w:rPr>
    </w:lvl>
  </w:abstractNum>
  <w:abstractNum w:abstractNumId="10">
    <w:multiLevelType w:val="singleLevel"/>
    <w:lvl w:ilvl="0">
      <w:start w:val="1"/>
      <w:numFmt w:val="bullet"/>
      <w:suff w:val="tab"/>
      <w:lvlText w:val="•"/>
      <w:lvlJc w:val="left"/>
      <w:pPr>
        <w:ind w:left="720" w:hanging="360"/>
      </w:pPr>
      <w:rPr>
        <w:rFonts w:ascii="Palatino" w:hAnsi="Palatino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exact" w:before="0" w:after="0"/>
    </w:pPr>
    <w:rPr>
      <w:rFonts w:ascii="Palatino" w:hAnsi="Palatino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Palatino" w:hAnsi="Palatino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DCCaption">
    <w:name w:val="IDC Caption"/>
    <w:pPr>
      <w:keepNext/>
      <w:spacing w:before="0" w:after="80"/>
    </w:pPr>
    <w:rPr>
      <w:rFonts w:ascii="Palatino" w:hAnsi="Palatino"/>
      <w:i/>
      <w:color w:val="000000"/>
      <w:sz w:val="21"/>
    </w:rPr>
  </w:style>
  <w:style w:type="paragraph" w:customStyle="1" w:styleId="IDCSource">
    <w:name w:val="IDC Source"/>
    <w:pPr>
      <w:keepNext w:val="0"/>
      <w:spacing w:before="0" w:after="160"/>
    </w:pPr>
    <w:rPr>
      <w:rFonts w:ascii="Palatino" w:hAnsi="Palatino"/>
      <w:i/>
      <w:color w:val="000000"/>
      <w:sz w:val="19"/>
    </w:rPr>
  </w:style>
  <w:style w:type="paragraph" w:customStyle="1" w:styleId="IDCHeader">
    <w:name w:val="IDC Header"/>
    <w:pPr>
      <w:keepNext w:val="0"/>
      <w:spacing w:before="0" w:after="160"/>
    </w:pPr>
    <w:rPr>
      <w:rFonts w:ascii="Palatino" w:hAnsi="Palatino"/>
      <w:i/>
      <w:color w:val="000000"/>
      <w:sz w:val="18"/>
    </w:rPr>
  </w:style>
  <w:style w:type="paragraph" w:customStyle="1" w:styleId="IDCNotes">
    <w:name w:val="IDC Notes"/>
    <w:pPr>
      <w:spacing w:line="160" w:lineRule="exact" w:before="0" w:after="0"/>
    </w:pPr>
    <w:rPr>
      <w:rFonts w:ascii="Palatino" w:hAnsi="Palatino"/>
      <w:color w:val="000000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eaesp.fgv.br/producao-intelectual/indice-desconforto-credito-idc" TargetMode="External"/><Relationship Id="rId17" Type="http://schemas.openxmlformats.org/officeDocument/2006/relationships/image" Target="media/image2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de Desconforto de Crédito</dc:title>
  <dc:subject>Nota Técnica de Atualização do IDC</dc:subject>
  <dc:creator>Lauro Gonzalez; Matheus L. Carrijo; Rafael Schiozer</dc:creator>
  <cp:keywords>crédito, endividamento, Brasil, BCB, FGV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