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020"/>
        <w:jc w:val="right"/>
      </w:pPr>
      <w:r>
        <w:drawing>
          <wp:inline xmlns:a="http://schemas.openxmlformats.org/drawingml/2006/main" xmlns:pic="http://schemas.openxmlformats.org/drawingml/2006/picture">
            <wp:extent cx="2844000" cy="723927"/>
            <wp:docPr id="1" name="Picture 1" descr="Logotipo FGV EAESP e FGVcem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72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80" w:after="170"/>
        <w:jc w:val="center"/>
      </w:pPr>
      <w:r>
        <w:rPr>
          <w:rFonts w:ascii="Palatino" w:hAnsi="Palatino"/>
          <w:b/>
          <w:sz w:val="34"/>
        </w:rPr>
        <w:t>Índice de Desconforto de Crédito</w:t>
      </w:r>
    </w:p>
    <w:p>
      <w:pPr>
        <w:spacing w:after="680"/>
        <w:jc w:val="center"/>
      </w:pPr>
      <w:r>
        <w:rPr>
          <w:rFonts w:ascii="Palatino" w:hAnsi="Palatino"/>
          <w:b w:val="0"/>
          <w:i/>
          <w:sz w:val="24"/>
        </w:rPr>
        <w:t>Nota Técnica de Atualização — Divulgação julho de 2026; competência maio de 2026</w:t>
      </w:r>
    </w:p>
    <w:p>
      <w:pPr>
        <w:spacing w:line="276" w:lineRule="auto"/>
        <w:jc w:val="right"/>
      </w:pPr>
      <w:r>
        <w:rPr>
          <w:rFonts w:ascii="Palatino" w:hAnsi="Palatino"/>
          <w:sz w:val="24"/>
        </w:rPr>
        <w:t>Lauro Gonzalez</w:t>
      </w:r>
      <w:r>
        <w:br/>
      </w:r>
      <w:r>
        <w:rPr>
          <w:rFonts w:ascii="Palatino" w:hAnsi="Palatino"/>
          <w:sz w:val="24"/>
        </w:rPr>
        <w:t>Matheus L. Carrijo</w:t>
      </w:r>
      <w:r>
        <w:br/>
      </w:r>
      <w:r>
        <w:rPr>
          <w:rFonts w:ascii="Palatino" w:hAnsi="Palatino"/>
          <w:sz w:val="24"/>
        </w:rPr>
        <w:t>Rafael Schiozer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701" w:bottom="1417" w:left="1701" w:header="567" w:footer="567" w:gutter="0"/>
          <w:cols w:space="720"/>
          <w:docGrid w:linePitch="360"/>
        </w:sectPr>
      </w:pP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>Resumo</w:t>
      </w:r>
    </w:p>
    <w:p>
      <w:pPr>
        <w:widowControl/>
        <w:spacing w:line="30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>Com a publicação, em julho de 2026, das Estatísticas Monetárias e de Crédito do Banco Central do Brasil (competência 202607), o Índice de Desconforto de Crédito (IDC) foi recalculado e estendido até maio de 2026 — último mês para o qual há observação disponível da série de comprometimento de renda das famílias (SGS 29034), que delimita o horizonte de cálculo do índice.</w:t>
      </w:r>
    </w:p>
    <w:p>
      <w:pPr>
        <w:widowControl/>
        <w:spacing w:line="30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 xml:space="preserve">Em </w:t>
      </w:r>
      <w:r>
        <w:rPr>
          <w:rFonts w:ascii="Palatino" w:hAnsi="Palatino"/>
          <w:b/>
          <w:i w:val="0"/>
        </w:rPr>
        <w:t>mai-2026</w:t>
      </w:r>
      <w:r>
        <w:rPr>
          <w:rFonts w:ascii="Palatino" w:hAnsi="Palatino"/>
          <w:b w:val="0"/>
          <w:i w:val="0"/>
        </w:rPr>
        <w:t xml:space="preserve">, o IDC alcançou </w:t>
      </w:r>
      <w:r>
        <w:rPr>
          <w:rFonts w:ascii="Palatino" w:hAnsi="Palatino"/>
          <w:b/>
          <w:i w:val="0"/>
        </w:rPr>
        <w:t>0,981</w:t>
      </w:r>
      <w:r>
        <w:rPr>
          <w:rFonts w:ascii="Palatino" w:hAnsi="Palatino"/>
          <w:b w:val="0"/>
          <w:i w:val="0"/>
        </w:rPr>
        <w:t xml:space="preserve">, o quarto maior valor das </w:t>
      </w:r>
      <w:r>
        <w:rPr>
          <w:rFonts w:ascii="Palatino" w:hAnsi="Palatino"/>
          <w:b/>
          <w:i w:val="0"/>
        </w:rPr>
        <w:t>149</w:t>
      </w:r>
      <w:r>
        <w:rPr>
          <w:rFonts w:ascii="Palatino" w:hAnsi="Palatino"/>
          <w:b w:val="0"/>
          <w:i w:val="0"/>
        </w:rPr>
        <w:t xml:space="preserve"> observações válidas e próximo do máximo histórico de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 xml:space="preserve">. Na escala normalizada, em que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 xml:space="preserve"> representa o pior resultado e </w:t>
      </w:r>
      <w:r>
        <w:rPr>
          <w:rFonts w:ascii="Palatino" w:hAnsi="Palatino"/>
          <w:b/>
          <w:i w:val="0"/>
        </w:rPr>
        <w:t>0,000</w:t>
      </w:r>
      <w:r>
        <w:rPr>
          <w:rFonts w:ascii="Palatino" w:hAnsi="Palatino"/>
          <w:b w:val="0"/>
          <w:i w:val="0"/>
        </w:rPr>
        <w:t xml:space="preserve"> o melhor resultado do histórico observado, comprometimento de renda e inadimplência ficaram em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 xml:space="preserve">, enquanto qualidade do crédito marcou </w:t>
      </w:r>
      <w:r>
        <w:rPr>
          <w:rFonts w:ascii="Palatino" w:hAnsi="Palatino"/>
          <w:b/>
          <w:i w:val="0"/>
        </w:rPr>
        <w:t>0,944</w:t>
      </w:r>
      <w:r>
        <w:rPr>
          <w:rFonts w:ascii="Palatino" w:hAnsi="Palatino"/>
          <w:b w:val="0"/>
          <w:i w:val="0"/>
        </w:rPr>
        <w:t>.</w:t>
      </w: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>Resultados de maio de 2026</w:t>
      </w:r>
    </w:p>
    <w:p>
      <w:pPr>
        <w:pStyle w:val="IDCCaption"/>
        <w:jc w:val="center"/>
      </w:pPr>
      <w:r>
        <w:rPr>
          <w:rFonts w:ascii="Palatino" w:hAnsi="Palatino"/>
          <w:b/>
          <w:sz w:val="21"/>
        </w:rPr>
        <w:t xml:space="preserve">Tabela 1. </w:t>
      </w:r>
      <w:r>
        <w:rPr>
          <w:rFonts w:ascii="Palatino" w:hAnsi="Palatino"/>
          <w:b w:val="0"/>
          <w:i/>
        </w:rPr>
        <w:t>Componentes brutos e valores normalizados do IDC — mai-2026.</w:t>
      </w:r>
    </w:p>
    <w:tbl>
      <w:tblPr>
        <w:tblW w:type="dxa" w:w="8504"/>
        <w:tblLayout w:type="fixed"/>
        <w:tblLook w:firstColumn="1" w:firstRow="1" w:lastColumn="0" w:lastRow="0" w:noHBand="0" w:noVBand="1" w:val="04A0"/>
        <w:tblInd w:w="80" w:type="dxa"/>
      </w:tblPr>
      <w:tblGrid>
        <w:gridCol w:w="4535"/>
        <w:gridCol w:w="1700"/>
        <w:gridCol w:w="2269"/>
      </w:tblGrid>
      <w:tr>
        <w:trPr>
          <w:cantSplit/>
          <w:tblHeader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Indicador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Valor bruto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Valor normalizado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IDC (média dos componentes normalizados)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/>
                <w:i w:val="0"/>
                <w:sz w:val="21"/>
              </w:rPr>
              <w:t>0,981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C — Comprometimento de renda das famílias com a dívida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28,5%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1,000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I — Inadimplência da carteira de crédito livre PF (90</w:t>
            </w:r>
            <w:r>
              <w:rPr>
                <w:rFonts w:ascii="Arial" w:hAnsi="Arial"/>
                <w:b w:val="0"/>
                <w:i w:val="0"/>
                <w:sz w:val="21"/>
              </w:rPr>
              <w:t>+</w:t>
            </w:r>
            <w:r>
              <w:rPr>
                <w:rFonts w:ascii="Palatino" w:hAnsi="Palatino"/>
                <w:b w:val="0"/>
                <w:i w:val="0"/>
                <w:sz w:val="21"/>
              </w:rPr>
              <w:t xml:space="preserve"> dias)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7,6%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1,000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Q — Participação das modalidades onerosas no crédito livre PF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24,8%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0,944</w:t>
            </w:r>
          </w:p>
        </w:tc>
      </w:tr>
    </w:tbl>
    <w:p>
      <w:pPr>
        <w:pStyle w:val="IDCSource"/>
        <w:jc w:val="center"/>
      </w:pPr>
      <w:r>
        <w:rPr>
          <w:rFonts w:ascii="Palatino" w:hAnsi="Palatino"/>
          <w:i/>
          <w:sz w:val="19"/>
        </w:rPr>
        <w:t xml:space="preserve">Fonte: </w:t>
      </w:r>
      <w:r>
        <w:rPr>
          <w:rFonts w:ascii="Palatino" w:hAnsi="Palatino"/>
          <w:b w:val="0"/>
          <w:i/>
        </w:rPr>
        <w:t>Banco Central do Brasil (Estatísticas Monetárias e de Crédito,</w:t>
        <w:br/>
        <w:t>divulgação 202607), elaboração própria.</w:t>
      </w:r>
    </w:p>
    <w:p>
      <w:pPr>
        <w:widowControl/>
        <w:spacing w:line="30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 xml:space="preserve">Em relação à observação imediatamente anterior — </w:t>
      </w:r>
      <w:r>
        <w:rPr>
          <w:rFonts w:ascii="Palatino" w:hAnsi="Palatino"/>
          <w:b/>
          <w:i w:val="0"/>
        </w:rPr>
        <w:t>abr-2026</w:t>
      </w:r>
      <w:r>
        <w:rPr>
          <w:rFonts w:ascii="Palatino" w:hAnsi="Palatino"/>
          <w:b w:val="0"/>
          <w:i w:val="0"/>
        </w:rPr>
        <w:t xml:space="preserve">, quando o IDC marcava </w:t>
      </w:r>
      <w:r>
        <w:rPr>
          <w:rFonts w:ascii="Palatino" w:hAnsi="Palatino"/>
          <w:b/>
          <w:i w:val="0"/>
        </w:rPr>
        <w:t>0,990</w:t>
      </w:r>
      <w:r>
        <w:rPr>
          <w:rFonts w:ascii="Palatino" w:hAnsi="Palatino"/>
          <w:b w:val="0"/>
          <w:i w:val="0"/>
        </w:rPr>
        <w:t xml:space="preserve"> — o índice recuou </w:t>
      </w:r>
      <w:r>
        <w:rPr>
          <w:rFonts w:ascii="Palatino" w:hAnsi="Palatino"/>
          <w:b/>
          <w:i w:val="0"/>
        </w:rPr>
        <w:t>0,009 ponto</w:t>
      </w:r>
      <w:r>
        <w:rPr>
          <w:rFonts w:ascii="Palatino" w:hAnsi="Palatino"/>
          <w:b w:val="0"/>
          <w:i w:val="0"/>
        </w:rPr>
        <w:t xml:space="preserve"> em </w:t>
      </w:r>
      <w:r>
        <w:rPr>
          <w:rFonts w:ascii="Palatino" w:hAnsi="Palatino"/>
          <w:b/>
          <w:i w:val="0"/>
        </w:rPr>
        <w:t>mai-2026</w:t>
      </w:r>
      <w:r>
        <w:rPr>
          <w:rFonts w:ascii="Palatino" w:hAnsi="Palatino"/>
          <w:b w:val="0"/>
          <w:i w:val="0"/>
        </w:rPr>
        <w:t>. O movimento não foi disseminado: o recuo resultou da queda de Q, enquanto C e I avançaram.</w:t>
      </w:r>
    </w:p>
    <w:p>
      <w:pPr>
        <w:numPr>
          <w:ilvl w:val="0"/>
          <w:numId w:val="11"/>
        </w:numPr>
        <w:widowControl/>
        <w:spacing w:line="300" w:lineRule="exact" w:before="60" w:after="0"/>
        <w:ind w:left="454" w:firstLine="0"/>
        <w:jc w:val="both"/>
      </w:pPr>
      <w:r>
        <w:rPr>
          <w:rFonts w:ascii="Palatino" w:hAnsi="Palatino"/>
          <w:b w:val="0"/>
          <w:i w:val="0"/>
        </w:rPr>
        <w:t xml:space="preserve">Comprometimento de renda (C) passou de </w:t>
      </w:r>
      <w:r>
        <w:rPr>
          <w:rFonts w:ascii="Palatino" w:hAnsi="Palatino"/>
          <w:b/>
          <w:i w:val="0"/>
        </w:rPr>
        <w:t>28,4%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i w:val="0"/>
        </w:rPr>
        <w:t>28,5%</w:t>
      </w:r>
      <w:r>
        <w:rPr>
          <w:rFonts w:ascii="Palatino" w:hAnsi="Palatino"/>
          <w:b w:val="0"/>
          <w:i w:val="0"/>
        </w:rPr>
        <w:t xml:space="preserve"> (</w:t>
      </w:r>
      <w:r>
        <w:rPr>
          <w:rFonts w:ascii="Arial" w:hAnsi="Arial"/>
          <w:b/>
          <w:i w:val="0"/>
        </w:rPr>
        <w:t>+</w:t>
      </w:r>
      <w:r>
        <w:rPr>
          <w:rFonts w:ascii="Palatino" w:hAnsi="Palatino"/>
          <w:b/>
          <w:i w:val="0"/>
        </w:rPr>
        <w:t>0,1 p.p.</w:t>
      </w:r>
      <w:r>
        <w:rPr>
          <w:rFonts w:ascii="Palatino" w:hAnsi="Palatino"/>
          <w:b w:val="0"/>
          <w:i w:val="0"/>
        </w:rPr>
        <w:t xml:space="preserve">). O acréscimo levou C ao máximo da série iniciada em </w:t>
      </w:r>
      <w:r>
        <w:rPr>
          <w:rFonts w:ascii="Palatino" w:hAnsi="Palatino"/>
          <w:b/>
          <w:i w:val="0"/>
        </w:rPr>
        <w:t>mar-2011</w:t>
      </w:r>
      <w:r>
        <w:rPr>
          <w:rFonts w:ascii="Palatino" w:hAnsi="Palatino"/>
          <w:b w:val="0"/>
          <w:i w:val="0"/>
        </w:rPr>
        <w:t xml:space="preserve"> e manteve seu valor normalizado em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 xml:space="preserve">. Na escala de </w:t>
      </w:r>
      <w:r>
        <w:rPr>
          <w:rFonts w:ascii="Palatino" w:hAnsi="Palatino"/>
          <w:b/>
          <w:i w:val="0"/>
        </w:rPr>
        <w:t>0,000</w:t>
      </w:r>
      <w:r>
        <w:rPr>
          <w:rFonts w:ascii="Palatino" w:hAnsi="Palatino"/>
          <w:b w:val="0"/>
          <w:i w:val="0"/>
        </w:rPr>
        <w:t xml:space="preserve"> a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>, esse é o pior posicionamento histórico observado para o componente.</w:t>
      </w:r>
    </w:p>
    <w:p>
      <w:pPr>
        <w:numPr>
          <w:ilvl w:val="0"/>
          <w:numId w:val="11"/>
        </w:numPr>
        <w:widowControl/>
        <w:spacing w:line="300" w:lineRule="exact" w:before="60" w:after="0"/>
        <w:ind w:left="454" w:firstLine="0"/>
        <w:jc w:val="both"/>
      </w:pPr>
      <w:r>
        <w:rPr>
          <w:rFonts w:ascii="Palatino" w:hAnsi="Palatino"/>
          <w:b w:val="0"/>
          <w:i w:val="0"/>
        </w:rPr>
        <w:t xml:space="preserve">Inadimplência (I) avançou de </w:t>
      </w:r>
      <w:r>
        <w:rPr>
          <w:rFonts w:ascii="Palatino" w:hAnsi="Palatino"/>
          <w:b/>
          <w:i w:val="0"/>
        </w:rPr>
        <w:t>7,4%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i w:val="0"/>
        </w:rPr>
        <w:t>7,6%</w:t>
      </w:r>
      <w:r>
        <w:rPr>
          <w:rFonts w:ascii="Palatino" w:hAnsi="Palatino"/>
          <w:b w:val="0"/>
          <w:i w:val="0"/>
        </w:rPr>
        <w:t xml:space="preserve"> (</w:t>
      </w:r>
      <w:r>
        <w:rPr>
          <w:rFonts w:ascii="Arial" w:hAnsi="Arial"/>
          <w:b/>
          <w:i w:val="0"/>
        </w:rPr>
        <w:t>+</w:t>
      </w:r>
      <w:r>
        <w:rPr>
          <w:rFonts w:ascii="Palatino" w:hAnsi="Palatino"/>
          <w:b/>
          <w:i w:val="0"/>
        </w:rPr>
        <w:t>0,2 p.p.</w:t>
      </w:r>
      <w:r>
        <w:rPr>
          <w:rFonts w:ascii="Palatino" w:hAnsi="Palatino"/>
          <w:b w:val="0"/>
          <w:i w:val="0"/>
        </w:rPr>
        <w:t xml:space="preserve">). A alta também levou I ao máximo da série bruta e ao valor normalizado de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>. Esse é o pior posicionamento histórico observado para o componente.</w:t>
      </w:r>
    </w:p>
    <w:p>
      <w:pPr>
        <w:numPr>
          <w:ilvl w:val="0"/>
          <w:numId w:val="11"/>
        </w:numPr>
        <w:widowControl/>
        <w:spacing w:line="300" w:lineRule="exact" w:before="60" w:after="0"/>
        <w:ind w:left="454" w:firstLine="0"/>
        <w:jc w:val="both"/>
      </w:pPr>
      <w:r>
        <w:rPr>
          <w:rFonts w:ascii="Palatino" w:hAnsi="Palatino"/>
          <w:b w:val="0"/>
          <w:i w:val="0"/>
        </w:rPr>
        <w:t xml:space="preserve">Qualidade do crédito (Q) caiu de </w:t>
      </w:r>
      <w:r>
        <w:rPr>
          <w:rFonts w:ascii="Palatino" w:hAnsi="Palatino"/>
          <w:b/>
          <w:i w:val="0"/>
        </w:rPr>
        <w:t>24,9%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i w:val="0"/>
        </w:rPr>
        <w:t>24,8%</w:t>
      </w:r>
      <w:r>
        <w:rPr>
          <w:rFonts w:ascii="Palatino" w:hAnsi="Palatino"/>
          <w:b w:val="0"/>
          <w:i w:val="0"/>
        </w:rPr>
        <w:t xml:space="preserve"> (</w:t>
      </w:r>
      <w:r>
        <w:rPr>
          <w:rFonts w:ascii="Palatino" w:hAnsi="Palatino"/>
          <w:b/>
          <w:i w:val="0"/>
        </w:rPr>
        <w:t>-0,2 p.p.</w:t>
      </w:r>
      <w:r>
        <w:rPr>
          <w:rFonts w:ascii="Palatino" w:hAnsi="Palatino"/>
          <w:b w:val="0"/>
          <w:i w:val="0"/>
        </w:rPr>
        <w:t xml:space="preserve">). O valor normalizado recuou de </w:t>
      </w:r>
      <w:r>
        <w:rPr>
          <w:rFonts w:ascii="Palatino" w:hAnsi="Palatino"/>
          <w:b/>
          <w:i w:val="0"/>
        </w:rPr>
        <w:t>0,971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i w:val="0"/>
        </w:rPr>
        <w:t>0,944</w:t>
      </w:r>
      <w:r>
        <w:rPr>
          <w:rFonts w:ascii="Palatino" w:hAnsi="Palatino"/>
          <w:b w:val="0"/>
          <w:i w:val="0"/>
        </w:rPr>
        <w:t xml:space="preserve">, afastando-se do máximo de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 xml:space="preserve">, registrado em </w:t>
      </w:r>
      <w:r>
        <w:rPr>
          <w:rFonts w:ascii="Palatino" w:hAnsi="Palatino"/>
          <w:b/>
          <w:i w:val="0"/>
        </w:rPr>
        <w:t>fev-2026</w:t>
      </w:r>
      <w:r>
        <w:rPr>
          <w:rFonts w:ascii="Palatino" w:hAnsi="Palatino"/>
          <w:b w:val="0"/>
          <w:i w:val="0"/>
        </w:rPr>
        <w:t>. Ainda assim, Q permaneceu próximo do extremo superior de sua faixa histórica.</w:t>
      </w:r>
    </w:p>
    <w:p>
      <w:pPr>
        <w:widowControl/>
        <w:spacing w:line="30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 xml:space="preserve">Com C e I no teto de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 xml:space="preserve"> da escala normalizada, Q foi o único componente a se mover na agregação e determinou o pequeno recuo do IDC. O indicador mede a posição relativa do desconforto de crédito, não uma medida absoluta de endividamento.</w:t>
      </w: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>Revisões dos dados</w:t>
      </w:r>
    </w:p>
    <w:p>
      <w:pPr>
        <w:widowControl/>
        <w:spacing w:line="30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 xml:space="preserve">A comparação das divulgações </w:t>
      </w:r>
      <w:r>
        <w:rPr>
          <w:rFonts w:ascii="Palatino" w:hAnsi="Palatino"/>
          <w:b/>
          <w:i w:val="0"/>
        </w:rPr>
        <w:t>202606</w:t>
      </w:r>
      <w:r>
        <w:rPr>
          <w:rFonts w:ascii="Palatino" w:hAnsi="Palatino"/>
          <w:b w:val="0"/>
          <w:i w:val="0"/>
        </w:rPr>
        <w:t xml:space="preserve"> e </w:t>
      </w:r>
      <w:r>
        <w:rPr>
          <w:rFonts w:ascii="Palatino" w:hAnsi="Palatino"/>
          <w:b/>
          <w:i w:val="0"/>
        </w:rPr>
        <w:t>202607</w:t>
      </w:r>
      <w:r>
        <w:rPr>
          <w:rFonts w:ascii="Palatino" w:hAnsi="Palatino"/>
          <w:b w:val="0"/>
          <w:i w:val="0"/>
        </w:rPr>
        <w:t xml:space="preserve"> identificou revisões em observações já publicadas. Em C, </w:t>
      </w:r>
      <w:r>
        <w:rPr>
          <w:rFonts w:ascii="Palatino" w:hAnsi="Palatino"/>
          <w:b/>
          <w:i w:val="0"/>
        </w:rPr>
        <w:t>jan-2026</w:t>
      </w:r>
      <w:r>
        <w:rPr>
          <w:rFonts w:ascii="Palatino" w:hAnsi="Palatino"/>
          <w:b w:val="0"/>
          <w:i w:val="0"/>
        </w:rPr>
        <w:t xml:space="preserve"> passou de </w:t>
      </w:r>
      <w:r>
        <w:rPr>
          <w:rFonts w:ascii="Palatino" w:hAnsi="Palatino"/>
          <w:b/>
          <w:i w:val="0"/>
        </w:rPr>
        <w:t>28,3%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i w:val="0"/>
        </w:rPr>
        <w:t>28,2%</w:t>
      </w:r>
      <w:r>
        <w:rPr>
          <w:rFonts w:ascii="Palatino" w:hAnsi="Palatino"/>
          <w:b w:val="0"/>
          <w:i w:val="0"/>
        </w:rPr>
        <w:t xml:space="preserve"> e </w:t>
      </w:r>
      <w:r>
        <w:rPr>
          <w:rFonts w:ascii="Palatino" w:hAnsi="Palatino"/>
          <w:b/>
          <w:i w:val="0"/>
        </w:rPr>
        <w:t>abr-2026</w:t>
      </w:r>
      <w:r>
        <w:rPr>
          <w:rFonts w:ascii="Palatino" w:hAnsi="Palatino"/>
          <w:b w:val="0"/>
          <w:i w:val="0"/>
        </w:rPr>
        <w:t xml:space="preserve">, de </w:t>
      </w:r>
      <w:r>
        <w:rPr>
          <w:rFonts w:ascii="Palatino" w:hAnsi="Palatino"/>
          <w:b/>
          <w:i w:val="0"/>
        </w:rPr>
        <w:t>28,2%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i w:val="0"/>
        </w:rPr>
        <w:t>28,4%</w:t>
      </w:r>
      <w:r>
        <w:rPr>
          <w:rFonts w:ascii="Palatino" w:hAnsi="Palatino"/>
          <w:b w:val="0"/>
          <w:i w:val="0"/>
        </w:rPr>
        <w:t xml:space="preserve">; I não mudou. Nos insumos de Q, o crédito livre PF total foi revisto de </w:t>
      </w:r>
      <w:r>
        <w:rPr>
          <w:rFonts w:ascii="Palatino" w:hAnsi="Palatino"/>
          <w:b/>
          <w:i w:val="0"/>
        </w:rPr>
        <w:t>fev-2026</w:t>
      </w:r>
      <w:r>
        <w:rPr>
          <w:rFonts w:ascii="Palatino" w:hAnsi="Palatino"/>
          <w:b w:val="0"/>
          <w:i w:val="0"/>
        </w:rPr>
        <w:t xml:space="preserve"> a </w:t>
      </w:r>
      <w:r>
        <w:rPr>
          <w:rFonts w:ascii="Palatino" w:hAnsi="Palatino"/>
          <w:b/>
          <w:i w:val="0"/>
        </w:rPr>
        <w:t>mai-2026</w:t>
      </w:r>
      <w:r>
        <w:rPr>
          <w:rFonts w:ascii="Palatino" w:hAnsi="Palatino"/>
          <w:b w:val="0"/>
          <w:i w:val="0"/>
        </w:rPr>
        <w:t xml:space="preserve">; cheque especial e crédito pessoal não consignado, de </w:t>
      </w:r>
      <w:r>
        <w:rPr>
          <w:rFonts w:ascii="Palatino" w:hAnsi="Palatino"/>
          <w:b/>
          <w:i w:val="0"/>
        </w:rPr>
        <w:t>mar-2026</w:t>
      </w:r>
      <w:r>
        <w:rPr>
          <w:rFonts w:ascii="Palatino" w:hAnsi="Palatino"/>
          <w:b w:val="0"/>
          <w:i w:val="0"/>
        </w:rPr>
        <w:t xml:space="preserve"> a </w:t>
      </w:r>
      <w:r>
        <w:rPr>
          <w:rFonts w:ascii="Palatino" w:hAnsi="Palatino"/>
          <w:b/>
          <w:i w:val="0"/>
        </w:rPr>
        <w:t>mai-2026</w:t>
      </w:r>
      <w:r>
        <w:rPr>
          <w:rFonts w:ascii="Palatino" w:hAnsi="Palatino"/>
          <w:b w:val="0"/>
          <w:i w:val="0"/>
        </w:rPr>
        <w:t xml:space="preserve">; e cartões rotativo e parcelado, em </w:t>
      </w:r>
      <w:r>
        <w:rPr>
          <w:rFonts w:ascii="Palatino" w:hAnsi="Palatino"/>
          <w:b/>
          <w:i w:val="0"/>
        </w:rPr>
        <w:t>mai-2026</w:t>
      </w:r>
      <w:r>
        <w:rPr>
          <w:rFonts w:ascii="Palatino" w:hAnsi="Palatino"/>
          <w:b w:val="0"/>
          <w:i w:val="0"/>
        </w:rPr>
        <w:t>.</w:t>
      </w:r>
    </w:p>
    <w:p>
      <w:pPr>
        <w:widowControl/>
        <w:spacing w:line="30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 xml:space="preserve">A Tabela </w:t>
      </w:r>
      <w:r>
        <w:rPr>
          <w:rFonts w:ascii="Palatino" w:hAnsi="Palatino"/>
          <w:b w:val="0"/>
          <w:i w:val="0"/>
        </w:rPr>
        <w:t>2</w:t>
      </w:r>
      <w:r>
        <w:rPr>
          <w:rFonts w:ascii="Palatino" w:hAnsi="Palatino"/>
          <w:b w:val="0"/>
          <w:i w:val="0"/>
        </w:rPr>
        <w:t xml:space="preserve"> lista as duas competências comuns cujo IDC mudou; revisões brutas sem efeito no índice não aparecem na tabela.</w:t>
      </w:r>
    </w:p>
    <w:p>
      <w:pPr>
        <w:pStyle w:val="IDCCaption"/>
        <w:jc w:val="center"/>
      </w:pPr>
      <w:r>
        <w:rPr>
          <w:rFonts w:ascii="Palatino" w:hAnsi="Palatino"/>
          <w:b/>
          <w:sz w:val="21"/>
        </w:rPr>
        <w:t xml:space="preserve">Tabela 2. </w:t>
      </w:r>
      <w:r>
        <w:rPr>
          <w:rFonts w:ascii="Palatino" w:hAnsi="Palatino"/>
          <w:b w:val="0"/>
          <w:i/>
        </w:rPr>
        <w:t>IDC alterado pela revisão dos dados — divulgações 202606 e 202607.</w:t>
      </w:r>
    </w:p>
    <w:tbl>
      <w:tblPr>
        <w:tblW w:type="dxa" w:w="8504"/>
        <w:tblLayout w:type="fixed"/>
        <w:tblLook w:firstColumn="1" w:firstRow="1" w:lastColumn="0" w:lastRow="0" w:noHBand="0" w:noVBand="1" w:val="04A0"/>
        <w:tblInd w:w="80" w:type="dxa"/>
      </w:tblPr>
      <w:tblGrid>
        <w:gridCol w:w="1700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0"/>
              </w:rPr>
              <w:t>Competência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0"/>
              </w:rPr>
              <w:t>IDC na 202606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0"/>
              </w:rPr>
              <w:t>IDC na 202607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0"/>
              </w:rPr>
              <w:t>Revisão</w:t>
            </w: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0"/>
              </w:rPr>
              <w:t>mar-2026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0"/>
              </w:rPr>
              <w:t>0,960374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0"/>
              </w:rPr>
              <w:t>0,960299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0"/>
              </w:rPr>
              <w:t>-0,000075</w:t>
            </w: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0"/>
              </w:rPr>
              <w:t>abr-2026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0"/>
              </w:rPr>
              <w:t>0,986495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0"/>
              </w:rPr>
              <w:t>0,990355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+</w:t>
            </w:r>
            <w:r>
              <w:rPr>
                <w:rFonts w:ascii="Palatino" w:hAnsi="Palatino"/>
                <w:b w:val="0"/>
                <w:i w:val="0"/>
                <w:sz w:val="20"/>
              </w:rPr>
              <w:t>0,003859</w:t>
            </w:r>
          </w:p>
        </w:tc>
      </w:tr>
    </w:tbl>
    <w:p>
      <w:pPr>
        <w:pStyle w:val="IDCSource"/>
        <w:jc w:val="center"/>
      </w:pPr>
      <w:r>
        <w:rPr>
          <w:rFonts w:ascii="Palatino" w:hAnsi="Palatino"/>
          <w:i/>
          <w:sz w:val="19"/>
        </w:rPr>
        <w:t xml:space="preserve">Fonte: </w:t>
      </w:r>
      <w:r>
        <w:rPr>
          <w:rFonts w:ascii="Palatino" w:hAnsi="Palatino"/>
          <w:b w:val="0"/>
          <w:i/>
        </w:rPr>
        <w:t>Banco Central do Brasil (Estatísticas Monetárias e de Crédito,</w:t>
        <w:br/>
        <w:t>divulgações 202606 e 202607), elaboração própria.</w:t>
      </w:r>
    </w:p>
    <w:p>
      <w:pPr>
        <w:widowControl/>
        <w:spacing w:line="30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 xml:space="preserve">O IDC foi revisto em </w:t>
      </w:r>
      <w:r>
        <w:rPr>
          <w:rFonts w:ascii="Palatino" w:hAnsi="Palatino"/>
          <w:b/>
          <w:i w:val="0"/>
        </w:rPr>
        <w:t>-0,000075</w:t>
      </w:r>
      <w:r>
        <w:rPr>
          <w:rFonts w:ascii="Palatino" w:hAnsi="Palatino"/>
          <w:b w:val="0"/>
          <w:i w:val="0"/>
        </w:rPr>
        <w:t xml:space="preserve"> em </w:t>
      </w:r>
      <w:r>
        <w:rPr>
          <w:rFonts w:ascii="Palatino" w:hAnsi="Palatino"/>
          <w:b/>
          <w:i w:val="0"/>
        </w:rPr>
        <w:t>mar-2026</w:t>
      </w:r>
      <w:r>
        <w:rPr>
          <w:rFonts w:ascii="Palatino" w:hAnsi="Palatino"/>
          <w:b w:val="0"/>
          <w:i w:val="0"/>
        </w:rPr>
        <w:t xml:space="preserve"> e em </w:t>
      </w:r>
      <w:r>
        <w:rPr>
          <w:rFonts w:ascii="Arial" w:hAnsi="Arial"/>
          <w:b/>
          <w:i w:val="0"/>
        </w:rPr>
        <w:t>+</w:t>
      </w:r>
      <w:r>
        <w:rPr>
          <w:rFonts w:ascii="Palatino" w:hAnsi="Palatino"/>
          <w:b/>
          <w:i w:val="0"/>
        </w:rPr>
        <w:t>0,003859</w:t>
      </w:r>
      <w:r>
        <w:rPr>
          <w:rFonts w:ascii="Palatino" w:hAnsi="Palatino"/>
          <w:b w:val="0"/>
          <w:i w:val="0"/>
        </w:rPr>
        <w:t xml:space="preserve"> em </w:t>
      </w:r>
      <w:r>
        <w:rPr>
          <w:rFonts w:ascii="Palatino" w:hAnsi="Palatino"/>
          <w:b/>
          <w:i w:val="0"/>
        </w:rPr>
        <w:t>abr-2026</w:t>
      </w:r>
      <w:r>
        <w:rPr>
          <w:rFonts w:ascii="Palatino" w:hAnsi="Palatino"/>
          <w:b w:val="0"/>
          <w:i w:val="0"/>
        </w:rPr>
        <w:t xml:space="preserve">; neste último mês, C normalizado passou de </w:t>
      </w:r>
      <w:r>
        <w:rPr>
          <w:rFonts w:ascii="Palatino" w:hAnsi="Palatino"/>
          <w:b/>
          <w:i w:val="0"/>
        </w:rPr>
        <w:t>0,988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 xml:space="preserve"> e Q, de </w:t>
      </w:r>
      <w:r>
        <w:rPr>
          <w:rFonts w:ascii="Palatino" w:hAnsi="Palatino"/>
          <w:b/>
          <w:i w:val="0"/>
        </w:rPr>
        <w:t>0,971250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i w:val="0"/>
        </w:rPr>
        <w:t>0,971064</w:t>
      </w:r>
      <w:r>
        <w:rPr>
          <w:rFonts w:ascii="Palatino" w:hAnsi="Palatino"/>
          <w:b w:val="0"/>
          <w:i w:val="0"/>
        </w:rPr>
        <w:t xml:space="preserve">. Na safra </w:t>
      </w:r>
      <w:r>
        <w:rPr>
          <w:rFonts w:ascii="Palatino" w:hAnsi="Palatino"/>
          <w:b/>
          <w:i w:val="0"/>
        </w:rPr>
        <w:t>202607</w:t>
      </w:r>
      <w:r>
        <w:rPr>
          <w:rFonts w:ascii="Palatino" w:hAnsi="Palatino"/>
          <w:b w:val="0"/>
          <w:i w:val="0"/>
        </w:rPr>
        <w:t xml:space="preserve">, a variação de maio ante abril foi de </w:t>
      </w:r>
      <w:r>
        <w:rPr>
          <w:rFonts w:ascii="Palatino" w:hAnsi="Palatino"/>
          <w:b/>
          <w:i w:val="0"/>
        </w:rPr>
        <w:t>-0,009123 ponto</w:t>
      </w:r>
      <w:r>
        <w:rPr>
          <w:rFonts w:ascii="Palatino" w:hAnsi="Palatino"/>
          <w:b w:val="0"/>
          <w:i w:val="0"/>
        </w:rPr>
        <w:t xml:space="preserve">; em relação ao IDC de abril publicado na nota anterior, a diferença é de </w:t>
      </w:r>
      <w:r>
        <w:rPr>
          <w:rFonts w:ascii="Palatino" w:hAnsi="Palatino"/>
          <w:b/>
          <w:i w:val="0"/>
        </w:rPr>
        <w:t>-0,005264 ponto</w:t>
      </w:r>
      <w:r>
        <w:rPr>
          <w:rFonts w:ascii="Palatino" w:hAnsi="Palatino"/>
          <w:b w:val="0"/>
          <w:i w:val="0"/>
        </w:rPr>
        <w:t>.</w:t>
      </w: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>Trajetória do índice</w:t>
      </w:r>
    </w:p>
    <w:p>
      <w:pPr>
        <w:widowControl/>
        <w:spacing w:line="30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 xml:space="preserve">As Figuras </w:t>
      </w:r>
      <w:r>
        <w:rPr>
          <w:rFonts w:ascii="Palatino" w:hAnsi="Palatino"/>
          <w:b w:val="0"/>
          <w:i w:val="0"/>
        </w:rPr>
        <w:t>1</w:t>
      </w:r>
      <w:r>
        <w:rPr>
          <w:rFonts w:ascii="Palatino" w:hAnsi="Palatino"/>
          <w:b w:val="0"/>
          <w:i w:val="0"/>
        </w:rPr>
        <w:t xml:space="preserve"> e </w:t>
      </w:r>
      <w:r>
        <w:rPr>
          <w:rFonts w:ascii="Palatino" w:hAnsi="Palatino"/>
          <w:b w:val="0"/>
          <w:i w:val="0"/>
        </w:rPr>
        <w:t>2</w:t>
      </w:r>
      <w:r>
        <w:rPr>
          <w:rFonts w:ascii="Palatino" w:hAnsi="Palatino"/>
          <w:b w:val="0"/>
          <w:i w:val="0"/>
        </w:rPr>
        <w:t xml:space="preserve"> apresentam, respectivamente, a trajetória do IDC desde jan-2014 e as séries brutas de C, I e Q.</w:t>
      </w: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>Próxima atualização</w:t>
      </w:r>
    </w:p>
    <w:p>
      <w:pPr>
        <w:widowControl/>
        <w:spacing w:line="30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>A próxima atualização é esperada para agosto de 2026; o IDC será estendido para jun-2026 caso a série de comprometimento de renda (SGS 29034) avance até lá.</w:t>
      </w:r>
    </w:p>
    <w:p>
      <w:pPr>
        <w:pStyle w:val="Heading1"/>
      </w:pPr>
      <w:r>
        <w:rPr>
          <w:rFonts w:ascii="Palatino" w:hAnsi="Palatino"/>
          <w:b w:val="0"/>
          <w:i w:val="0"/>
        </w:rPr>
        <w:t>Notas</w:t>
      </w:r>
    </w:p>
    <w:p>
      <w:pPr>
        <w:pStyle w:val="IDCNotes"/>
        <w:widowControl/>
        <w:spacing w:line="260" w:lineRule="exact" w:before="0" w:after="0"/>
        <w:ind w:firstLine="0"/>
        <w:jc w:val="both"/>
      </w:pPr>
    </w:p>
    <w:p>
      <w:pPr>
        <w:pStyle w:val="IDCNotes"/>
        <w:widowControl/>
        <w:spacing w:line="26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 xml:space="preserve">Sobre o IDC. O Índice de Desconforto de Crédito (IDC) é construído a partir de três séries do Sistema Gerenciador de Séries Temporais (SGS) do Banco Central do Brasil: comprometimento de renda das famílias com o serviço da dívida (SGS 29034), inadimplência da carteira de crédito livre PF — atrasos superiores a 90 dias (SGS 21112) — e participação das modalidades onerosas (cheque especial, SGS 20573; crédito pessoal não consignado, SGS 20574; cartão de crédito rotativo, SGS 20587; cartão de crédito parcelado, SGS 20588) no total do crédito livre para pessoa física (SGS 20570). Cada componente é normalizado pelo método min-max com janela expansiva, a partir de mar-2011; o índice é exibido a partir de jan-2014, após o período de aquecimento da janela, e corresponde à média simples dos três componentes normalizados, contido no intervalo [0, 1]. Por construção, o IDC mede a posição relativa do mês corrente em relação ao histórico observado pelo índice. O relatório de divulgação está disponível em </w:t>
      </w:r>
      <w:hyperlink r:id="rId16">
        <w:r>
          <w:rPr>
            <w:color w:val="555555"/>
            <w:u w:val="single"/>
            <w:rFonts w:ascii="Palatino" w:hAnsi="Palatino"/>
          </w:rPr>
          <w:t>https://eaesp.fgv.br/producao-intelectual/indice-desconforto-credito-idc</w:t>
        </w:r>
      </w:hyperlink>
      <w:r>
        <w:rPr>
          <w:rFonts w:ascii="Palatino" w:hAnsi="Palatino"/>
          <w:b w:val="0"/>
          <w:i w:val="0"/>
        </w:rPr>
        <w:t>.</w:t>
      </w:r>
    </w:p>
    <w:p>
      <w:pPr>
        <w:pStyle w:val="IDCNotes"/>
        <w:widowControl/>
        <w:spacing w:line="26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 xml:space="preserve">Citação recomendada. Gonzalez, L.; Carrijo, M. L.; Schiozer, R. </w:t>
      </w:r>
      <w:r>
        <w:rPr>
          <w:rFonts w:ascii="Palatino" w:hAnsi="Palatino"/>
          <w:b w:val="0"/>
          <w:i/>
        </w:rPr>
        <w:t>Índice de Desconforto de Crédito (IDC).</w:t>
      </w:r>
      <w:r>
        <w:rPr>
          <w:rFonts w:ascii="Palatino" w:hAnsi="Palatino"/>
          <w:b w:val="0"/>
          <w:i w:val="0"/>
        </w:rPr>
        <w:t xml:space="preserve"> FGVcemif/FGV-EAESP. </w:t>
      </w:r>
    </w:p>
    <w:p>
      <w:pPr>
        <w:pStyle w:val="IDCNotes"/>
        <w:widowControl/>
        <w:spacing w:line="260" w:lineRule="exact" w:before="0" w:after="0"/>
        <w:ind w:firstLine="300"/>
        <w:jc w:val="both"/>
      </w:pPr>
    </w:p>
    <w:p>
      <w:pPr>
        <w:pStyle w:val="Heading1"/>
        <w:pageBreakBefore/>
      </w:pPr>
      <w:r>
        <w:rPr>
          <w:rFonts w:ascii="Palatino" w:hAnsi="Palatino"/>
          <w:b w:val="0"/>
          <w:i w:val="0"/>
        </w:rPr>
        <w:t>Anexo de figuras</w:t>
      </w:r>
    </w:p>
    <w:p>
      <w:pPr>
        <w:keepNext/>
        <w:keepLines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2" name="Picture 2" descr="Evolução do Índice de Desconforto de Crédito (jan-2014 a mai-2026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DCCaption"/>
        <w:keepLines/>
        <w:jc w:val="center"/>
      </w:pPr>
      <w:r>
        <w:rPr>
          <w:rFonts w:ascii="Palatino" w:hAnsi="Palatino"/>
          <w:b/>
          <w:sz w:val="21"/>
        </w:rPr>
        <w:t xml:space="preserve">Figura 1. </w:t>
      </w:r>
      <w:r>
        <w:rPr>
          <w:rFonts w:ascii="Palatino" w:hAnsi="Palatino"/>
          <w:b w:val="0"/>
          <w:i/>
        </w:rPr>
        <w:t>Evolução do Índice de Desconforto de Crédito (jan-2014 a mai-2026).</w:t>
      </w:r>
    </w:p>
    <w:p>
      <w:pPr>
        <w:pStyle w:val="IDCSource"/>
        <w:keepLines/>
        <w:jc w:val="center"/>
      </w:pPr>
      <w:r>
        <w:rPr>
          <w:rFonts w:ascii="Palatino" w:hAnsi="Palatino"/>
          <w:i/>
          <w:sz w:val="19"/>
        </w:rPr>
        <w:t xml:space="preserve">Fonte: </w:t>
      </w:r>
      <w:r>
        <w:rPr>
          <w:rFonts w:ascii="Palatino" w:hAnsi="Palatino"/>
          <w:b w:val="0"/>
          <w:i/>
        </w:rPr>
        <w:t>BCB, elaboração própria.</w:t>
      </w:r>
    </w:p>
    <w:p>
      <w:r>
        <w:br w:type="page"/>
      </w:r>
    </w:p>
    <w:p>
      <w:pPr>
        <w:keepNext/>
        <w:keepLines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5392202"/>
            <wp:docPr id="3" name="Picture 3" descr="Evolução das componentes brutas C, I e Q (mar-2011 a mai-2026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_ra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9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DCCaption"/>
        <w:keepLines/>
        <w:jc w:val="center"/>
      </w:pPr>
      <w:r>
        <w:rPr>
          <w:rFonts w:ascii="Palatino" w:hAnsi="Palatino"/>
          <w:b/>
          <w:sz w:val="21"/>
        </w:rPr>
        <w:t xml:space="preserve">Figura 2. </w:t>
      </w:r>
      <w:r>
        <w:rPr>
          <w:rFonts w:ascii="Palatino" w:hAnsi="Palatino"/>
          <w:b w:val="0"/>
          <w:i/>
        </w:rPr>
        <w:t>Evolução das componentes brutas C, I e Q (mar-2011 a mai-2026).</w:t>
      </w:r>
    </w:p>
    <w:p>
      <w:pPr>
        <w:pStyle w:val="IDCSource"/>
        <w:keepLines/>
        <w:jc w:val="center"/>
      </w:pPr>
      <w:r>
        <w:rPr>
          <w:rFonts w:ascii="Palatino" w:hAnsi="Palatino"/>
          <w:i/>
          <w:sz w:val="19"/>
        </w:rPr>
        <w:t xml:space="preserve">Fonte: </w:t>
      </w:r>
      <w:r>
        <w:rPr>
          <w:rFonts w:ascii="Palatino" w:hAnsi="Palatino"/>
          <w:b w:val="0"/>
          <w:i/>
        </w:rPr>
        <w:t>BCB, elaboração própria.</w:t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567" w:footer="567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Palatino" w:hAnsi="Palatino"/>
        <w:b w:val="0"/>
        <w:i w:val="0"/>
        <w:sz w:val="22"/>
      </w:rPr>
      <w:t>4 de agosto de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Palatino" w:hAnsi="Palatino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Palatino" w:hAnsi="Palatino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IDCHeader"/>
      <w:tabs>
        <w:tab w:pos="8504" w:val="right"/>
      </w:tabs>
      <w:pBdr>
        <w:bottom w:val="single" w:sz="4" w:space="1" w:color="BFBFBF"/>
      </w:pBdr>
    </w:pPr>
    <w:r>
      <w:rPr>
        <w:rFonts w:ascii="Palatino" w:hAnsi="Palatino"/>
        <w:b w:val="0"/>
        <w:i/>
      </w:rPr>
      <w:t>Índice de Desconforto de Crédito</w:t>
    </w:r>
    <w:r>
      <w:tab/>
    </w:r>
    <w:r>
      <w:rPr>
        <w:rFonts w:ascii="Palatino" w:hAnsi="Palatino"/>
        <w:b w:val="0"/>
        <w:i/>
      </w:rPr>
      <w:t>FGVcemif / FGV-EAESP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pBdr>
        <w:bottom w:val="single" w:sz="4" w:space="1" w:color="BFBFB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pStyle w:val="Heading1"/>
      <w:suff w:val="space"/>
      <w:lvlText w:val="%1"/>
      <w:lvlJc w:val="left"/>
      <w:pPr>
        <w:ind w:left="0" w:hanging="0"/>
      </w:pPr>
      <w:rPr>
        <w:rFonts w:ascii="Palatino" w:hAnsi="Palatino"/>
        <w:b/>
      </w:rPr>
    </w:lvl>
  </w:abstractNum>
  <w:abstractNum w:abstractNumId="10">
    <w:multiLevelType w:val="singleLevel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Palatino" w:hAnsi="Palatino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before="0" w:after="0"/>
    </w:pPr>
    <w:rPr>
      <w:rFonts w:ascii="Palatino" w:hAnsi="Palatin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Palatino" w:hAnsi="Palatino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DCCaption">
    <w:name w:val="IDC Caption"/>
    <w:pPr>
      <w:keepNext/>
      <w:spacing w:before="0" w:after="80"/>
    </w:pPr>
    <w:rPr>
      <w:rFonts w:ascii="Palatino" w:hAnsi="Palatino"/>
      <w:i/>
      <w:color w:val="000000"/>
      <w:sz w:val="21"/>
    </w:rPr>
  </w:style>
  <w:style w:type="paragraph" w:customStyle="1" w:styleId="IDCSource">
    <w:name w:val="IDC Source"/>
    <w:pPr>
      <w:keepNext w:val="0"/>
      <w:spacing w:before="0" w:after="160"/>
    </w:pPr>
    <w:rPr>
      <w:rFonts w:ascii="Palatino" w:hAnsi="Palatino"/>
      <w:i/>
      <w:color w:val="000000"/>
      <w:sz w:val="19"/>
    </w:rPr>
  </w:style>
  <w:style w:type="paragraph" w:customStyle="1" w:styleId="IDCHeader">
    <w:name w:val="IDC Header"/>
    <w:pPr>
      <w:keepNext w:val="0"/>
      <w:spacing w:before="0" w:after="160"/>
    </w:pPr>
    <w:rPr>
      <w:rFonts w:ascii="Palatino" w:hAnsi="Palatino"/>
      <w:i/>
      <w:color w:val="000000"/>
      <w:sz w:val="18"/>
    </w:rPr>
  </w:style>
  <w:style w:type="paragraph" w:customStyle="1" w:styleId="IDCNotes">
    <w:name w:val="IDC Notes"/>
    <w:pPr>
      <w:spacing w:line="260" w:lineRule="exact" w:before="0" w:after="0"/>
    </w:pPr>
    <w:rPr>
      <w:rFonts w:ascii="Palatino" w:hAnsi="Palatino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eaesp.fgv.br/producao-intelectual/indice-desconforto-credito-idc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Desconforto de Crédito</dc:title>
  <dc:subject>Nota Técnica de Atualização do IDC</dc:subject>
  <dc:creator>Lauro Gonzalez; Matheus L. Carrijo; Rafael Schiozer</dc:creator>
  <cp:keywords>crédito, endividamento, Brasil, BCB, FGV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