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>Nota Técnica de Atualização — Divulgação julho de 2026; competência maio de 2026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Com a publicação, em julho de 2026, das Estatísticas Monetárias e de Crédito do Banco Central do Brasil (competência 202607), o Índice de Desconforto de Crédito (IDC) foi recalculado e estendido até maio de 2026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o IDC alcançou </w:t>
      </w:r>
      <w:r>
        <w:rPr>
          <w:rFonts w:ascii="Palatino" w:hAnsi="Palatino"/>
          <w:b/>
          <w:i w:val="0"/>
        </w:rPr>
        <w:t>0,981</w:t>
      </w:r>
      <w:r>
        <w:rPr>
          <w:rFonts w:ascii="Palatino" w:hAnsi="Palatino"/>
          <w:b w:val="0"/>
          <w:i w:val="0"/>
        </w:rPr>
        <w:t xml:space="preserve">, o quarto maior valor das </w:t>
      </w:r>
      <w:r>
        <w:rPr>
          <w:rFonts w:ascii="Palatino" w:hAnsi="Palatino"/>
          <w:b/>
          <w:i w:val="0"/>
        </w:rPr>
        <w:t>149</w:t>
      </w:r>
      <w:r>
        <w:rPr>
          <w:rFonts w:ascii="Palatino" w:hAnsi="Palatino"/>
          <w:b w:val="0"/>
          <w:i w:val="0"/>
        </w:rPr>
        <w:t xml:space="preserve"> observações válidas e próximo do máximo histórico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. Na escala normalizada, em que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representa o pior resultado 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o melhor resultado do histórico observado, comprometimento de renda e inadimplência ficaram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enquanto qualidade do crédito marcou </w:t>
      </w:r>
      <w:r>
        <w:rPr>
          <w:rFonts w:ascii="Palatino" w:hAnsi="Palatino"/>
          <w:b/>
          <w:i w:val="0"/>
        </w:rPr>
        <w:t>0,944</w:t>
      </w:r>
      <w:r>
        <w:rPr>
          <w:rFonts w:ascii="Palatino" w:hAnsi="Palatino"/>
          <w:b w:val="0"/>
          <w:i w:val="0"/>
        </w:rPr>
        <w:t>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Resultados de maio de 2026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>Componentes brutos e valores normalizados do IDC — mai-2026.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i w:val="0"/>
                <w:sz w:val="21"/>
              </w:rPr>
              <w:t>0,981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28,5%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(90+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7,6%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24,8%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0,944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>divulgação 202607),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i w:val="0"/>
        </w:rPr>
        <w:t>abr-2026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i w:val="0"/>
        </w:rPr>
        <w:t>0,990</w:t>
      </w:r>
      <w:r>
        <w:rPr>
          <w:rFonts w:ascii="Palatino" w:hAnsi="Palatino"/>
          <w:b w:val="0"/>
          <w:i w:val="0"/>
        </w:rPr>
        <w:t xml:space="preserve"> — o índice recuou </w:t>
      </w:r>
      <w:r>
        <w:rPr>
          <w:rFonts w:ascii="Palatino" w:hAnsi="Palatino"/>
          <w:b/>
          <w:i w:val="0"/>
        </w:rPr>
        <w:t>0,009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>. O movimento não foi disseminado: o recuo resultou da queda de Q, enquanto C e I avançaram.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i w:val="0"/>
        </w:rPr>
        <w:t>28,4%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28,5%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+0,1 p.p.</w:t>
      </w:r>
      <w:r>
        <w:rPr>
          <w:rFonts w:ascii="Palatino" w:hAnsi="Palatino"/>
          <w:b w:val="0"/>
          <w:i w:val="0"/>
        </w:rPr>
        <w:t xml:space="preserve">). O acréscimo levou C ao máximo da série iniciada em </w:t>
      </w:r>
      <w:r>
        <w:rPr>
          <w:rFonts w:ascii="Palatino" w:hAnsi="Palatino"/>
          <w:b/>
          <w:i w:val="0"/>
        </w:rPr>
        <w:t>mar-2011</w:t>
      </w:r>
      <w:r>
        <w:rPr>
          <w:rFonts w:ascii="Palatino" w:hAnsi="Palatino"/>
          <w:b w:val="0"/>
          <w:i w:val="0"/>
        </w:rPr>
        <w:t xml:space="preserve"> e manteve seu valor normalizado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. Na escala de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a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, esse é o pior posicionamento histórico observado para o componente.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avançou de </w:t>
      </w:r>
      <w:r>
        <w:rPr>
          <w:rFonts w:ascii="Palatino" w:hAnsi="Palatino"/>
          <w:b/>
          <w:i w:val="0"/>
        </w:rPr>
        <w:t>7,4%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7,6%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+0,2 p.p.</w:t>
      </w:r>
      <w:r>
        <w:rPr>
          <w:rFonts w:ascii="Palatino" w:hAnsi="Palatino"/>
          <w:b w:val="0"/>
          <w:i w:val="0"/>
        </w:rPr>
        <w:t xml:space="preserve">). A alta também levou I ao máximo da série bruta e ao valor normalizado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. Esse é o pior posicionamento histórico observado para o componente.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caiu de </w:t>
      </w:r>
      <w:r>
        <w:rPr>
          <w:rFonts w:ascii="Palatino" w:hAnsi="Palatino"/>
          <w:b/>
          <w:i w:val="0"/>
        </w:rPr>
        <w:t>24,9%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24,8%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-0,2 p.p.</w:t>
      </w:r>
      <w:r>
        <w:rPr>
          <w:rFonts w:ascii="Palatino" w:hAnsi="Palatino"/>
          <w:b w:val="0"/>
          <w:i w:val="0"/>
        </w:rPr>
        <w:t xml:space="preserve">). O valor normalizado recuou de </w:t>
      </w:r>
      <w:r>
        <w:rPr>
          <w:rFonts w:ascii="Palatino" w:hAnsi="Palatino"/>
          <w:b/>
          <w:i w:val="0"/>
        </w:rPr>
        <w:t>0,971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0,944</w:t>
      </w:r>
      <w:r>
        <w:rPr>
          <w:rFonts w:ascii="Palatino" w:hAnsi="Palatino"/>
          <w:b w:val="0"/>
          <w:i w:val="0"/>
        </w:rPr>
        <w:t xml:space="preserve">, afastando-se do máximo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registrado em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>. Ainda assim, Q permaneceu próximo do extremo superior de sua faixa histórica.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>No agregado, a queda de Q mais que compensou as altas de C e I, levando o IDC a pequeno recuo. O indicador mede a posição relativa do desconforto de crédito na série observada, não uma medida absoluta de endividamento.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apresenta a evolução do IDC desde jan-2014 e situa a observação mais recente no histórico do índice.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detalha as séries brutas de comprometimento de renda, inadimplência e qualidade do crédito, permitindo relacionar a leitura agregada do IDC aos movimentos observados em cada componente.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A próxima atualização do IDC está prevista para a divulgação seguinte das Estatísticas Monetárias e de Crédito do Banco Central, esperada para agosto de 2026. O índice será estendido para jun-2026 caso a série de comprometimento de renda das famílias (SGS 29034) avance para essa competência.</w:t>
      </w:r>
    </w:p>
    <w:p>
      <w:pPr>
        <w:pStyle w:val="Heading1"/>
      </w:pPr>
      <w:r>
        <w:rPr>
          <w:rFonts w:ascii="Palatino" w:hAnsi="Palatino"/>
          <w:b w:val="0"/>
          <w:i w:val="0"/>
        </w:rPr>
        <w:t>Notas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widowControl/>
        <w:spacing w:line="300" w:lineRule="exact" w:before="0" w:after="0"/>
        <w:ind w:firstLine="300"/>
        <w:jc w:val="both"/>
      </w:pP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 descr="Evolução do Índice de Desconforto de Crédito (jan-2014 a mai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>Evolução do Índice de Desconforto de Crédito (jan-2014 a mai-2026).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10248"/>
            <wp:docPr id="3" name="Picture 3" descr="Evolução das componentes brutas C, I e Q (mar-2011 a mai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_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10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>Evolução das componentes brutas C, I e Q (mar-2011 a mai-2026).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 w:val="0"/>
        <w:i w:val="0"/>
        <w:sz w:val="22"/>
      </w:rPr>
      <w:t>4 de agosto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