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 xml:space="preserve">Nota Técnica de Atualização — Divulgação </w:t>
      </w:r>
      <w:r>
        <w:rPr>
          <w:rFonts w:ascii="Palatino" w:hAnsi="Palatino"/>
          <w:b/>
          <w:color w:val="9B2323"/>
          <w:sz w:val="24"/>
        </w:rPr>
        <w:t>[mês de ano]</w:t>
      </w:r>
      <w:r>
        <w:rPr>
          <w:rFonts w:ascii="Palatino" w:hAnsi="Palatino"/>
          <w:b w:val="0"/>
          <w:i/>
          <w:sz w:val="24"/>
        </w:rPr>
        <w:t xml:space="preserve">; competência </w:t>
      </w:r>
      <w:r>
        <w:rPr>
          <w:rFonts w:ascii="Palatino" w:hAnsi="Palatino"/>
          <w:b/>
          <w:color w:val="9B2323"/>
          <w:sz w:val="24"/>
        </w:rPr>
        <w:t>[mês por extenso de ano]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Matheus L. Carrijo</w:t>
      </w:r>
      <w:r>
        <w:br/>
      </w:r>
      <w:r>
        <w:rPr>
          <w:rFonts w:ascii="Palatino" w:hAnsi="Palatino"/>
          <w:sz w:val="24"/>
        </w:rPr>
        <w:t>Rafael Schiozer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Com a publicação, em </w:t>
      </w:r>
      <w:r>
        <w:rPr>
          <w:rFonts w:ascii="Palatino" w:hAnsi="Palatino"/>
          <w:b/>
          <w:color w:val="9B2323"/>
        </w:rPr>
        <w:t>[mês de ano]</w:t>
      </w:r>
      <w:r>
        <w:rPr>
          <w:rFonts w:ascii="Palatino" w:hAnsi="Palatino"/>
          <w:b w:val="0"/>
          <w:i w:val="0"/>
        </w:rPr>
        <w:t xml:space="preserve">, das Estatísticas Monetárias e de Crédito do Banco Central do Brasil (competência </w:t>
      </w:r>
      <w:r>
        <w:rPr>
          <w:rFonts w:ascii="Palatino" w:hAnsi="Palatino"/>
          <w:b/>
          <w:color w:val="9B2323"/>
        </w:rPr>
        <w:t>[AAAAMM]</w:t>
      </w:r>
      <w:r>
        <w:rPr>
          <w:rFonts w:ascii="Palatino" w:hAnsi="Palatino"/>
          <w:b w:val="0"/>
          <w:i w:val="0"/>
        </w:rPr>
        <w:t xml:space="preserve">), o Índice de Desconforto de Crédito (IDC) foi recalculado e estendido até </w:t>
      </w:r>
      <w:r>
        <w:rPr>
          <w:rFonts w:ascii="Palatino" w:hAnsi="Palatino"/>
          <w:b/>
          <w:color w:val="9B2323"/>
        </w:rPr>
        <w:t>[mês por extenso de ano]</w:t>
      </w:r>
      <w:r>
        <w:rPr>
          <w:rFonts w:ascii="Palatino" w:hAnsi="Palatino"/>
          <w:b w:val="0"/>
          <w:i w:val="0"/>
        </w:rPr>
        <w:t xml:space="preserve">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/>
          <w:color w:val="9B2323"/>
        </w:rPr>
        <w:t>[Parágrafo de destaque: valor do IDC em mmm-AAAA, posição histórica e situação dos três componentes C, I e Q simultaneamente.]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 xml:space="preserve">Resultados de </w:t>
      </w:r>
      <w:r>
        <w:rPr>
          <w:rFonts w:ascii="Palatino" w:hAnsi="Palatino"/>
          <w:b/>
          <w:color w:val="9B2323"/>
        </w:rPr>
        <w:t>[mês por extenso de ano]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 xml:space="preserve">Componentes brutos e valores normalizados do IDC —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</w:t>
            </w:r>
            <w:r>
              <w:rPr>
                <w:rFonts w:ascii="Arial" w:hAnsi="Arial"/>
                <w:b w:val="0"/>
                <w:i w:val="0"/>
                <w:sz w:val="21"/>
              </w:rPr>
              <w:t>+</w:t>
            </w:r>
            <w:r>
              <w:rPr>
                <w:rFonts w:ascii="Palatino" w:hAnsi="Palatino"/>
                <w:b w:val="0"/>
                <w:i w:val="0"/>
                <w:sz w:val="21"/>
              </w:rPr>
              <w:t xml:space="preserve">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das modalidades onerosas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 xml:space="preserve">divulgação </w:t>
      </w:r>
      <w:r>
        <w:rPr>
          <w:rFonts w:ascii="Palatino" w:hAnsi="Palatino"/>
          <w:b/>
          <w:color w:val="9B2323"/>
        </w:rPr>
        <w:t>[AAAAMM]</w:t>
      </w:r>
      <w:r>
        <w:rPr>
          <w:rFonts w:ascii="Palatino" w:hAnsi="Palatino"/>
          <w:b w:val="0"/>
          <w:i/>
        </w:rPr>
        <w:t>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color w:val="9B2323"/>
        </w:rPr>
        <w:t>[X,XXX]</w:t>
      </w:r>
      <w:r>
        <w:rPr>
          <w:rFonts w:ascii="Palatino" w:hAnsi="Palatino"/>
          <w:b w:val="0"/>
          <w:i w:val="0"/>
        </w:rPr>
        <w:t xml:space="preserve"> — o índice </w:t>
      </w:r>
      <w:r>
        <w:rPr>
          <w:rFonts w:ascii="Palatino" w:hAnsi="Palatino"/>
          <w:b/>
          <w:color w:val="9B2323"/>
        </w:rPr>
        <w:t>[subiu/caiu]</w:t>
      </w:r>
      <w:r>
        <w:rPr>
          <w:rFonts w:ascii="Palatino" w:hAnsi="Palatino"/>
          <w:b w:val="0"/>
          <w:i w:val="0"/>
        </w:rPr>
        <w:t xml:space="preserve"> </w:t>
      </w:r>
      <w:r>
        <w:rPr>
          <w:rFonts w:ascii="Palatino" w:hAnsi="Palatino"/>
          <w:b/>
          <w:color w:val="9B2323"/>
        </w:rPr>
        <w:t>[X,XXX]</w:t>
      </w:r>
      <w:r>
        <w:rPr>
          <w:rFonts w:ascii="Palatino" w:hAnsi="Palatino"/>
          <w:b/>
          <w:i w:val="0"/>
        </w:rPr>
        <w:t xml:space="preserve">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. </w:t>
      </w:r>
      <w:r>
        <w:rPr>
          <w:rFonts w:ascii="Palatino" w:hAnsi="Palatino"/>
          <w:b/>
          <w:color w:val="9B2323"/>
        </w:rPr>
        <w:t>[Breve caracterização: variação disseminada ou concentrada nos componentes.]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passou de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</w:t>
      </w:r>
      <w:r>
        <w:rPr>
          <w:rFonts w:ascii="Palatino" w:hAnsi="Palatino"/>
          <w:b/>
          <w:color w:val="9B2323"/>
        </w:rPr>
        <w:t>[avançou/recuou]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color w:val="9B2323"/>
        </w:rPr>
        <w:t>[X,X]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Qualidade do crédito (Q) </w:t>
      </w:r>
      <w:r>
        <w:rPr>
          <w:rFonts w:ascii="Palatino" w:hAnsi="Palatino"/>
          <w:b/>
          <w:color w:val="9B2323"/>
        </w:rPr>
        <w:t>[subiu/caiu]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/>
          <w:color w:val="9B2323"/>
        </w:rPr>
        <w:t>[Parágrafo de síntese sobre o significado conjunto dos movimentos. Lembre: o IDC mede posição relativa, não endividamento absoluto.]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Figura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apresenta a evolução do IDC desde jan-2014 e situa a observação mais recente no histórico do índice. A Figura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detalha as séries brutas de comprometimento de renda, inadimplência e qualidade do crédito, permitindo relacionar a leitura agregada do IDC aos movimentos observados em cada componente.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próxima atualização do IDC está prevista para a divulgação seguinte das Estatísticas Monetárias e de Crédito do Banco Central, esperada para </w:t>
      </w:r>
      <w:r>
        <w:rPr>
          <w:rFonts w:ascii="Palatino" w:hAnsi="Palatino"/>
          <w:b/>
          <w:color w:val="9B2323"/>
        </w:rPr>
        <w:t>[mês de ano]</w:t>
      </w:r>
      <w:r>
        <w:rPr>
          <w:rFonts w:ascii="Palatino" w:hAnsi="Palatino"/>
          <w:b w:val="0"/>
          <w:i w:val="0"/>
        </w:rPr>
        <w:t xml:space="preserve">. O índice será estendido para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 caso a série de comprometimento de renda das famílias (SGS 29034) avance para essa competência.</w:t>
      </w:r>
    </w:p>
    <w:p>
      <w:pPr>
        <w:pStyle w:val="Heading1"/>
        <w:spacing w:before="240" w:after="80"/>
      </w:pPr>
      <w:r>
        <w:rPr>
          <w:rFonts w:ascii="Palatino" w:hAnsi="Palatino"/>
          <w:b w:val="0"/>
          <w:i w:val="0"/>
        </w:rPr>
        <w:t>Notas</w:t>
      </w:r>
    </w:p>
    <w:p>
      <w:pPr>
        <w:pStyle w:val="IDCNotes"/>
        <w:widowControl/>
        <w:spacing w:line="26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das modalidades onerosas (cheque especial, SGS 20573; crédito pessoal não consignado, SGS 20574; cartão de crédito rotativo, SGS 20587; cartão de crédito parcelado, SGS 20588) no total do crédito livre para pessoa física (SGS 20570).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>Revisões dos dados. Os valores históricos do IDC são recalculados a cada edição com a safra mais recente dos dados do Banco Central. Revisões com efeito material sobre o índice ou sua interpretação são descritas no relatório; a série disponibilizada incorpora todas as revisões identificadas.</w:t>
      </w: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Carrijo, M. L.; Schiozer, R.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</w:t>
      </w: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8504"/>
      </w:tblGrid>
      <w:tr>
        <w:trPr>
          <w:cantSplit/>
          <w:trHeight w:val="7937" w:hRule="exact"/>
        </w:trPr>
        <w:tc>
          <w:tcPr>
            <w:tcW w:type="dxa" w:w="85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6" w:color="A0A0A0"/>
              <w:start w:val="nil"/>
              <w:bottom w:val="single" w:sz="6" w:color="A0A0A0"/>
              <w:end w:val="nil"/>
              <w:insideH w:val="nil"/>
              <w:insideV w:val="nil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Helvetica" w:hAnsi="Helvetica"/>
                <w:color w:val="5F5F5F"/>
                <w:sz w:val="20"/>
              </w:rPr>
              <w:t>[index.png]</w:t>
            </w:r>
          </w:p>
        </w:tc>
      </w:tr>
    </w:tbl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 xml:space="preserve">Evolução do Índice de Desconforto de Crédito (jan-2014 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8504"/>
      </w:tblGrid>
      <w:tr>
        <w:trPr>
          <w:cantSplit/>
          <w:trHeight w:val="9638" w:hRule="exact"/>
        </w:trPr>
        <w:tc>
          <w:tcPr>
            <w:tcW w:type="dxa" w:w="85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6" w:color="A0A0A0"/>
              <w:start w:val="nil"/>
              <w:bottom w:val="single" w:sz="6" w:color="A0A0A0"/>
              <w:end w:val="nil"/>
              <w:insideH w:val="nil"/>
              <w:insideV w:val="nil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Helvetica" w:hAnsi="Helvetica"/>
                <w:color w:val="5F5F5F"/>
                <w:sz w:val="20"/>
              </w:rPr>
              <w:t>[components_raw.png]</w:t>
            </w:r>
          </w:p>
        </w:tc>
      </w:tr>
    </w:tbl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 xml:space="preserve">Evolução das componentes brutas C, I e Q (mar-2011 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/>
        <w:color w:val="9B2323"/>
        <w:sz w:val="22"/>
      </w:rPr>
      <w:t>[Mês de ano]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  <w:style w:type="paragraph" w:customStyle="1" w:styleId="IDCNotes">
    <w:name w:val="IDC Notes"/>
    <w:pPr>
      <w:spacing w:line="260" w:lineRule="exact" w:before="0" w:after="0"/>
    </w:pPr>
    <w:rPr>
      <w:rFonts w:ascii="Palatino" w:hAnsi="Palatino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Matheus L. Carrijo; Rafael Schiozer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