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1020"/>
        <w:jc w:val="right"/>
      </w:pPr>
      <w:r>
        <w:drawing>
          <wp:inline xmlns:a="http://schemas.openxmlformats.org/drawingml/2006/main" xmlns:pic="http://schemas.openxmlformats.org/drawingml/2006/picture">
            <wp:extent cx="2844000" cy="723927"/>
            <wp:docPr id="1" name="Picture 1" descr="Logotipo FGV EAESP e FGVcemi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44000" cy="72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80" w:after="170"/>
        <w:jc w:val="center"/>
      </w:pPr>
      <w:r>
        <w:rPr>
          <w:rFonts w:ascii="Palatino" w:hAnsi="Palatino"/>
          <w:b/>
          <w:sz w:val="34"/>
        </w:rPr>
        <w:t>Índice de Desconforto de Crédito</w:t>
      </w:r>
    </w:p>
    <w:p>
      <w:pPr>
        <w:spacing w:after="680"/>
        <w:jc w:val="center"/>
      </w:pPr>
      <w:r>
        <w:rPr>
          <w:rFonts w:ascii="Palatino" w:hAnsi="Palatino"/>
          <w:b w:val="0"/>
          <w:i/>
          <w:sz w:val="24"/>
        </w:rPr>
        <w:t>Nota Técnica de Atualização — Divulgação setembro de 2026; competência julho de 2026</w:t>
      </w:r>
    </w:p>
    <w:p>
      <w:pPr>
        <w:spacing w:line="276" w:lineRule="auto"/>
        <w:jc w:val="right"/>
      </w:pPr>
      <w:r>
        <w:rPr>
          <w:rFonts w:ascii="Palatino" w:hAnsi="Palatino"/>
          <w:sz w:val="24"/>
        </w:rPr>
        <w:t>Lauro Gonzalez</w:t>
      </w:r>
      <w:r>
        <w:br/>
      </w:r>
      <w:r>
        <w:rPr>
          <w:rFonts w:ascii="Palatino" w:hAnsi="Palatino"/>
          <w:sz w:val="24"/>
        </w:rPr>
        <w:t>Matheus L. Carrijo</w:t>
      </w:r>
      <w:r>
        <w:br/>
      </w:r>
      <w:r>
        <w:rPr>
          <w:rFonts w:ascii="Palatino" w:hAnsi="Palatino"/>
          <w:sz w:val="24"/>
        </w:rPr>
        <w:t>Rafael Schiozer</w:t>
      </w:r>
    </w:p>
    <w:p>
      <w:pPr>
        <w:sectPr>
          <w:headerReference w:type="default" r:id="rId9"/>
          <w:footerReference w:type="default" r:id="rId10"/>
          <w:pgSz w:w="11906" w:h="16838"/>
          <w:pgMar w:top="1417" w:right="1701" w:bottom="1417" w:left="1701" w:header="567" w:footer="567" w:gutter="0"/>
          <w:cols w:space="720"/>
          <w:docGrid w:linePitch="360"/>
        </w:sectPr>
      </w:pP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Resumo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>Com a publicação, em setembro de 2026, das Estatísticas Monetárias e de Crédito do Banco Central do Brasil (competência 202609), o Índice de Desconforto de Crédito (IDC) foi recalculado e estendido até julho de 2026 — último mês para o qual há observação disponível da série de comprometimento de renda das famílias (SGS 29034), que delimita o horizonte de cálculo do índice.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Em </w:t>
      </w:r>
      <w:r>
        <w:rPr>
          <w:rFonts w:ascii="Palatino" w:hAnsi="Palatino"/>
          <w:b/>
          <w:i w:val="0"/>
        </w:rPr>
        <w:t>jul-2026</w:t>
      </w:r>
      <w:r>
        <w:rPr>
          <w:rFonts w:ascii="Palatino" w:hAnsi="Palatino"/>
          <w:b w:val="0"/>
          <w:i w:val="0"/>
        </w:rPr>
        <w:t xml:space="preserve">, o IDC foi de </w:t>
      </w:r>
      <w:r>
        <w:rPr>
          <w:rFonts w:ascii="Palatino" w:hAnsi="Palatino"/>
          <w:b/>
          <w:i w:val="0"/>
        </w:rPr>
        <w:t>0,963</w:t>
      </w:r>
      <w:r>
        <w:rPr>
          <w:rFonts w:ascii="Palatino" w:hAnsi="Palatino"/>
          <w:b w:val="0"/>
          <w:i w:val="0"/>
        </w:rPr>
        <w:t xml:space="preserve">, com alta de </w:t>
      </w:r>
      <w:r>
        <w:rPr>
          <w:rFonts w:ascii="Palatino" w:hAnsi="Palatino"/>
          <w:b/>
          <w:i w:val="0"/>
        </w:rPr>
        <w:t>0,013 ponto</w:t>
      </w:r>
      <w:r>
        <w:rPr>
          <w:rFonts w:ascii="Palatino" w:hAnsi="Palatino"/>
          <w:b w:val="0"/>
          <w:i w:val="0"/>
        </w:rPr>
        <w:t xml:space="preserve"> em relação aos </w:t>
      </w:r>
      <w:r>
        <w:rPr>
          <w:rFonts w:ascii="Palatino" w:hAnsi="Palatino"/>
          <w:b/>
          <w:i w:val="0"/>
        </w:rPr>
        <w:t>0,950</w:t>
      </w:r>
      <w:r>
        <w:rPr>
          <w:rFonts w:ascii="Palatino" w:hAnsi="Palatino"/>
          <w:b w:val="0"/>
          <w:i w:val="0"/>
        </w:rPr>
        <w:t xml:space="preserve"> de </w:t>
      </w:r>
      <w:r>
        <w:rPr>
          <w:rFonts w:ascii="Palatino" w:hAnsi="Palatino"/>
          <w:b/>
          <w:i w:val="0"/>
        </w:rPr>
        <w:t>jun-2026</w:t>
      </w:r>
      <w:r>
        <w:rPr>
          <w:rFonts w:ascii="Palatino" w:hAnsi="Palatino"/>
          <w:b w:val="0"/>
          <w:i w:val="0"/>
        </w:rPr>
        <w:t xml:space="preserve">, ambos calculados com a safra </w:t>
      </w:r>
      <w:r>
        <w:rPr>
          <w:rFonts w:ascii="Palatino" w:hAnsi="Palatino"/>
          <w:b/>
          <w:i w:val="0"/>
        </w:rPr>
        <w:t>202609</w:t>
      </w:r>
      <w:r>
        <w:rPr>
          <w:rFonts w:ascii="Palatino" w:hAnsi="Palatino"/>
          <w:b w:val="0"/>
          <w:i w:val="0"/>
        </w:rPr>
        <w:t xml:space="preserve">. O resultado foi o sétimo maior entre as </w:t>
      </w:r>
      <w:r>
        <w:rPr>
          <w:rFonts w:ascii="Palatino" w:hAnsi="Palatino"/>
          <w:b/>
          <w:i w:val="0"/>
        </w:rPr>
        <w:t>151</w:t>
      </w:r>
      <w:r>
        <w:rPr>
          <w:rFonts w:ascii="Palatino" w:hAnsi="Palatino"/>
          <w:b w:val="0"/>
          <w:i w:val="0"/>
        </w:rPr>
        <w:t xml:space="preserve"> observações válidas desde </w:t>
      </w:r>
      <w:r>
        <w:rPr>
          <w:rFonts w:ascii="Palatino" w:hAnsi="Palatino"/>
          <w:b/>
          <w:i w:val="0"/>
        </w:rPr>
        <w:t>jan-2014</w:t>
      </w:r>
      <w:r>
        <w:rPr>
          <w:rFonts w:ascii="Palatino" w:hAnsi="Palatino"/>
          <w:b w:val="0"/>
          <w:i w:val="0"/>
        </w:rPr>
        <w:t xml:space="preserve">. Na escala normalizada, em que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 xml:space="preserve"> representa o pior e </w:t>
      </w:r>
      <w:r>
        <w:rPr>
          <w:rFonts w:ascii="Palatino" w:hAnsi="Palatino"/>
          <w:b/>
          <w:i w:val="0"/>
        </w:rPr>
        <w:t>0,000</w:t>
      </w:r>
      <w:r>
        <w:rPr>
          <w:rFonts w:ascii="Palatino" w:hAnsi="Palatino"/>
          <w:b w:val="0"/>
          <w:i w:val="0"/>
        </w:rPr>
        <w:t xml:space="preserve"> o melhor resultado histórico observado, C e I marcaram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 xml:space="preserve">, enquanto Q ficou em </w:t>
      </w:r>
      <w:r>
        <w:rPr>
          <w:rFonts w:ascii="Palatino" w:hAnsi="Palatino"/>
          <w:b/>
          <w:i w:val="0"/>
        </w:rPr>
        <w:t>0,888</w:t>
      </w:r>
      <w:r>
        <w:rPr>
          <w:rFonts w:ascii="Palatino" w:hAnsi="Palatino"/>
          <w:b w:val="0"/>
          <w:i w:val="0"/>
        </w:rPr>
        <w:t>.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Resultados de julho de 2026</w:t>
      </w:r>
    </w:p>
    <w:p>
      <w:pPr>
        <w:pStyle w:val="IDCCaption"/>
        <w:jc w:val="center"/>
      </w:pPr>
      <w:r>
        <w:rPr>
          <w:rFonts w:ascii="Palatino" w:hAnsi="Palatino"/>
          <w:b/>
          <w:sz w:val="21"/>
        </w:rPr>
        <w:t xml:space="preserve">Tabela 1. </w:t>
      </w:r>
      <w:r>
        <w:rPr>
          <w:rFonts w:ascii="Palatino" w:hAnsi="Palatino"/>
          <w:b w:val="0"/>
          <w:i/>
        </w:rPr>
        <w:t>Componentes brutos e valores normalizados do IDC — jul-2026.</w:t>
      </w:r>
    </w:p>
    <w:tbl>
      <w:tblPr>
        <w:tblW w:type="dxa" w:w="8504"/>
        <w:tblLayout w:type="fixed"/>
        <w:tblLook w:firstColumn="1" w:firstRow="1" w:lastColumn="0" w:lastRow="0" w:noHBand="0" w:noVBand="1" w:val="04A0"/>
        <w:tblInd w:w="80" w:type="dxa"/>
      </w:tblPr>
      <w:tblGrid>
        <w:gridCol w:w="4535"/>
        <w:gridCol w:w="1700"/>
        <w:gridCol w:w="2269"/>
      </w:tblGrid>
      <w:tr>
        <w:trPr>
          <w:cantSplit/>
          <w:tblHeader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Indicador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Valor bruto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Valor normalizado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IDC (média dos componentes normalizados)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i w:val="0"/>
                <w:sz w:val="21"/>
              </w:rPr>
              <w:t>0,963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C — Comprometimento de renda das famílias com a dívida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28,7%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1,000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 — Inadimplência da carteira de crédito livre PF (90</w:t>
            </w:r>
            <w:r>
              <w:rPr>
                <w:rFonts w:ascii="Arial" w:hAnsi="Arial"/>
                <w:b w:val="0"/>
                <w:i w:val="0"/>
                <w:sz w:val="21"/>
              </w:rPr>
              <w:t>+</w:t>
            </w:r>
            <w:r>
              <w:rPr>
                <w:rFonts w:ascii="Palatino" w:hAnsi="Palatino"/>
                <w:b w:val="0"/>
                <w:i w:val="0"/>
                <w:sz w:val="21"/>
              </w:rPr>
              <w:t xml:space="preserve"> dias)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7,8%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1,000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Q — Participação das modalidades onerosas no crédito livre PF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24,4%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0,888</w:t>
            </w:r>
          </w:p>
        </w:tc>
      </w:tr>
    </w:tbl>
    <w:p>
      <w:pPr>
        <w:pStyle w:val="IDCSource"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Banco Central do Brasil (Estatísticas Monetárias e de Crédito,</w:t>
        <w:br/>
        <w:t>divulgação 202609), elaboração própria.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Em relação à observação imediatamente anterior — </w:t>
      </w:r>
      <w:r>
        <w:rPr>
          <w:rFonts w:ascii="Palatino" w:hAnsi="Palatino"/>
          <w:b/>
          <w:i w:val="0"/>
        </w:rPr>
        <w:t>jun-2026</w:t>
      </w:r>
      <w:r>
        <w:rPr>
          <w:rFonts w:ascii="Palatino" w:hAnsi="Palatino"/>
          <w:b w:val="0"/>
          <w:i w:val="0"/>
        </w:rPr>
        <w:t xml:space="preserve">, quando o IDC marcava </w:t>
      </w:r>
      <w:r>
        <w:rPr>
          <w:rFonts w:ascii="Palatino" w:hAnsi="Palatino"/>
          <w:b/>
          <w:i w:val="0"/>
        </w:rPr>
        <w:t>0,950</w:t>
      </w:r>
      <w:r>
        <w:rPr>
          <w:rFonts w:ascii="Palatino" w:hAnsi="Palatino"/>
          <w:b w:val="0"/>
          <w:i w:val="0"/>
        </w:rPr>
        <w:t xml:space="preserve"> — o índice subiu </w:t>
      </w:r>
      <w:r>
        <w:rPr>
          <w:rFonts w:ascii="Palatino" w:hAnsi="Palatino"/>
          <w:b/>
          <w:i w:val="0"/>
        </w:rPr>
        <w:t>0,013 ponto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i w:val="0"/>
        </w:rPr>
        <w:t>jul-2026</w:t>
      </w:r>
      <w:r>
        <w:rPr>
          <w:rFonts w:ascii="Palatino" w:hAnsi="Palatino"/>
          <w:b w:val="0"/>
          <w:i w:val="0"/>
        </w:rPr>
        <w:t>. O movimento concentrou-se em I: sua alta superou a redução de Q, enquanto C permaneceu estável.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Comprometimento de renda (C) permaneceu em </w:t>
      </w:r>
      <w:r>
        <w:rPr>
          <w:rFonts w:ascii="Palatino" w:hAnsi="Palatino"/>
          <w:b/>
          <w:i w:val="0"/>
        </w:rPr>
        <w:t>28,7%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Palatino" w:hAnsi="Palatino"/>
          <w:b/>
          <w:i w:val="0"/>
        </w:rPr>
        <w:t>0,0 p.p.</w:t>
      </w:r>
      <w:r>
        <w:rPr>
          <w:rFonts w:ascii="Palatino" w:hAnsi="Palatino"/>
          <w:b w:val="0"/>
          <w:i w:val="0"/>
        </w:rPr>
        <w:t xml:space="preserve">). O componente normalizado ficou em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>, correspondente ao pior posicionamento histórico observado. A estabilidade manteve o peso do serviço da dívida sobre a renda no máximo da amostra.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Inadimplência (I) avançou de </w:t>
      </w:r>
      <w:r>
        <w:rPr>
          <w:rFonts w:ascii="Palatino" w:hAnsi="Palatino"/>
          <w:b/>
          <w:i w:val="0"/>
        </w:rPr>
        <w:t>7,4%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i w:val="0"/>
        </w:rPr>
        <w:t>7,8%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Arial" w:hAnsi="Arial"/>
          <w:b/>
          <w:i w:val="0"/>
        </w:rPr>
        <w:t>+</w:t>
      </w:r>
      <w:r>
        <w:rPr>
          <w:rFonts w:ascii="Palatino" w:hAnsi="Palatino"/>
          <w:b/>
          <w:i w:val="0"/>
        </w:rPr>
        <w:t>0,4 p.p.</w:t>
      </w:r>
      <w:r>
        <w:rPr>
          <w:rFonts w:ascii="Palatino" w:hAnsi="Palatino"/>
          <w:b w:val="0"/>
          <w:i w:val="0"/>
        </w:rPr>
        <w:t xml:space="preserve">), e seu valor normalizado passou de </w:t>
      </w:r>
      <w:r>
        <w:rPr>
          <w:rFonts w:ascii="Palatino" w:hAnsi="Palatino"/>
          <w:b/>
          <w:i w:val="0"/>
        </w:rPr>
        <w:t>0,943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>. A taxa bruta atingiu o maior nível no horizonte calculável do IDC e respondeu pela alta mensal do índice.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Qualidade do crédito (Q) caiu de </w:t>
      </w:r>
      <w:r>
        <w:rPr>
          <w:rFonts w:ascii="Palatino" w:hAnsi="Palatino"/>
          <w:b/>
          <w:i w:val="0"/>
        </w:rPr>
        <w:t>24,5%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i w:val="0"/>
        </w:rPr>
        <w:t>24,4%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Palatino" w:hAnsi="Palatino"/>
          <w:b/>
          <w:i w:val="0"/>
        </w:rPr>
        <w:t>-0,1 p.p.</w:t>
      </w:r>
      <w:r>
        <w:rPr>
          <w:rFonts w:ascii="Palatino" w:hAnsi="Palatino"/>
          <w:b w:val="0"/>
          <w:i w:val="0"/>
        </w:rPr>
        <w:t xml:space="preserve">, com base nos valores não arredondados), e seu valor normalizado recuou de </w:t>
      </w:r>
      <w:r>
        <w:rPr>
          <w:rFonts w:ascii="Palatino" w:hAnsi="Palatino"/>
          <w:b/>
          <w:i w:val="0"/>
        </w:rPr>
        <w:t>0,907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i w:val="0"/>
        </w:rPr>
        <w:t>0,888</w:t>
      </w:r>
      <w:r>
        <w:rPr>
          <w:rFonts w:ascii="Palatino" w:hAnsi="Palatino"/>
          <w:b w:val="0"/>
          <w:i w:val="0"/>
        </w:rPr>
        <w:t>. A menor participação das modalidades onerosas no crédito livre PF compensou parcialmente a piora de I.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Em conjunto, os dados indicam aumento do desconforto agregado em </w:t>
      </w:r>
      <w:r>
        <w:rPr>
          <w:rFonts w:ascii="Palatino" w:hAnsi="Palatino"/>
          <w:b/>
          <w:i w:val="0"/>
        </w:rPr>
        <w:t>jul-2026</w:t>
      </w:r>
      <w:r>
        <w:rPr>
          <w:rFonts w:ascii="Palatino" w:hAnsi="Palatino"/>
          <w:b w:val="0"/>
          <w:i w:val="0"/>
        </w:rPr>
        <w:t>, determinado pela inadimplência, com C ainda no máximo histórico e alívio parcial em Q. O IDC permaneceu entre os níveis mais altos da série, mas mede posição relativa no histórico, e não uma medida absoluta de endividamento.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Trajetória do índice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A Figura </w:t>
      </w:r>
      <w:r>
        <w:rPr>
          <w:rFonts w:ascii="Palatino" w:hAnsi="Palatino"/>
          <w:b w:val="0"/>
          <w:i w:val="0"/>
        </w:rPr>
        <w:t>1</w:t>
      </w:r>
      <w:r>
        <w:rPr>
          <w:rFonts w:ascii="Palatino" w:hAnsi="Palatino"/>
          <w:b w:val="0"/>
          <w:i w:val="0"/>
        </w:rPr>
        <w:t xml:space="preserve"> mostra que, após atingir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i w:val="0"/>
        </w:rPr>
        <w:t>fev-2026</w:t>
      </w:r>
      <w:r>
        <w:rPr>
          <w:rFonts w:ascii="Palatino" w:hAnsi="Palatino"/>
          <w:b w:val="0"/>
          <w:i w:val="0"/>
        </w:rPr>
        <w:t xml:space="preserve">, o IDC passou a </w:t>
      </w:r>
      <w:r>
        <w:rPr>
          <w:rFonts w:ascii="Palatino" w:hAnsi="Palatino"/>
          <w:b/>
          <w:i w:val="0"/>
        </w:rPr>
        <w:t>0,960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i w:val="0"/>
        </w:rPr>
        <w:t>mar-2026</w:t>
      </w:r>
      <w:r>
        <w:rPr>
          <w:rFonts w:ascii="Palatino" w:hAnsi="Palatino"/>
          <w:b w:val="0"/>
          <w:i w:val="0"/>
        </w:rPr>
        <w:t xml:space="preserve">, </w:t>
      </w:r>
      <w:r>
        <w:rPr>
          <w:rFonts w:ascii="Palatino" w:hAnsi="Palatino"/>
          <w:b/>
          <w:i w:val="0"/>
        </w:rPr>
        <w:t>0,990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i w:val="0"/>
        </w:rPr>
        <w:t>abr-2026</w:t>
      </w:r>
      <w:r>
        <w:rPr>
          <w:rFonts w:ascii="Palatino" w:hAnsi="Palatino"/>
          <w:b w:val="0"/>
          <w:i w:val="0"/>
        </w:rPr>
        <w:t xml:space="preserve">, </w:t>
      </w:r>
      <w:r>
        <w:rPr>
          <w:rFonts w:ascii="Palatino" w:hAnsi="Palatino"/>
          <w:b/>
          <w:i w:val="0"/>
        </w:rPr>
        <w:t>0,983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i w:val="0"/>
        </w:rPr>
        <w:t>mai-2026</w:t>
      </w:r>
      <w:r>
        <w:rPr>
          <w:rFonts w:ascii="Palatino" w:hAnsi="Palatino"/>
          <w:b w:val="0"/>
          <w:i w:val="0"/>
        </w:rPr>
        <w:t xml:space="preserve">, </w:t>
      </w:r>
      <w:r>
        <w:rPr>
          <w:rFonts w:ascii="Palatino" w:hAnsi="Palatino"/>
          <w:b/>
          <w:i w:val="0"/>
        </w:rPr>
        <w:t>0,950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i w:val="0"/>
        </w:rPr>
        <w:t>jun-2026</w:t>
      </w:r>
      <w:r>
        <w:rPr>
          <w:rFonts w:ascii="Palatino" w:hAnsi="Palatino"/>
          <w:b w:val="0"/>
          <w:i w:val="0"/>
        </w:rPr>
        <w:t xml:space="preserve"> e </w:t>
      </w:r>
      <w:r>
        <w:rPr>
          <w:rFonts w:ascii="Palatino" w:hAnsi="Palatino"/>
          <w:b/>
          <w:i w:val="0"/>
        </w:rPr>
        <w:t>0,963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i w:val="0"/>
        </w:rPr>
        <w:t>jul-2026</w:t>
      </w:r>
      <w:r>
        <w:rPr>
          <w:rFonts w:ascii="Palatino" w:hAnsi="Palatino"/>
          <w:b w:val="0"/>
          <w:i w:val="0"/>
        </w:rPr>
        <w:t xml:space="preserve">. A Figura </w:t>
      </w:r>
      <w:r>
        <w:rPr>
          <w:rFonts w:ascii="Palatino" w:hAnsi="Palatino"/>
          <w:b w:val="0"/>
          <w:i w:val="0"/>
        </w:rPr>
        <w:t>2</w:t>
      </w:r>
      <w:r>
        <w:rPr>
          <w:rFonts w:ascii="Palatino" w:hAnsi="Palatino"/>
          <w:b w:val="0"/>
          <w:i w:val="0"/>
        </w:rPr>
        <w:t xml:space="preserve"> evidencia que a alta mais recente refletiu o avanço de I para seu máximo no horizonte calculável do IDC; C permaneceu no máximo da amostra, enquanto Q recuou.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Próxima atualização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>A próxima atualização é esperada para outubro de 2026; o IDC será estendido para ago-2026 caso a série de comprometimento de renda (SGS 29034) avance até lá.</w:t>
      </w:r>
    </w:p>
    <w:p>
      <w:pPr>
        <w:pStyle w:val="Heading1"/>
        <w:spacing w:before="240" w:after="80"/>
      </w:pPr>
      <w:r>
        <w:rPr>
          <w:rFonts w:ascii="Palatino" w:hAnsi="Palatino"/>
          <w:b w:val="0"/>
          <w:i w:val="0"/>
        </w:rPr>
        <w:t>Notas</w:t>
      </w:r>
    </w:p>
    <w:p>
      <w:pPr>
        <w:pStyle w:val="IDCNotes"/>
        <w:widowControl/>
        <w:spacing w:line="26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Sobre o IDC. O Índice de Desconforto de Crédito (IDC) é construído a partir de três séries do Sistema Gerenciador de Séries Temporais (SGS) do Banco Central do Brasil: comprometimento de renda das famílias com o serviço da dívida (SGS 29034), inadimplência da carteira de crédito livre PF — atrasos superiores a 90 dias (SGS 21112) — e participação das modalidades onerosas (cheque especial, SGS 20573; crédito pessoal não consignado, SGS 20574; cartão de crédito rotativo, SGS 20587; cartão de crédito parcelado, SGS 20588) no total do crédito livre para pessoa física (SGS 20570). Cada componente é normalizado pelo método min-max com janela expansiva, a partir de mar-2011; o índice é exibido a partir de jan-2014, após o período de aquecimento da janela, e corresponde à média simples dos três componentes normalizados, contido no intervalo [0, 1]. Por construção, o IDC mede a posição relativa do mês corrente em relação ao histórico observado pelo índice. O relatório de divulgação está disponível em </w:t>
      </w:r>
      <w:hyperlink r:id="rId16">
        <w:r>
          <w:rPr>
            <w:color w:val="555555"/>
            <w:u w:val="single"/>
            <w:rFonts w:ascii="Palatino" w:hAnsi="Palatino"/>
          </w:rPr>
          <w:t>https://eaesp.fgv.br/producao-intelectual/indice-desconforto-credito-idc</w:t>
        </w:r>
      </w:hyperlink>
      <w:r>
        <w:rPr>
          <w:rFonts w:ascii="Palatino" w:hAnsi="Palatino"/>
          <w:b w:val="0"/>
          <w:i w:val="0"/>
        </w:rPr>
        <w:t>.</w:t>
      </w:r>
    </w:p>
    <w:p>
      <w:pPr>
        <w:pStyle w:val="IDCNotes"/>
        <w:widowControl/>
        <w:spacing w:line="26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>Revisões dos dados. Os valores históricos do IDC são recalculados a cada edição com a safra mais recente dos dados do Banco Central. Revisões com efeito material sobre o índice ou sua interpretação são descritas no relatório; a série disponibilizada incorpora todas as revisões identificadas.</w:t>
      </w:r>
    </w:p>
    <w:p>
      <w:pPr>
        <w:pStyle w:val="IDCNotes"/>
        <w:widowControl/>
        <w:spacing w:line="26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Citação recomendada. Gonzalez, L.; Carrijo, M. L.; Schiozer, R. </w:t>
      </w:r>
      <w:r>
        <w:rPr>
          <w:rFonts w:ascii="Palatino" w:hAnsi="Palatino"/>
          <w:b w:val="0"/>
          <w:i/>
        </w:rPr>
        <w:t>Índice de Desconforto de Crédito (IDC).</w:t>
      </w:r>
      <w:r>
        <w:rPr>
          <w:rFonts w:ascii="Palatino" w:hAnsi="Palatino"/>
          <w:b w:val="0"/>
          <w:i w:val="0"/>
        </w:rPr>
        <w:t xml:space="preserve"> FGVcemif/FGV-EAESP.</w:t>
      </w:r>
    </w:p>
    <w:p>
      <w:pPr>
        <w:pStyle w:val="Heading1"/>
        <w:pageBreakBefore/>
      </w:pPr>
      <w:r>
        <w:rPr>
          <w:rFonts w:ascii="Palatino" w:hAnsi="Palatino"/>
          <w:b w:val="0"/>
          <w:i w:val="0"/>
        </w:rPr>
        <w:t>Anexo de figuras</w:t>
      </w:r>
    </w:p>
    <w:p>
      <w:pPr>
        <w:keepNext/>
        <w:keepLines/>
        <w:spacing w:line="240" w:lineRule="auto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5400000"/>
            <wp:docPr id="2" name="Picture 2" descr="Evolução do Índice de Desconforto de Crédito (jan-2014 a jul-2026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DCCaption"/>
        <w:keepLines/>
        <w:jc w:val="center"/>
      </w:pPr>
      <w:r>
        <w:rPr>
          <w:rFonts w:ascii="Palatino" w:hAnsi="Palatino"/>
          <w:b/>
          <w:sz w:val="21"/>
        </w:rPr>
        <w:t xml:space="preserve">Figura 1. </w:t>
      </w:r>
      <w:r>
        <w:rPr>
          <w:rFonts w:ascii="Palatino" w:hAnsi="Palatino"/>
          <w:b w:val="0"/>
          <w:i/>
        </w:rPr>
        <w:t>Evolução do Índice de Desconforto de Crédito (jan-2014 a jul-2026).</w:t>
      </w:r>
    </w:p>
    <w:p>
      <w:pPr>
        <w:pStyle w:val="IDCSource"/>
        <w:keepLines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BCB, elaboração própria.</w:t>
      </w:r>
    </w:p>
    <w:p>
      <w:r>
        <w:br w:type="page"/>
      </w:r>
    </w:p>
    <w:p>
      <w:pPr>
        <w:keepNext/>
        <w:keepLines/>
        <w:spacing w:line="240" w:lineRule="auto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6167603"/>
            <wp:docPr id="3" name="Picture 3" descr="Evolução das componentes brutas C, I e Q (mar-2011 a jul-2026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s_ra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167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DCCaption"/>
        <w:keepLines/>
        <w:jc w:val="center"/>
      </w:pPr>
      <w:r>
        <w:rPr>
          <w:rFonts w:ascii="Palatino" w:hAnsi="Palatino"/>
          <w:b/>
          <w:sz w:val="21"/>
        </w:rPr>
        <w:t xml:space="preserve">Figura 2. </w:t>
      </w:r>
      <w:r>
        <w:rPr>
          <w:rFonts w:ascii="Palatino" w:hAnsi="Palatino"/>
          <w:b w:val="0"/>
          <w:i/>
        </w:rPr>
        <w:t>Evolução das componentes brutas C, I e Q (mar-2011 a jul-2026).</w:t>
      </w:r>
    </w:p>
    <w:p>
      <w:pPr>
        <w:pStyle w:val="IDCSource"/>
        <w:keepLines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BCB, elaboração própria.</w:t>
      </w:r>
    </w:p>
    <w:sectPr w:rsidR="00FC693F" w:rsidRPr="0006063C" w:rsidSect="00034616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417" w:right="1701" w:bottom="1417" w:left="1701" w:header="567" w:footer="567" w:gutter="0"/>
      <w:cols w:space="720"/>
      <w:titlePg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Palatino" w:hAnsi="Palatino"/>
        <w:b w:val="0"/>
        <w:i w:val="0"/>
        <w:sz w:val="22"/>
      </w:rPr>
      <w:t>Setembro de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Palatino" w:hAnsi="Palatino"/>
        <w:sz w:val="20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Palatino" w:hAnsi="Palatino"/>
        <w:sz w:val="20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IDCHeader"/>
      <w:tabs>
        <w:tab w:pos="8504" w:val="right"/>
      </w:tabs>
      <w:pBdr>
        <w:bottom w:val="single" w:sz="4" w:space="1" w:color="BFBFBF"/>
      </w:pBdr>
    </w:pPr>
    <w:r>
      <w:rPr>
        <w:rFonts w:ascii="Palatino" w:hAnsi="Palatino"/>
        <w:b w:val="0"/>
        <w:i/>
      </w:rPr>
      <w:t>Índice de Desconforto de Crédito</w:t>
    </w:r>
    <w:r>
      <w:tab/>
    </w:r>
    <w:r>
      <w:rPr>
        <w:rFonts w:ascii="Palatino" w:hAnsi="Palatino"/>
        <w:b w:val="0"/>
        <w:i/>
      </w:rPr>
      <w:t>FGVcemif / FGV-EAESP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pBdr>
        <w:bottom w:val="single" w:sz="4" w:space="1" w:color="BFBFBF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  <w:rPr>
        <w:rFonts w:ascii="Palatino" w:hAnsi="Palatino"/>
        <w:b/>
      </w:rPr>
    </w:lvl>
  </w:abstractNum>
  <w:abstractNum w:abstractNumId="10">
    <w:multiLevelType w:val="singleLevel"/>
    <w:lvl w:ilvl="0">
      <w:start w:val="1"/>
      <w:numFmt w:val="bullet"/>
      <w:suff w:val="tab"/>
      <w:lvlText w:val="•"/>
      <w:lvlJc w:val="left"/>
      <w:pPr>
        <w:ind w:left="720" w:hanging="360"/>
      </w:pPr>
      <w:rPr>
        <w:rFonts w:ascii="Palatino" w:hAnsi="Palatino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exact" w:before="0" w:after="0"/>
    </w:pPr>
    <w:rPr>
      <w:rFonts w:ascii="Palatino" w:hAnsi="Palatino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Palatino" w:hAnsi="Palatino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DCCaption">
    <w:name w:val="IDC Caption"/>
    <w:pPr>
      <w:keepNext/>
      <w:spacing w:before="0" w:after="80"/>
    </w:pPr>
    <w:rPr>
      <w:rFonts w:ascii="Palatino" w:hAnsi="Palatino"/>
      <w:i/>
      <w:color w:val="000000"/>
      <w:sz w:val="21"/>
    </w:rPr>
  </w:style>
  <w:style w:type="paragraph" w:customStyle="1" w:styleId="IDCSource">
    <w:name w:val="IDC Source"/>
    <w:pPr>
      <w:keepNext w:val="0"/>
      <w:spacing w:before="0" w:after="160"/>
    </w:pPr>
    <w:rPr>
      <w:rFonts w:ascii="Palatino" w:hAnsi="Palatino"/>
      <w:i/>
      <w:color w:val="000000"/>
      <w:sz w:val="19"/>
    </w:rPr>
  </w:style>
  <w:style w:type="paragraph" w:customStyle="1" w:styleId="IDCHeader">
    <w:name w:val="IDC Header"/>
    <w:pPr>
      <w:keepNext w:val="0"/>
      <w:spacing w:before="0" w:after="160"/>
    </w:pPr>
    <w:rPr>
      <w:rFonts w:ascii="Palatino" w:hAnsi="Palatino"/>
      <w:i/>
      <w:color w:val="000000"/>
      <w:sz w:val="18"/>
    </w:rPr>
  </w:style>
  <w:style w:type="paragraph" w:customStyle="1" w:styleId="IDCNotes">
    <w:name w:val="IDC Notes"/>
    <w:pPr>
      <w:spacing w:line="260" w:lineRule="exact" w:before="0" w:after="0"/>
    </w:pPr>
    <w:rPr>
      <w:rFonts w:ascii="Palatino" w:hAnsi="Palatino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eaesp.fgv.br/producao-intelectual/indice-desconforto-credito-idc" TargetMode="External"/><Relationship Id="rId17" Type="http://schemas.openxmlformats.org/officeDocument/2006/relationships/image" Target="media/image2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Índice de Desconforto de Crédito</dc:title>
  <dc:subject>Nota Técnica de Atualização do IDC</dc:subject>
  <dc:creator>Lauro Gonzalez; Matheus L. Carrijo; Rafael Schiozer</dc:creator>
  <cp:keywords>crédito, endividamento, Brasil, BCB, FGV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