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020"/>
        <w:jc w:val="right"/>
      </w:pPr>
      <w:r>
        <w:drawing>
          <wp:inline xmlns:a="http://schemas.openxmlformats.org/drawingml/2006/main" xmlns:pic="http://schemas.openxmlformats.org/drawingml/2006/picture">
            <wp:extent cx="2844000" cy="723927"/>
            <wp:docPr id="1" name="Picture 1" descr="Logotipo FGV EAESP e FGVcem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72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 w:after="170"/>
        <w:jc w:val="center"/>
      </w:pPr>
      <w:r>
        <w:rPr>
          <w:rFonts w:ascii="Palatino" w:hAnsi="Palatino"/>
          <w:b/>
          <w:sz w:val="34"/>
        </w:rPr>
        <w:t>Índice de Desconforto de Crédito</w:t>
      </w:r>
    </w:p>
    <w:p>
      <w:pPr>
        <w:spacing w:after="680"/>
        <w:jc w:val="center"/>
      </w:pPr>
      <w:r>
        <w:rPr>
          <w:rFonts w:ascii="Palatino" w:hAnsi="Palatino"/>
          <w:b w:val="0"/>
          <w:i/>
          <w:sz w:val="24"/>
        </w:rPr>
        <w:t xml:space="preserve">Nota Técnica de Atualização — Divulgação </w:t>
      </w:r>
      <w:r>
        <w:rPr>
          <w:rFonts w:ascii="Palatino" w:hAnsi="Palatino"/>
          <w:b/>
          <w:color w:val="9B2323"/>
          <w:sz w:val="24"/>
        </w:rPr>
        <w:t>[mês de ano]</w:t>
      </w:r>
      <w:r>
        <w:rPr>
          <w:rFonts w:ascii="Palatino" w:hAnsi="Palatino"/>
          <w:b w:val="0"/>
          <w:i/>
          <w:sz w:val="24"/>
        </w:rPr>
        <w:t xml:space="preserve">; competência </w:t>
      </w:r>
      <w:r>
        <w:rPr>
          <w:rFonts w:ascii="Palatino" w:hAnsi="Palatino"/>
          <w:b/>
          <w:color w:val="9B2323"/>
          <w:sz w:val="24"/>
        </w:rPr>
        <w:t>[mês por extenso de ano]</w:t>
      </w:r>
    </w:p>
    <w:p>
      <w:pPr>
        <w:spacing w:line="276" w:lineRule="auto"/>
        <w:jc w:val="right"/>
      </w:pPr>
      <w:r>
        <w:rPr>
          <w:rFonts w:ascii="Palatino" w:hAnsi="Palatino"/>
          <w:sz w:val="24"/>
        </w:rPr>
        <w:t>Lauro Gonzalez</w:t>
      </w:r>
      <w:r>
        <w:br/>
      </w:r>
      <w:r>
        <w:rPr>
          <w:rFonts w:ascii="Palatino" w:hAnsi="Palatino"/>
          <w:sz w:val="24"/>
        </w:rPr>
        <w:t>Matheus L. Carrijo</w:t>
      </w:r>
      <w:r>
        <w:br/>
      </w:r>
      <w:r>
        <w:rPr>
          <w:rFonts w:ascii="Palatino" w:hAnsi="Palatino"/>
          <w:sz w:val="24"/>
        </w:rPr>
        <w:t>Rafael Schiozer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701" w:bottom="1417" w:left="1701" w:header="567" w:footer="567" w:gutter="0"/>
          <w:cols w:space="720"/>
          <w:docGrid w:linePitch="360"/>
        </w:sectPr>
      </w:pP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Resumo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 xml:space="preserve">Com a publicação, em </w:t>
      </w:r>
      <w:r>
        <w:rPr>
          <w:rFonts w:ascii="Palatino" w:hAnsi="Palatino"/>
          <w:b/>
          <w:color w:val="9B2323"/>
        </w:rPr>
        <w:t>[mês de ano]</w:t>
      </w:r>
      <w:r>
        <w:rPr>
          <w:rFonts w:ascii="Palatino" w:hAnsi="Palatino"/>
          <w:b w:val="0"/>
          <w:i w:val="0"/>
        </w:rPr>
        <w:t xml:space="preserve">, das Estatísticas Monetárias e de Crédito do Banco Central do Brasil (competência </w:t>
      </w:r>
      <w:r>
        <w:rPr>
          <w:rFonts w:ascii="Palatino" w:hAnsi="Palatino"/>
          <w:b/>
          <w:color w:val="9B2323"/>
        </w:rPr>
        <w:t>[AAAAMM]</w:t>
      </w:r>
      <w:r>
        <w:rPr>
          <w:rFonts w:ascii="Palatino" w:hAnsi="Palatino"/>
          <w:b w:val="0"/>
          <w:i w:val="0"/>
        </w:rPr>
        <w:t xml:space="preserve">), o Índice de Desconforto de Crédito (IDC) foi recalculado e estendido até </w:t>
      </w:r>
      <w:r>
        <w:rPr>
          <w:rFonts w:ascii="Palatino" w:hAnsi="Palatino"/>
          <w:b/>
          <w:color w:val="9B2323"/>
        </w:rPr>
        <w:t>[mês por extenso de ano]</w:t>
      </w:r>
      <w:r>
        <w:rPr>
          <w:rFonts w:ascii="Palatino" w:hAnsi="Palatino"/>
          <w:b w:val="0"/>
          <w:i w:val="0"/>
        </w:rPr>
        <w:t xml:space="preserve"> — último mês para o qual há observação disponível da série de comprometimento de renda das famílias (SGS 29034), que delimita o horizonte de cálculo do índice.</w:t>
      </w:r>
    </w:p>
    <w:p>
      <w:pPr>
        <w:widowControl/>
        <w:spacing w:line="300" w:lineRule="exact" w:before="0" w:after="0"/>
        <w:ind w:firstLine="300"/>
        <w:jc w:val="both"/>
      </w:pPr>
      <w:r>
        <w:rPr>
          <w:rFonts w:ascii="Palatino" w:hAnsi="Palatino"/>
          <w:b/>
          <w:color w:val="9B2323"/>
        </w:rPr>
        <w:t>[Parágrafo de destaque: valor do IDC em mmm-AAAA, posição histórica e situação dos três componentes C, I e Q simultaneamente.]</w:t>
      </w: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 xml:space="preserve">Resultados de </w:t>
      </w:r>
      <w:r>
        <w:rPr>
          <w:rFonts w:ascii="Palatino" w:hAnsi="Palatino"/>
          <w:b/>
          <w:color w:val="9B2323"/>
        </w:rPr>
        <w:t>[mês por extenso de ano]</w:t>
      </w:r>
    </w:p>
    <w:p>
      <w:pPr>
        <w:pStyle w:val="IDCCaption"/>
        <w:jc w:val="center"/>
      </w:pPr>
      <w:r>
        <w:rPr>
          <w:rFonts w:ascii="Palatino" w:hAnsi="Palatino"/>
          <w:b/>
          <w:sz w:val="21"/>
        </w:rPr>
        <w:t xml:space="preserve">Tabela 1. </w:t>
      </w:r>
      <w:r>
        <w:rPr>
          <w:rFonts w:ascii="Palatino" w:hAnsi="Palatino"/>
          <w:b w:val="0"/>
          <w:i/>
        </w:rPr>
        <w:t xml:space="preserve">Componentes brutos e valores normalizados do IDC — </w:t>
      </w:r>
      <w:r>
        <w:rPr>
          <w:rFonts w:ascii="Palatino" w:hAnsi="Palatino"/>
          <w:b/>
          <w:color w:val="9B2323"/>
        </w:rPr>
        <w:t>[mmm-AAAA]</w:t>
      </w:r>
      <w:r>
        <w:rPr>
          <w:rFonts w:ascii="Palatino" w:hAnsi="Palatino"/>
          <w:b w:val="0"/>
          <w:i/>
        </w:rPr>
        <w:t>.</w:t>
      </w:r>
    </w:p>
    <w:tbl>
      <w:tblPr>
        <w:tblW w:type="dxa" w:w="8504"/>
        <w:tblLayout w:type="fixed"/>
        <w:tblLook w:firstColumn="1" w:firstRow="1" w:lastColumn="0" w:lastRow="0" w:noHBand="0" w:noVBand="1" w:val="04A0"/>
        <w:tblInd w:w="80" w:type="dxa"/>
      </w:tblPr>
      <w:tblGrid>
        <w:gridCol w:w="4535"/>
        <w:gridCol w:w="1700"/>
        <w:gridCol w:w="2269"/>
      </w:tblGrid>
      <w:tr>
        <w:trPr>
          <w:cantSplit/>
          <w:tblHeader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Indicador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Valor bruto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Valor normalizado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IDC (média dos componentes normalizados)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/>
                <w:color w:val="9B2323"/>
                <w:sz w:val="21"/>
              </w:rPr>
              <w:t>[X,XXX]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C — Comprometimento de renda das famílias com a dívida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/>
                <w:color w:val="9B2323"/>
                <w:sz w:val="21"/>
              </w:rPr>
              <w:t>[XX,X]</w:t>
            </w:r>
            <w:r>
              <w:rPr>
                <w:rFonts w:ascii="Palatino" w:hAnsi="Palatino"/>
                <w:b w:val="0"/>
                <w:i w:val="0"/>
                <w:sz w:val="21"/>
              </w:rPr>
              <w:t>%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/>
                <w:color w:val="9B2323"/>
                <w:sz w:val="21"/>
              </w:rPr>
              <w:t>[X,XXX]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I — Inadimplência da carteira de crédito livre PF (90</w:t>
            </w:r>
            <w:r>
              <w:rPr>
                <w:rFonts w:ascii="Arial" w:hAnsi="Arial"/>
                <w:b w:val="0"/>
                <w:i w:val="0"/>
                <w:sz w:val="21"/>
              </w:rPr>
              <w:t>+</w:t>
            </w:r>
            <w:r>
              <w:rPr>
                <w:rFonts w:ascii="Palatino" w:hAnsi="Palatino"/>
                <w:b w:val="0"/>
                <w:i w:val="0"/>
                <w:sz w:val="21"/>
              </w:rPr>
              <w:t xml:space="preserve"> dias)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/>
                <w:color w:val="9B2323"/>
                <w:sz w:val="21"/>
              </w:rPr>
              <w:t>[X,X]</w:t>
            </w:r>
            <w:r>
              <w:rPr>
                <w:rFonts w:ascii="Palatino" w:hAnsi="Palatino"/>
                <w:b w:val="0"/>
                <w:i w:val="0"/>
                <w:sz w:val="21"/>
              </w:rPr>
              <w:t>%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/>
                <w:color w:val="9B2323"/>
                <w:sz w:val="21"/>
              </w:rPr>
              <w:t>[X,XXX]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Q — Participação das modalidades onerosas no crédito livre PF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/>
                <w:color w:val="9B2323"/>
                <w:sz w:val="21"/>
              </w:rPr>
              <w:t>[XX,X]</w:t>
            </w:r>
            <w:r>
              <w:rPr>
                <w:rFonts w:ascii="Palatino" w:hAnsi="Palatino"/>
                <w:b w:val="0"/>
                <w:i w:val="0"/>
                <w:sz w:val="21"/>
              </w:rPr>
              <w:t>%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/>
                <w:color w:val="9B2323"/>
                <w:sz w:val="21"/>
              </w:rPr>
              <w:t>[X,XXX]</w:t>
            </w:r>
          </w:p>
        </w:tc>
      </w:tr>
    </w:tbl>
    <w:p>
      <w:pPr>
        <w:pStyle w:val="IDCSource"/>
        <w:jc w:val="center"/>
      </w:pPr>
      <w:r>
        <w:rPr>
          <w:rFonts w:ascii="Palatino" w:hAnsi="Palatino"/>
          <w:i/>
          <w:sz w:val="19"/>
        </w:rPr>
        <w:t xml:space="preserve">Fonte: </w:t>
      </w:r>
      <w:r>
        <w:rPr>
          <w:rFonts w:ascii="Palatino" w:hAnsi="Palatino"/>
          <w:b w:val="0"/>
          <w:i/>
        </w:rPr>
        <w:t>Banco Central do Brasil (Estatísticas Monetárias e de Crédito,</w:t>
        <w:br/>
        <w:t xml:space="preserve">divulgação </w:t>
      </w:r>
      <w:r>
        <w:rPr>
          <w:rFonts w:ascii="Palatino" w:hAnsi="Palatino"/>
          <w:b/>
          <w:color w:val="9B2323"/>
        </w:rPr>
        <w:t>[AAAAMM]</w:t>
      </w:r>
      <w:r>
        <w:rPr>
          <w:rFonts w:ascii="Palatino" w:hAnsi="Palatino"/>
          <w:b w:val="0"/>
          <w:i/>
        </w:rPr>
        <w:t>), elaboração própria.</w:t>
      </w:r>
    </w:p>
    <w:p>
      <w:pPr>
        <w:widowControl/>
        <w:spacing w:line="30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Em relação à observação imediatamente anterior — </w:t>
      </w:r>
      <w:r>
        <w:rPr>
          <w:rFonts w:ascii="Palatino" w:hAnsi="Palatino"/>
          <w:b/>
          <w:color w:val="9B2323"/>
        </w:rPr>
        <w:t>[mmm-AAAA]</w:t>
      </w:r>
      <w:r>
        <w:rPr>
          <w:rFonts w:ascii="Palatino" w:hAnsi="Palatino"/>
          <w:b w:val="0"/>
          <w:i w:val="0"/>
        </w:rPr>
        <w:t xml:space="preserve">, quando o IDC marcava </w:t>
      </w:r>
      <w:r>
        <w:rPr>
          <w:rFonts w:ascii="Palatino" w:hAnsi="Palatino"/>
          <w:b/>
          <w:color w:val="9B2323"/>
        </w:rPr>
        <w:t>[X,XXX]</w:t>
      </w:r>
      <w:r>
        <w:rPr>
          <w:rFonts w:ascii="Palatino" w:hAnsi="Palatino"/>
          <w:b w:val="0"/>
          <w:i w:val="0"/>
        </w:rPr>
        <w:t xml:space="preserve"> — o índice </w:t>
      </w:r>
      <w:r>
        <w:rPr>
          <w:rFonts w:ascii="Palatino" w:hAnsi="Palatino"/>
          <w:b/>
          <w:color w:val="9B2323"/>
        </w:rPr>
        <w:t>[subiu/caiu]</w:t>
      </w:r>
      <w:r>
        <w:rPr>
          <w:rFonts w:ascii="Palatino" w:hAnsi="Palatino"/>
          <w:b w:val="0"/>
          <w:i w:val="0"/>
        </w:rPr>
        <w:t xml:space="preserve"> </w:t>
      </w:r>
      <w:r>
        <w:rPr>
          <w:rFonts w:ascii="Palatino" w:hAnsi="Palatino"/>
          <w:b/>
          <w:color w:val="9B2323"/>
        </w:rPr>
        <w:t>[X,XXX]</w:t>
      </w:r>
      <w:r>
        <w:rPr>
          <w:rFonts w:ascii="Palatino" w:hAnsi="Palatino"/>
          <w:b/>
          <w:i w:val="0"/>
        </w:rPr>
        <w:t xml:space="preserve"> ponto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color w:val="9B2323"/>
        </w:rPr>
        <w:t>[mmm-AAAA]</w:t>
      </w:r>
      <w:r>
        <w:rPr>
          <w:rFonts w:ascii="Palatino" w:hAnsi="Palatino"/>
          <w:b w:val="0"/>
          <w:i w:val="0"/>
        </w:rPr>
        <w:t xml:space="preserve">. </w:t>
      </w:r>
      <w:r>
        <w:rPr>
          <w:rFonts w:ascii="Palatino" w:hAnsi="Palatino"/>
          <w:b/>
          <w:color w:val="9B2323"/>
        </w:rPr>
        <w:t>[Breve caracterização: variação disseminada ou concentrada nos componentes.]</w:t>
      </w:r>
    </w:p>
    <w:p>
      <w:pPr>
        <w:numPr>
          <w:ilvl w:val="0"/>
          <w:numId w:val="11"/>
        </w:numPr>
        <w:widowControl/>
        <w:spacing w:line="300" w:lineRule="exact" w:before="60" w:after="0"/>
        <w:ind w:left="454" w:firstLine="0"/>
        <w:jc w:val="both"/>
      </w:pPr>
      <w:r>
        <w:rPr>
          <w:rFonts w:ascii="Palatino" w:hAnsi="Palatino"/>
          <w:b w:val="0"/>
          <w:i w:val="0"/>
        </w:rPr>
        <w:t xml:space="preserve">Comprometimento de renda (C) passou de </w:t>
      </w:r>
      <w:r>
        <w:rPr>
          <w:rFonts w:ascii="Palatino" w:hAnsi="Palatino"/>
          <w:b/>
          <w:color w:val="9B2323"/>
        </w:rPr>
        <w:t>[XX,X]</w:t>
      </w:r>
      <w:r>
        <w:rPr>
          <w:rFonts w:ascii="Palatino" w:hAnsi="Palatino"/>
          <w:b/>
          <w:i w:val="0"/>
        </w:rPr>
        <w:t>%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color w:val="9B2323"/>
        </w:rPr>
        <w:t>[XX,X]</w:t>
      </w:r>
      <w:r>
        <w:rPr>
          <w:rFonts w:ascii="Palatino" w:hAnsi="Palatino"/>
          <w:b/>
          <w:i w:val="0"/>
        </w:rPr>
        <w:t>%</w:t>
      </w:r>
      <w:r>
        <w:rPr>
          <w:rFonts w:ascii="Palatino" w:hAnsi="Palatino"/>
          <w:b w:val="0"/>
          <w:i w:val="0"/>
        </w:rPr>
        <w:t xml:space="preserve"> (</w:t>
      </w:r>
      <w:r>
        <w:rPr>
          <w:rFonts w:ascii="Palatino" w:hAnsi="Palatino"/>
          <w:b/>
          <w:color w:val="9B2323"/>
        </w:rPr>
        <w:t>[±X,X]</w:t>
      </w:r>
      <w:r>
        <w:rPr>
          <w:rFonts w:ascii="Palatino" w:hAnsi="Palatino"/>
          <w:b w:val="0"/>
          <w:i w:val="0"/>
        </w:rPr>
        <w:t xml:space="preserve"> p.p.). </w:t>
      </w:r>
      <w:r>
        <w:rPr>
          <w:rFonts w:ascii="Palatino" w:hAnsi="Palatino"/>
          <w:b/>
          <w:color w:val="9B2323"/>
        </w:rPr>
        <w:t>[Contextualização histórica e interpretação econômica.]</w:t>
      </w:r>
    </w:p>
    <w:p>
      <w:pPr>
        <w:numPr>
          <w:ilvl w:val="0"/>
          <w:numId w:val="11"/>
        </w:numPr>
        <w:widowControl/>
        <w:spacing w:line="300" w:lineRule="exact" w:before="60" w:after="0"/>
        <w:ind w:left="454" w:firstLine="0"/>
        <w:jc w:val="both"/>
      </w:pPr>
      <w:r>
        <w:rPr>
          <w:rFonts w:ascii="Palatino" w:hAnsi="Palatino"/>
          <w:b w:val="0"/>
          <w:i w:val="0"/>
        </w:rPr>
        <w:t xml:space="preserve">Inadimplência (I) </w:t>
      </w:r>
      <w:r>
        <w:rPr>
          <w:rFonts w:ascii="Palatino" w:hAnsi="Palatino"/>
          <w:b/>
          <w:color w:val="9B2323"/>
        </w:rPr>
        <w:t>[avançou/recuou]</w:t>
      </w:r>
      <w:r>
        <w:rPr>
          <w:rFonts w:ascii="Palatino" w:hAnsi="Palatino"/>
          <w:b w:val="0"/>
          <w:i w:val="0"/>
        </w:rPr>
        <w:t xml:space="preserve"> de </w:t>
      </w:r>
      <w:r>
        <w:rPr>
          <w:rFonts w:ascii="Palatino" w:hAnsi="Palatino"/>
          <w:b/>
          <w:color w:val="9B2323"/>
        </w:rPr>
        <w:t>[X,X]</w:t>
      </w:r>
      <w:r>
        <w:rPr>
          <w:rFonts w:ascii="Palatino" w:hAnsi="Palatino"/>
          <w:b/>
          <w:i w:val="0"/>
        </w:rPr>
        <w:t>%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color w:val="9B2323"/>
        </w:rPr>
        <w:t>[X,X]</w:t>
      </w:r>
      <w:r>
        <w:rPr>
          <w:rFonts w:ascii="Palatino" w:hAnsi="Palatino"/>
          <w:b/>
          <w:i w:val="0"/>
        </w:rPr>
        <w:t>%</w:t>
      </w:r>
      <w:r>
        <w:rPr>
          <w:rFonts w:ascii="Palatino" w:hAnsi="Palatino"/>
          <w:b w:val="0"/>
          <w:i w:val="0"/>
        </w:rPr>
        <w:t xml:space="preserve"> (</w:t>
      </w:r>
      <w:r>
        <w:rPr>
          <w:rFonts w:ascii="Palatino" w:hAnsi="Palatino"/>
          <w:b/>
          <w:color w:val="9B2323"/>
        </w:rPr>
        <w:t>[±X,X]</w:t>
      </w:r>
      <w:r>
        <w:rPr>
          <w:rFonts w:ascii="Palatino" w:hAnsi="Palatino"/>
          <w:b w:val="0"/>
          <w:i w:val="0"/>
        </w:rPr>
        <w:t xml:space="preserve"> p.p.). </w:t>
      </w:r>
      <w:r>
        <w:rPr>
          <w:rFonts w:ascii="Palatino" w:hAnsi="Palatino"/>
          <w:b/>
          <w:color w:val="9B2323"/>
        </w:rPr>
        <w:t>[Contextualização histórica e interpretação econômica.]</w:t>
      </w:r>
    </w:p>
    <w:p>
      <w:pPr>
        <w:numPr>
          <w:ilvl w:val="0"/>
          <w:numId w:val="11"/>
        </w:numPr>
        <w:widowControl/>
        <w:spacing w:line="300" w:lineRule="exact" w:before="60" w:after="0"/>
        <w:ind w:left="454" w:firstLine="0"/>
        <w:jc w:val="both"/>
      </w:pPr>
      <w:r>
        <w:rPr>
          <w:rFonts w:ascii="Palatino" w:hAnsi="Palatino"/>
          <w:b w:val="0"/>
          <w:i w:val="0"/>
        </w:rPr>
        <w:t xml:space="preserve">Qualidade do crédito (Q) </w:t>
      </w:r>
      <w:r>
        <w:rPr>
          <w:rFonts w:ascii="Palatino" w:hAnsi="Palatino"/>
          <w:b/>
          <w:color w:val="9B2323"/>
        </w:rPr>
        <w:t>[subiu/caiu]</w:t>
      </w:r>
      <w:r>
        <w:rPr>
          <w:rFonts w:ascii="Palatino" w:hAnsi="Palatino"/>
          <w:b w:val="0"/>
          <w:i w:val="0"/>
        </w:rPr>
        <w:t xml:space="preserve"> de </w:t>
      </w:r>
      <w:r>
        <w:rPr>
          <w:rFonts w:ascii="Palatino" w:hAnsi="Palatino"/>
          <w:b/>
          <w:color w:val="9B2323"/>
        </w:rPr>
        <w:t>[XX,X]</w:t>
      </w:r>
      <w:r>
        <w:rPr>
          <w:rFonts w:ascii="Palatino" w:hAnsi="Palatino"/>
          <w:b/>
          <w:i w:val="0"/>
        </w:rPr>
        <w:t>%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color w:val="9B2323"/>
        </w:rPr>
        <w:t>[XX,X]</w:t>
      </w:r>
      <w:r>
        <w:rPr>
          <w:rFonts w:ascii="Palatino" w:hAnsi="Palatino"/>
          <w:b/>
          <w:i w:val="0"/>
        </w:rPr>
        <w:t>%</w:t>
      </w:r>
      <w:r>
        <w:rPr>
          <w:rFonts w:ascii="Palatino" w:hAnsi="Palatino"/>
          <w:b w:val="0"/>
          <w:i w:val="0"/>
        </w:rPr>
        <w:t xml:space="preserve"> (</w:t>
      </w:r>
      <w:r>
        <w:rPr>
          <w:rFonts w:ascii="Palatino" w:hAnsi="Palatino"/>
          <w:b/>
          <w:color w:val="9B2323"/>
        </w:rPr>
        <w:t>[±X,X]</w:t>
      </w:r>
      <w:r>
        <w:rPr>
          <w:rFonts w:ascii="Palatino" w:hAnsi="Palatino"/>
          <w:b w:val="0"/>
          <w:i w:val="0"/>
        </w:rPr>
        <w:t xml:space="preserve"> p.p.). </w:t>
      </w:r>
      <w:r>
        <w:rPr>
          <w:rFonts w:ascii="Palatino" w:hAnsi="Palatino"/>
          <w:b/>
          <w:color w:val="9B2323"/>
        </w:rPr>
        <w:t>[Contextualização histórica e interpretação econômica.]</w:t>
      </w:r>
    </w:p>
    <w:p>
      <w:pPr>
        <w:widowControl/>
        <w:spacing w:line="300" w:lineRule="exact" w:before="0" w:after="0"/>
        <w:ind w:firstLine="300"/>
        <w:jc w:val="both"/>
      </w:pPr>
      <w:r>
        <w:rPr>
          <w:rFonts w:ascii="Palatino" w:hAnsi="Palatino"/>
          <w:b/>
          <w:color w:val="9B2323"/>
        </w:rPr>
        <w:t>[Parágrafo de síntese sobre o significado conjunto dos movimentos. Lembre: o IDC mede posição relativa, não endividamento absoluto.]</w:t>
      </w: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Trajetória do índice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 xml:space="preserve">A Figura </w:t>
      </w:r>
      <w:r>
        <w:rPr>
          <w:rFonts w:ascii="Palatino" w:hAnsi="Palatino"/>
          <w:b w:val="0"/>
          <w:i w:val="0"/>
        </w:rPr>
        <w:t>1</w:t>
      </w:r>
      <w:r>
        <w:rPr>
          <w:rFonts w:ascii="Palatino" w:hAnsi="Palatino"/>
          <w:b w:val="0"/>
          <w:i w:val="0"/>
        </w:rPr>
        <w:t xml:space="preserve"> apresenta a evolução do IDC desde jan-2014 e situa a observação mais recente no histórico do índice. A Figura </w:t>
      </w:r>
      <w:r>
        <w:rPr>
          <w:rFonts w:ascii="Palatino" w:hAnsi="Palatino"/>
          <w:b w:val="0"/>
          <w:i w:val="0"/>
        </w:rPr>
        <w:t>2</w:t>
      </w:r>
      <w:r>
        <w:rPr>
          <w:rFonts w:ascii="Palatino" w:hAnsi="Palatino"/>
          <w:b w:val="0"/>
          <w:i w:val="0"/>
        </w:rPr>
        <w:t xml:space="preserve"> detalha as séries brutas de comprometimento de renda, inadimplência e qualidade do crédito, permitindo relacionar a leitura agregada do IDC aos movimentos observados em cada componente.</w:t>
      </w: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Próxima atualização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 xml:space="preserve">A próxima atualização do IDC está prevista para a divulgação seguinte das Estatísticas Monetárias e de Crédito do Banco Central, esperada para </w:t>
      </w:r>
      <w:r>
        <w:rPr>
          <w:rFonts w:ascii="Palatino" w:hAnsi="Palatino"/>
          <w:b/>
          <w:color w:val="9B2323"/>
        </w:rPr>
        <w:t>[mês de ano]</w:t>
      </w:r>
      <w:r>
        <w:rPr>
          <w:rFonts w:ascii="Palatino" w:hAnsi="Palatino"/>
          <w:b w:val="0"/>
          <w:i w:val="0"/>
        </w:rPr>
        <w:t xml:space="preserve">. O índice será estendido para </w:t>
      </w:r>
      <w:r>
        <w:rPr>
          <w:rFonts w:ascii="Palatino" w:hAnsi="Palatino"/>
          <w:b/>
          <w:color w:val="9B2323"/>
        </w:rPr>
        <w:t>[mmm-AAAA]</w:t>
      </w:r>
      <w:r>
        <w:rPr>
          <w:rFonts w:ascii="Palatino" w:hAnsi="Palatino"/>
          <w:b w:val="0"/>
          <w:i w:val="0"/>
        </w:rPr>
        <w:t xml:space="preserve"> caso a série de comprometimento de renda das famílias (SGS 29034) avance para essa competência.</w:t>
      </w:r>
    </w:p>
    <w:p>
      <w:pPr>
        <w:pStyle w:val="Heading1"/>
        <w:spacing w:before="240" w:after="80"/>
      </w:pPr>
      <w:r>
        <w:rPr>
          <w:rFonts w:ascii="Palatino" w:hAnsi="Palatino"/>
          <w:b w:val="0"/>
          <w:i w:val="0"/>
        </w:rPr>
        <w:t>Notas</w:t>
      </w:r>
    </w:p>
    <w:p>
      <w:pPr>
        <w:pStyle w:val="IDCNotes"/>
        <w:widowControl/>
        <w:spacing w:line="26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 xml:space="preserve">Sobre o IDC. O Índice de Desconforto de Crédito (IDC) é construído a partir de três séries do Sistema Gerenciador de Séries Temporais (SGS) do Banco Central do Brasil: comprometimento de renda das famílias com o serviço da dívida (SGS 29034), inadimplência da carteira de crédito livre PF — atrasos superiores a 90 dias (SGS 21112) — e participação das modalidades onerosas (cheque especial, SGS 20573; crédito pessoal não consignado, SGS 20574; cartão de crédito rotativo, SGS 20587; cartão de crédito parcelado, SGS 20588) no total do crédito livre para pessoa física (SGS 20570). Cada componente é normalizado pelo método min-max com janela expansiva, a partir de mar-2011; o índice é exibido a partir de jan-2014, após o período de aquecimento da janela, e corresponde à média simples dos três componentes normalizados, contido no intervalo [0, 1]. Por construção, o IDC mede a posição relativa do mês corrente em relação ao histórico observado pelo índice. O relatório de divulgação está disponível em </w:t>
      </w:r>
      <w:hyperlink r:id="rId16">
        <w:r>
          <w:rPr>
            <w:color w:val="555555"/>
            <w:u w:val="single"/>
            <w:rFonts w:ascii="Palatino" w:hAnsi="Palatino"/>
          </w:rPr>
          <w:t>https://eaesp.fgv.br/producao-intelectual/indice-desconforto-credito-idc</w:t>
        </w:r>
      </w:hyperlink>
      <w:r>
        <w:rPr>
          <w:rFonts w:ascii="Palatino" w:hAnsi="Palatino"/>
          <w:b w:val="0"/>
          <w:i w:val="0"/>
        </w:rPr>
        <w:t>.</w:t>
      </w:r>
    </w:p>
    <w:p>
      <w:pPr>
        <w:pStyle w:val="IDCNotes"/>
        <w:widowControl/>
        <w:spacing w:line="26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>Revisões dos dados. Os valores históricos do IDC são recalculados a cada edição com a safra mais recente dos dados do Banco Central. Revisões com efeito material sobre o índice ou sua interpretação são descritas no relatório; a série disponibilizada incorpora todas as revisões identificadas.</w:t>
      </w:r>
    </w:p>
    <w:p>
      <w:pPr>
        <w:pStyle w:val="IDCNotes"/>
        <w:widowControl/>
        <w:spacing w:line="26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Citação recomendada. Gonzalez, L.; Carrijo, M. L.; Schiozer, R. </w:t>
      </w:r>
      <w:r>
        <w:rPr>
          <w:rFonts w:ascii="Palatino" w:hAnsi="Palatino"/>
          <w:b w:val="0"/>
          <w:i/>
        </w:rPr>
        <w:t>Índice de Desconforto de Crédito (IDC).</w:t>
      </w:r>
      <w:r>
        <w:rPr>
          <w:rFonts w:ascii="Palatino" w:hAnsi="Palatino"/>
          <w:b w:val="0"/>
          <w:i w:val="0"/>
        </w:rPr>
        <w:t xml:space="preserve"> FGVcemif/FGV-EAESP.</w:t>
      </w:r>
    </w:p>
    <w:p>
      <w:pPr>
        <w:pStyle w:val="Heading1"/>
        <w:pageBreakBefore/>
      </w:pPr>
      <w:r>
        <w:rPr>
          <w:rFonts w:ascii="Palatino" w:hAnsi="Palatino"/>
          <w:b w:val="0"/>
          <w:i w:val="0"/>
        </w:rPr>
        <w:t>Anexo de figuras</w:t>
      </w:r>
    </w:p>
    <w:tbl>
      <w:tblPr>
        <w:tblW w:type="dxa" w:w="8504"/>
        <w:tblLayout w:type="fixed"/>
        <w:tblLook w:firstColumn="1" w:firstRow="1" w:lastColumn="0" w:lastRow="0" w:noHBand="0" w:noVBand="1" w:val="04A0"/>
        <w:tblInd w:w="80" w:type="dxa"/>
      </w:tblPr>
      <w:tblGrid>
        <w:gridCol w:w="8504"/>
      </w:tblGrid>
      <w:tr>
        <w:trPr>
          <w:cantSplit/>
          <w:trHeight w:val="7937" w:hRule="exact"/>
        </w:trPr>
        <w:tc>
          <w:tcPr>
            <w:tcW w:type="dxa" w:w="8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6" w:color="A0A0A0"/>
              <w:start w:val="nil"/>
              <w:bottom w:val="single" w:sz="6" w:color="A0A0A0"/>
              <w:end w:val="nil"/>
              <w:insideH w:val="nil"/>
              <w:insideV w:val="nil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Helvetica" w:hAnsi="Helvetica"/>
                <w:color w:val="5F5F5F"/>
                <w:sz w:val="20"/>
              </w:rPr>
              <w:t>[index.png]</w:t>
            </w:r>
          </w:p>
        </w:tc>
      </w:tr>
    </w:tbl>
    <w:p>
      <w:pPr>
        <w:pStyle w:val="IDCCaption"/>
        <w:keepLines/>
        <w:jc w:val="center"/>
      </w:pPr>
      <w:r>
        <w:rPr>
          <w:rFonts w:ascii="Palatino" w:hAnsi="Palatino"/>
          <w:b/>
          <w:sz w:val="21"/>
        </w:rPr>
        <w:t xml:space="preserve">Figura 1. </w:t>
      </w:r>
      <w:r>
        <w:rPr>
          <w:rFonts w:ascii="Palatino" w:hAnsi="Palatino"/>
          <w:b w:val="0"/>
          <w:i/>
        </w:rPr>
        <w:t xml:space="preserve">Evolução do Índice de Desconforto de Crédito (jan-2014 a </w:t>
      </w:r>
      <w:r>
        <w:rPr>
          <w:rFonts w:ascii="Palatino" w:hAnsi="Palatino"/>
          <w:b/>
          <w:color w:val="9B2323"/>
        </w:rPr>
        <w:t>[mmm-AAAA]</w:t>
      </w:r>
      <w:r>
        <w:rPr>
          <w:rFonts w:ascii="Palatino" w:hAnsi="Palatino"/>
          <w:b w:val="0"/>
          <w:i/>
        </w:rPr>
        <w:t>).</w:t>
      </w:r>
    </w:p>
    <w:p>
      <w:pPr>
        <w:pStyle w:val="IDCSource"/>
        <w:keepLines/>
        <w:jc w:val="center"/>
      </w:pPr>
      <w:r>
        <w:rPr>
          <w:rFonts w:ascii="Palatino" w:hAnsi="Palatino"/>
          <w:i/>
          <w:sz w:val="19"/>
        </w:rPr>
        <w:t xml:space="preserve">Fonte: </w:t>
      </w:r>
      <w:r>
        <w:rPr>
          <w:rFonts w:ascii="Palatino" w:hAnsi="Palatino"/>
          <w:b w:val="0"/>
          <w:i/>
        </w:rPr>
        <w:t>BCB, elaboração própria.</w:t>
      </w:r>
    </w:p>
    <w:p>
      <w:r>
        <w:br w:type="page"/>
      </w:r>
    </w:p>
    <w:tbl>
      <w:tblPr>
        <w:tblW w:type="dxa" w:w="8504"/>
        <w:tblLayout w:type="fixed"/>
        <w:tblLook w:firstColumn="1" w:firstRow="1" w:lastColumn="0" w:lastRow="0" w:noHBand="0" w:noVBand="1" w:val="04A0"/>
        <w:tblInd w:w="80" w:type="dxa"/>
      </w:tblPr>
      <w:tblGrid>
        <w:gridCol w:w="8504"/>
      </w:tblGrid>
      <w:tr>
        <w:trPr>
          <w:cantSplit/>
          <w:trHeight w:val="9638" w:hRule="exact"/>
        </w:trPr>
        <w:tc>
          <w:tcPr>
            <w:tcW w:type="dxa" w:w="8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6" w:color="A0A0A0"/>
              <w:start w:val="nil"/>
              <w:bottom w:val="single" w:sz="6" w:color="A0A0A0"/>
              <w:end w:val="nil"/>
              <w:insideH w:val="nil"/>
              <w:insideV w:val="nil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Helvetica" w:hAnsi="Helvetica"/>
                <w:color w:val="5F5F5F"/>
                <w:sz w:val="20"/>
              </w:rPr>
              <w:t>[components_raw.png]</w:t>
            </w:r>
          </w:p>
        </w:tc>
      </w:tr>
    </w:tbl>
    <w:p>
      <w:pPr>
        <w:pStyle w:val="IDCCaption"/>
        <w:keepLines/>
        <w:jc w:val="center"/>
      </w:pPr>
      <w:r>
        <w:rPr>
          <w:rFonts w:ascii="Palatino" w:hAnsi="Palatino"/>
          <w:b/>
          <w:sz w:val="21"/>
        </w:rPr>
        <w:t xml:space="preserve">Figura 2. </w:t>
      </w:r>
      <w:r>
        <w:rPr>
          <w:rFonts w:ascii="Palatino" w:hAnsi="Palatino"/>
          <w:b w:val="0"/>
          <w:i/>
        </w:rPr>
        <w:t xml:space="preserve">Evolução das componentes brutas C, I e Q (mar-2011 a </w:t>
      </w:r>
      <w:r>
        <w:rPr>
          <w:rFonts w:ascii="Palatino" w:hAnsi="Palatino"/>
          <w:b/>
          <w:color w:val="9B2323"/>
        </w:rPr>
        <w:t>[mmm-AAAA]</w:t>
      </w:r>
      <w:r>
        <w:rPr>
          <w:rFonts w:ascii="Palatino" w:hAnsi="Palatino"/>
          <w:b w:val="0"/>
          <w:i/>
        </w:rPr>
        <w:t>).</w:t>
      </w:r>
    </w:p>
    <w:p>
      <w:pPr>
        <w:pStyle w:val="IDCSource"/>
        <w:keepLines/>
        <w:jc w:val="center"/>
      </w:pPr>
      <w:r>
        <w:rPr>
          <w:rFonts w:ascii="Palatino" w:hAnsi="Palatino"/>
          <w:i/>
          <w:sz w:val="19"/>
        </w:rPr>
        <w:t xml:space="preserve">Fonte: </w:t>
      </w:r>
      <w:r>
        <w:rPr>
          <w:rFonts w:ascii="Palatino" w:hAnsi="Palatino"/>
          <w:b w:val="0"/>
          <w:i/>
        </w:rPr>
        <w:t>BCB, elaboração própria.</w:t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567" w:footer="567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Palatino" w:hAnsi="Palatino"/>
        <w:b/>
        <w:color w:val="9B2323"/>
        <w:sz w:val="22"/>
      </w:rPr>
      <w:t>[dia de mês de ano]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Palatino" w:hAnsi="Palatino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Palatino" w:hAnsi="Palatino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IDCHeader"/>
      <w:tabs>
        <w:tab w:pos="8504" w:val="right"/>
      </w:tabs>
      <w:pBdr>
        <w:bottom w:val="single" w:sz="4" w:space="1" w:color="BFBFBF"/>
      </w:pBdr>
    </w:pPr>
    <w:r>
      <w:rPr>
        <w:rFonts w:ascii="Palatino" w:hAnsi="Palatino"/>
        <w:b w:val="0"/>
        <w:i/>
      </w:rPr>
      <w:t>Índice de Desconforto de Crédito</w:t>
    </w:r>
    <w:r>
      <w:tab/>
    </w:r>
    <w:r>
      <w:rPr>
        <w:rFonts w:ascii="Palatino" w:hAnsi="Palatino"/>
        <w:b w:val="0"/>
        <w:i/>
      </w:rPr>
      <w:t>FGVcemif / FGV-EAESP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pBdr>
        <w:bottom w:val="single" w:sz="4" w:space="1" w:color="BFBFB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pStyle w:val="Heading1"/>
      <w:suff w:val="space"/>
      <w:lvlText w:val="%1"/>
      <w:lvlJc w:val="left"/>
      <w:pPr>
        <w:ind w:left="0" w:hanging="0"/>
      </w:pPr>
      <w:rPr>
        <w:rFonts w:ascii="Palatino" w:hAnsi="Palatino"/>
        <w:b/>
      </w:rPr>
    </w:lvl>
  </w:abstractNum>
  <w:abstractNum w:abstractNumId="10">
    <w:multiLevelType w:val="single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Palatino" w:hAnsi="Palatino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before="0" w:after="0"/>
    </w:pPr>
    <w:rPr>
      <w:rFonts w:ascii="Palatino" w:hAnsi="Palatin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Palatino" w:hAnsi="Palatino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DCCaption">
    <w:name w:val="IDC Caption"/>
    <w:pPr>
      <w:keepNext/>
      <w:spacing w:before="0" w:after="80"/>
    </w:pPr>
    <w:rPr>
      <w:rFonts w:ascii="Palatino" w:hAnsi="Palatino"/>
      <w:i/>
      <w:color w:val="000000"/>
      <w:sz w:val="21"/>
    </w:rPr>
  </w:style>
  <w:style w:type="paragraph" w:customStyle="1" w:styleId="IDCSource">
    <w:name w:val="IDC Source"/>
    <w:pPr>
      <w:keepNext w:val="0"/>
      <w:spacing w:before="0" w:after="160"/>
    </w:pPr>
    <w:rPr>
      <w:rFonts w:ascii="Palatino" w:hAnsi="Palatino"/>
      <w:i/>
      <w:color w:val="000000"/>
      <w:sz w:val="19"/>
    </w:rPr>
  </w:style>
  <w:style w:type="paragraph" w:customStyle="1" w:styleId="IDCHeader">
    <w:name w:val="IDC Header"/>
    <w:pPr>
      <w:keepNext w:val="0"/>
      <w:spacing w:before="0" w:after="160"/>
    </w:pPr>
    <w:rPr>
      <w:rFonts w:ascii="Palatino" w:hAnsi="Palatino"/>
      <w:i/>
      <w:color w:val="000000"/>
      <w:sz w:val="18"/>
    </w:rPr>
  </w:style>
  <w:style w:type="paragraph" w:customStyle="1" w:styleId="IDCNotes">
    <w:name w:val="IDC Notes"/>
    <w:pPr>
      <w:spacing w:line="260" w:lineRule="exact" w:before="0" w:after="0"/>
    </w:pPr>
    <w:rPr>
      <w:rFonts w:ascii="Palatino" w:hAnsi="Palatino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eaesp.fgv.br/producao-intelectual/indice-desconforto-credito-id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Desconforto de Crédito</dc:title>
  <dc:subject>Nota Técnica de Atualização do IDC</dc:subject>
  <dc:creator>Lauro Gonzalez; Matheus L. Carrijo; Rafael Schiozer</dc:creator>
  <cp:keywords>crédito, endividamento, Brasil, BCB, FGV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