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julho de 2026; competência maio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julho de 2026, das Estatísticas Monetárias e de Crédito do Banco Central do Brasil (competência 202607), o Índice de Desconforto de Crédito (IDC) foi recalculado e estendido até maio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o IDC alcançou </w:t>
      </w:r>
      <w:r>
        <w:rPr>
          <w:rFonts w:ascii="Palatino" w:hAnsi="Palatino"/>
          <w:b/>
          <w:i w:val="0"/>
        </w:rPr>
        <w:t>0,981</w:t>
      </w:r>
      <w:r>
        <w:rPr>
          <w:rFonts w:ascii="Palatino" w:hAnsi="Palatino"/>
          <w:b w:val="0"/>
          <w:i w:val="0"/>
        </w:rPr>
        <w:t xml:space="preserve">, o quarto maior valor das </w:t>
      </w:r>
      <w:r>
        <w:rPr>
          <w:rFonts w:ascii="Palatino" w:hAnsi="Palatino"/>
          <w:b/>
          <w:i w:val="0"/>
        </w:rPr>
        <w:t>149</w:t>
      </w:r>
      <w:r>
        <w:rPr>
          <w:rFonts w:ascii="Palatino" w:hAnsi="Palatino"/>
          <w:b w:val="0"/>
          <w:i w:val="0"/>
        </w:rPr>
        <w:t xml:space="preserve"> observações válidas e próximo do máximo histórico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resultado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do histórico observado, comprometimento de renda e inadimplência ficaram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qualidade do crédito marcou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maio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mai-2026.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0,981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28,5%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7,6%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0,944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202607),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— o índice recuou </w:t>
      </w:r>
      <w:r>
        <w:rPr>
          <w:rFonts w:ascii="Palatino" w:hAnsi="Palatino"/>
          <w:b/>
          <w:i w:val="0"/>
        </w:rPr>
        <w:t>0,009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>. O movimento não foi disseminado: o recuo resultou da queda de Q, enquanto C e I avançaram.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i w:val="0"/>
        </w:rPr>
        <w:t>28,4%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28,5%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0,1 p.p.</w:t>
      </w:r>
      <w:r>
        <w:rPr>
          <w:rFonts w:ascii="Palatino" w:hAnsi="Palatino"/>
          <w:b w:val="0"/>
          <w:i w:val="0"/>
        </w:rPr>
        <w:t xml:space="preserve">). O acréscimo levou C ao máximo da série iniciada em </w:t>
      </w:r>
      <w:r>
        <w:rPr>
          <w:rFonts w:ascii="Palatino" w:hAnsi="Palatino"/>
          <w:b/>
          <w:i w:val="0"/>
        </w:rPr>
        <w:t>mar-2011</w:t>
      </w:r>
      <w:r>
        <w:rPr>
          <w:rFonts w:ascii="Palatino" w:hAnsi="Palatino"/>
          <w:b w:val="0"/>
          <w:i w:val="0"/>
        </w:rPr>
        <w:t xml:space="preserve"> e manteve seu valor normalizado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de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7,6%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0,2 p.p.</w:t>
      </w:r>
      <w:r>
        <w:rPr>
          <w:rFonts w:ascii="Palatino" w:hAnsi="Palatino"/>
          <w:b w:val="0"/>
          <w:i w:val="0"/>
        </w:rPr>
        <w:t xml:space="preserve">). A alta também levou I ao máximo da série bruta e ao valor normalizado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24,9%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-0,2 p.p.</w:t>
      </w:r>
      <w:r>
        <w:rPr>
          <w:rFonts w:ascii="Palatino" w:hAnsi="Palatino"/>
          <w:b w:val="0"/>
          <w:i w:val="0"/>
        </w:rPr>
        <w:t xml:space="preserve">). O valor normalizado recuou de </w:t>
      </w:r>
      <w:r>
        <w:rPr>
          <w:rFonts w:ascii="Palatino" w:hAnsi="Palatino"/>
          <w:b/>
          <w:i w:val="0"/>
        </w:rPr>
        <w:t>0,971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 xml:space="preserve">, afastando-se do máximo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registrado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>. Ainda assim, Q permaneceu próximo do extremo superior de sua faixa histórica.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Com C e I no teto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da escala normalizada, Q foi o único componente a se mover na agregação e determinou o pequeno recuo do IDC. O indicador mede a posição relativa do desconforto de crédito,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As Figuras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apresentam, respectivamente, a trajetória do IDC desde jan-2014 e as séries brutas de C, I e Q.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é esperada para agosto de 2026; o IDC será estendido para jun-2026 caso a série de comprometimento de renda (SGS 29034) avance até lá.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Revisões dos dados. Os valores históricos do IDC são recalculados a cada edição com a safra mais recente dos dados do Banco Central. Revisões com efeito material sobre o índice ou sua interpretação são descritas no relatório; a série disponibilizada incorpora todas as revisões identificadas.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67603"/>
            <wp:docPr id="3" name="Picture 3" descr="Evolução das componentes brutas C, I e Q (mar-2011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4 de agosto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