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AB1E2" w14:textId="77777777" w:rsidR="00384ADD" w:rsidRDefault="00000000">
      <w:pPr>
        <w:spacing w:after="1020" w:line="240" w:lineRule="auto"/>
        <w:jc w:val="right"/>
        <w:rPr>
          <w:rFonts w:hint="eastAsia"/>
        </w:rPr>
      </w:pPr>
      <w:r>
        <w:rPr>
          <w:noProof/>
        </w:rPr>
        <w:drawing>
          <wp:inline distT="0" distB="0" distL="0" distR="0" wp14:anchorId="4B351728" wp14:editId="4EC62FA0">
            <wp:extent cx="2844000" cy="723927"/>
            <wp:effectExtent l="0" t="0" r="0" b="0"/>
            <wp:docPr id="1" name="Picture 1" descr="Logotipo FGV EAESP e FGVcem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4000" cy="72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E911" w14:textId="77777777" w:rsidR="00384ADD" w:rsidRDefault="00000000">
      <w:pPr>
        <w:spacing w:before="680" w:after="170"/>
        <w:jc w:val="center"/>
        <w:rPr>
          <w:rFonts w:hint="eastAsia"/>
        </w:rPr>
      </w:pPr>
      <w:r>
        <w:rPr>
          <w:b/>
          <w:sz w:val="34"/>
        </w:rPr>
        <w:t>Índice de Desconforto de Crédito</w:t>
      </w:r>
    </w:p>
    <w:p w14:paraId="55B81355" w14:textId="77777777" w:rsidR="00384ADD" w:rsidRDefault="00000000">
      <w:pPr>
        <w:spacing w:after="680"/>
        <w:jc w:val="center"/>
        <w:rPr>
          <w:rFonts w:hint="eastAsia"/>
        </w:rPr>
      </w:pPr>
      <w:r>
        <w:rPr>
          <w:i/>
          <w:sz w:val="24"/>
        </w:rPr>
        <w:t>Nota Técnica de Atualização — Divulgação agosto de 2026; competência junho de 2026</w:t>
      </w:r>
    </w:p>
    <w:p w14:paraId="11CA7BC6" w14:textId="77777777" w:rsidR="00384ADD" w:rsidRDefault="00000000">
      <w:pPr>
        <w:spacing w:line="276" w:lineRule="auto"/>
        <w:jc w:val="right"/>
        <w:rPr>
          <w:rFonts w:hint="eastAsia"/>
        </w:rPr>
      </w:pPr>
      <w:r>
        <w:rPr>
          <w:sz w:val="24"/>
        </w:rPr>
        <w:t>Lauro Gonzalez</w:t>
      </w:r>
      <w:r>
        <w:br/>
      </w:r>
      <w:r>
        <w:rPr>
          <w:sz w:val="24"/>
        </w:rPr>
        <w:t>Matheus L. Carrijo</w:t>
      </w:r>
      <w:r>
        <w:br/>
      </w:r>
      <w:r>
        <w:rPr>
          <w:sz w:val="24"/>
        </w:rPr>
        <w:t>Rafael Schiozer</w:t>
      </w:r>
    </w:p>
    <w:p w14:paraId="1FFB10E1" w14:textId="77777777" w:rsidR="00384ADD" w:rsidRDefault="00384ADD">
      <w:pPr>
        <w:rPr>
          <w:rFonts w:hint="eastAsia"/>
        </w:rPr>
        <w:sectPr w:rsidR="00384ADD">
          <w:headerReference w:type="default" r:id="rId9"/>
          <w:footerReference w:type="default" r:id="rId10"/>
          <w:pgSz w:w="11906" w:h="16838"/>
          <w:pgMar w:top="1417" w:right="1701" w:bottom="1417" w:left="1701" w:header="567" w:footer="567" w:gutter="0"/>
          <w:cols w:space="720"/>
          <w:docGrid w:linePitch="360"/>
        </w:sectPr>
      </w:pPr>
    </w:p>
    <w:p w14:paraId="7DC3592F" w14:textId="77777777" w:rsidR="00384ADD" w:rsidRDefault="00000000">
      <w:pPr>
        <w:pStyle w:val="Ttulo1"/>
        <w:numPr>
          <w:ilvl w:val="0"/>
          <w:numId w:val="10"/>
        </w:numPr>
      </w:pPr>
      <w:r>
        <w:rPr>
          <w:rFonts w:ascii="Palatino" w:hAnsi="Palatino"/>
          <w:b w:val="0"/>
        </w:rPr>
        <w:lastRenderedPageBreak/>
        <w:t>Resumo</w:t>
      </w:r>
    </w:p>
    <w:p w14:paraId="4A414AEC" w14:textId="77777777" w:rsidR="00384ADD" w:rsidRDefault="00000000">
      <w:pPr>
        <w:jc w:val="both"/>
        <w:rPr>
          <w:rFonts w:hint="eastAsia"/>
        </w:rPr>
      </w:pPr>
      <w:r>
        <w:t>Com a publicação, em agosto de 2026, das Estatísticas Monetárias e de Crédito do Banco Central do Brasil (competência 202608), o Índice de Desconforto de Crédito (IDC) foi recalculado e estendido até junho de 2026 — último mês para o qual há observação disponível da série de comprometimento de renda das famílias (SGS 29034), que delimita o horizonte de cálculo do índice.</w:t>
      </w:r>
    </w:p>
    <w:p w14:paraId="45E41A53" w14:textId="77777777" w:rsidR="00384ADD" w:rsidRDefault="00000000">
      <w:pPr>
        <w:ind w:firstLine="300"/>
        <w:jc w:val="both"/>
        <w:rPr>
          <w:rFonts w:hint="eastAsia"/>
        </w:rPr>
      </w:pPr>
      <w:r>
        <w:t xml:space="preserve">Em </w:t>
      </w:r>
      <w:r>
        <w:rPr>
          <w:b/>
        </w:rPr>
        <w:t>jun-2026</w:t>
      </w:r>
      <w:r>
        <w:t xml:space="preserve">, o IDC foi de </w:t>
      </w:r>
      <w:r>
        <w:rPr>
          <w:b/>
        </w:rPr>
        <w:t>0,959</w:t>
      </w:r>
      <w:r>
        <w:t xml:space="preserve">, com recuo de </w:t>
      </w:r>
      <w:r>
        <w:rPr>
          <w:b/>
        </w:rPr>
        <w:t>0,024 ponto</w:t>
      </w:r>
      <w:r>
        <w:t xml:space="preserve"> em relação aos </w:t>
      </w:r>
      <w:r>
        <w:rPr>
          <w:b/>
        </w:rPr>
        <w:t>0,983</w:t>
      </w:r>
      <w:r>
        <w:t xml:space="preserve"> de </w:t>
      </w:r>
      <w:r>
        <w:rPr>
          <w:b/>
        </w:rPr>
        <w:t>mai-2026</w:t>
      </w:r>
      <w:r>
        <w:t xml:space="preserve">, ambos calculados com a safra </w:t>
      </w:r>
      <w:r>
        <w:rPr>
          <w:b/>
        </w:rPr>
        <w:t>202608</w:t>
      </w:r>
      <w:r>
        <w:t xml:space="preserve">. Apesar da redução, o resultado foi o 11º maior entre as </w:t>
      </w:r>
      <w:r>
        <w:rPr>
          <w:b/>
        </w:rPr>
        <w:t>150</w:t>
      </w:r>
      <w:r>
        <w:t xml:space="preserve"> observações válidas desde </w:t>
      </w:r>
      <w:r>
        <w:rPr>
          <w:b/>
        </w:rPr>
        <w:t>jan-2014</w:t>
      </w:r>
      <w:r>
        <w:t xml:space="preserve">. Na escala normalizada, em que </w:t>
      </w:r>
      <w:r>
        <w:rPr>
          <w:b/>
        </w:rPr>
        <w:t>1,000</w:t>
      </w:r>
      <w:r>
        <w:t xml:space="preserve"> representa o pior e </w:t>
      </w:r>
      <w:r>
        <w:rPr>
          <w:b/>
        </w:rPr>
        <w:t>0,000</w:t>
      </w:r>
      <w:r>
        <w:t xml:space="preserve"> o melhor resultado histórico observado, C marcou </w:t>
      </w:r>
      <w:r>
        <w:rPr>
          <w:b/>
        </w:rPr>
        <w:t>1,000</w:t>
      </w:r>
      <w:r>
        <w:t xml:space="preserve">, I, </w:t>
      </w:r>
      <w:r>
        <w:rPr>
          <w:b/>
        </w:rPr>
        <w:t>0,971</w:t>
      </w:r>
      <w:r>
        <w:t xml:space="preserve">, e Q, </w:t>
      </w:r>
      <w:r>
        <w:rPr>
          <w:b/>
        </w:rPr>
        <w:t>0,907</w:t>
      </w:r>
      <w:r>
        <w:t>.</w:t>
      </w:r>
    </w:p>
    <w:p w14:paraId="5AD2ACC8" w14:textId="77777777" w:rsidR="00384ADD" w:rsidRDefault="00000000">
      <w:pPr>
        <w:pStyle w:val="Ttulo1"/>
        <w:numPr>
          <w:ilvl w:val="0"/>
          <w:numId w:val="10"/>
        </w:numPr>
      </w:pPr>
      <w:r>
        <w:rPr>
          <w:rFonts w:ascii="Palatino" w:hAnsi="Palatino"/>
          <w:b w:val="0"/>
        </w:rPr>
        <w:t>Resultados de junho de 2026</w:t>
      </w:r>
    </w:p>
    <w:p w14:paraId="5F3B4B32" w14:textId="77777777" w:rsidR="00384ADD" w:rsidRDefault="00000000">
      <w:pPr>
        <w:pStyle w:val="IDCCaption"/>
        <w:jc w:val="center"/>
        <w:rPr>
          <w:rFonts w:hint="eastAsia"/>
        </w:rPr>
      </w:pPr>
      <w:r>
        <w:rPr>
          <w:b/>
        </w:rPr>
        <w:t xml:space="preserve">Tabela 1. </w:t>
      </w:r>
      <w:r>
        <w:t>Componentes brutos e valores normalizados do IDC — jun-2026.</w:t>
      </w:r>
    </w:p>
    <w:tbl>
      <w:tblPr>
        <w:tblW w:w="8504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4535"/>
        <w:gridCol w:w="1700"/>
        <w:gridCol w:w="2269"/>
      </w:tblGrid>
      <w:tr w:rsidR="00384ADD" w14:paraId="100F84B0" w14:textId="77777777">
        <w:trPr>
          <w:cantSplit/>
          <w:tblHeader/>
        </w:trPr>
        <w:tc>
          <w:tcPr>
            <w:tcW w:w="453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C0B581" w14:textId="77777777" w:rsidR="00384ADD" w:rsidRDefault="00000000">
            <w:pPr>
              <w:spacing w:line="240" w:lineRule="auto"/>
              <w:rPr>
                <w:rFonts w:hint="eastAsia"/>
              </w:rPr>
            </w:pPr>
            <w:r>
              <w:t>Indicador</w:t>
            </w:r>
          </w:p>
        </w:tc>
        <w:tc>
          <w:tcPr>
            <w:tcW w:w="17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FFBE65" w14:textId="77777777" w:rsidR="00384ADD" w:rsidRDefault="00000000">
            <w:pPr>
              <w:spacing w:line="240" w:lineRule="auto"/>
              <w:jc w:val="right"/>
              <w:rPr>
                <w:rFonts w:hint="eastAsia"/>
              </w:rPr>
            </w:pPr>
            <w:r>
              <w:t>Valor bruto</w:t>
            </w:r>
          </w:p>
        </w:tc>
        <w:tc>
          <w:tcPr>
            <w:tcW w:w="2269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38332A" w14:textId="77777777" w:rsidR="00384ADD" w:rsidRDefault="00000000">
            <w:pPr>
              <w:spacing w:line="240" w:lineRule="auto"/>
              <w:jc w:val="right"/>
              <w:rPr>
                <w:rFonts w:hint="eastAsia"/>
              </w:rPr>
            </w:pPr>
            <w:r>
              <w:t>Valor normalizado</w:t>
            </w:r>
          </w:p>
        </w:tc>
      </w:tr>
      <w:tr w:rsidR="00384ADD" w14:paraId="54835A04" w14:textId="77777777">
        <w:trPr>
          <w:cantSplit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6210C8" w14:textId="77777777" w:rsidR="00384ADD" w:rsidRDefault="00000000">
            <w:pPr>
              <w:spacing w:line="240" w:lineRule="auto"/>
              <w:rPr>
                <w:rFonts w:hint="eastAsia"/>
              </w:rPr>
            </w:pPr>
            <w:r>
              <w:t>IDC (média dos componentes normalizados)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2A8F03" w14:textId="77777777" w:rsidR="00384ADD" w:rsidRDefault="00000000">
            <w:pPr>
              <w:spacing w:line="240" w:lineRule="auto"/>
              <w:jc w:val="right"/>
              <w:rPr>
                <w:rFonts w:hint="eastAsia"/>
              </w:rPr>
            </w:pPr>
            <w:r>
              <w:t>—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BD556F" w14:textId="77777777" w:rsidR="00384ADD" w:rsidRDefault="00000000">
            <w:pPr>
              <w:spacing w:line="240" w:lineRule="auto"/>
              <w:jc w:val="right"/>
              <w:rPr>
                <w:rFonts w:hint="eastAsia"/>
              </w:rPr>
            </w:pPr>
            <w:r>
              <w:rPr>
                <w:b/>
              </w:rPr>
              <w:t>0,959</w:t>
            </w:r>
          </w:p>
        </w:tc>
      </w:tr>
      <w:tr w:rsidR="00384ADD" w14:paraId="0DEBEE7E" w14:textId="77777777">
        <w:trPr>
          <w:cantSplit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12B5C" w14:textId="77777777" w:rsidR="00384ADD" w:rsidRDefault="00000000">
            <w:pPr>
              <w:spacing w:line="240" w:lineRule="auto"/>
              <w:rPr>
                <w:rFonts w:hint="eastAsia"/>
              </w:rPr>
            </w:pPr>
            <w:r>
              <w:t>C — Comprometimento de renda das famílias com a dívida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895571" w14:textId="77777777" w:rsidR="00384ADD" w:rsidRDefault="00000000">
            <w:pPr>
              <w:spacing w:line="240" w:lineRule="auto"/>
              <w:jc w:val="right"/>
              <w:rPr>
                <w:rFonts w:hint="eastAsia"/>
              </w:rPr>
            </w:pPr>
            <w:r>
              <w:t>28,9%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9FB4E7" w14:textId="77777777" w:rsidR="00384ADD" w:rsidRDefault="00000000">
            <w:pPr>
              <w:spacing w:line="240" w:lineRule="auto"/>
              <w:jc w:val="right"/>
              <w:rPr>
                <w:rFonts w:hint="eastAsia"/>
              </w:rPr>
            </w:pPr>
            <w:r>
              <w:t>1,000</w:t>
            </w:r>
          </w:p>
        </w:tc>
      </w:tr>
      <w:tr w:rsidR="00384ADD" w14:paraId="65A01854" w14:textId="77777777">
        <w:trPr>
          <w:cantSplit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912D1" w14:textId="77777777" w:rsidR="00384ADD" w:rsidRDefault="00000000">
            <w:pPr>
              <w:spacing w:line="240" w:lineRule="auto"/>
              <w:rPr>
                <w:rFonts w:hint="eastAsia"/>
              </w:rPr>
            </w:pPr>
            <w:r>
              <w:t>I — Inadimplência da carteira de crédito livre PF (90</w:t>
            </w:r>
            <w:r>
              <w:rPr>
                <w:rFonts w:ascii="Arial" w:hAnsi="Arial"/>
              </w:rPr>
              <w:t>+</w:t>
            </w:r>
            <w:r>
              <w:t xml:space="preserve"> dias)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C3BADC" w14:textId="77777777" w:rsidR="00384ADD" w:rsidRDefault="00000000">
            <w:pPr>
              <w:spacing w:line="240" w:lineRule="auto"/>
              <w:jc w:val="right"/>
              <w:rPr>
                <w:rFonts w:hint="eastAsia"/>
              </w:rPr>
            </w:pPr>
            <w:r>
              <w:t>7,4%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46915" w14:textId="77777777" w:rsidR="00384ADD" w:rsidRDefault="00000000">
            <w:pPr>
              <w:spacing w:line="240" w:lineRule="auto"/>
              <w:jc w:val="right"/>
              <w:rPr>
                <w:rFonts w:hint="eastAsia"/>
              </w:rPr>
            </w:pPr>
            <w:r>
              <w:t>0,971</w:t>
            </w:r>
          </w:p>
        </w:tc>
      </w:tr>
      <w:tr w:rsidR="00384ADD" w14:paraId="5FF612E3" w14:textId="77777777">
        <w:trPr>
          <w:cantSplit/>
        </w:trPr>
        <w:tc>
          <w:tcPr>
            <w:tcW w:w="453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D23637" w14:textId="77777777" w:rsidR="00384ADD" w:rsidRDefault="00000000">
            <w:pPr>
              <w:spacing w:line="240" w:lineRule="auto"/>
              <w:rPr>
                <w:rFonts w:hint="eastAsia"/>
              </w:rPr>
            </w:pPr>
            <w:r>
              <w:t>Q — Participação das modalidades onerosas no crédito livre PF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76C4CF" w14:textId="77777777" w:rsidR="00384ADD" w:rsidRDefault="00000000">
            <w:pPr>
              <w:spacing w:line="240" w:lineRule="auto"/>
              <w:jc w:val="right"/>
              <w:rPr>
                <w:rFonts w:hint="eastAsia"/>
              </w:rPr>
            </w:pPr>
            <w:r>
              <w:t>24,5%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68F119" w14:textId="77777777" w:rsidR="00384ADD" w:rsidRDefault="00000000">
            <w:pPr>
              <w:spacing w:line="240" w:lineRule="auto"/>
              <w:jc w:val="right"/>
              <w:rPr>
                <w:rFonts w:hint="eastAsia"/>
              </w:rPr>
            </w:pPr>
            <w:r>
              <w:t>0,907</w:t>
            </w:r>
          </w:p>
        </w:tc>
      </w:tr>
    </w:tbl>
    <w:p w14:paraId="7E3F8140" w14:textId="77777777" w:rsidR="00384ADD" w:rsidRDefault="00000000">
      <w:pPr>
        <w:pStyle w:val="IDCSource"/>
        <w:jc w:val="center"/>
        <w:rPr>
          <w:rFonts w:hint="eastAsia"/>
        </w:rPr>
      </w:pPr>
      <w:r>
        <w:t>Fonte: Banco Central do Brasil (Estatísticas Monetárias e de Crédito,</w:t>
      </w:r>
      <w:r>
        <w:br/>
        <w:t>divulgação 202608), elaboração própria.</w:t>
      </w:r>
    </w:p>
    <w:p w14:paraId="654E7EF1" w14:textId="77777777" w:rsidR="00384ADD" w:rsidRDefault="00000000">
      <w:pPr>
        <w:ind w:firstLine="300"/>
        <w:jc w:val="both"/>
        <w:rPr>
          <w:rFonts w:hint="eastAsia"/>
        </w:rPr>
      </w:pPr>
      <w:r>
        <w:t xml:space="preserve">Em relação à observação imediatamente anterior — </w:t>
      </w:r>
      <w:r>
        <w:rPr>
          <w:b/>
        </w:rPr>
        <w:t>mai-2026</w:t>
      </w:r>
      <w:r>
        <w:t xml:space="preserve">, quando o IDC marcava </w:t>
      </w:r>
      <w:r>
        <w:rPr>
          <w:b/>
        </w:rPr>
        <w:t>0,983</w:t>
      </w:r>
      <w:r>
        <w:t xml:space="preserve"> — o índice recuou </w:t>
      </w:r>
      <w:r>
        <w:rPr>
          <w:b/>
        </w:rPr>
        <w:t>0,024 ponto</w:t>
      </w:r>
      <w:r>
        <w:t xml:space="preserve"> em </w:t>
      </w:r>
      <w:r>
        <w:rPr>
          <w:b/>
        </w:rPr>
        <w:t>jun-2026</w:t>
      </w:r>
      <w:r>
        <w:t>. O movimento não foi disseminado: I e Q recuaram, enquanto C avançou e permaneceu no teto da escala normalizada.</w:t>
      </w:r>
    </w:p>
    <w:p w14:paraId="0F68C5C9" w14:textId="77777777" w:rsidR="00384ADD" w:rsidRDefault="00000000">
      <w:pPr>
        <w:numPr>
          <w:ilvl w:val="0"/>
          <w:numId w:val="11"/>
        </w:numPr>
        <w:spacing w:before="60"/>
        <w:ind w:left="454" w:firstLine="0"/>
        <w:jc w:val="both"/>
        <w:rPr>
          <w:rFonts w:hint="eastAsia"/>
        </w:rPr>
      </w:pPr>
      <w:r>
        <w:t xml:space="preserve">Comprometimento de renda (C) passou de </w:t>
      </w:r>
      <w:r>
        <w:rPr>
          <w:b/>
        </w:rPr>
        <w:t>28,5%</w:t>
      </w:r>
      <w:r>
        <w:t xml:space="preserve"> para </w:t>
      </w:r>
      <w:r>
        <w:rPr>
          <w:b/>
        </w:rPr>
        <w:t>28,9%</w:t>
      </w:r>
      <w:r>
        <w:t xml:space="preserve"> (</w:t>
      </w:r>
      <w:r>
        <w:rPr>
          <w:rFonts w:ascii="Arial" w:hAnsi="Arial"/>
          <w:b/>
        </w:rPr>
        <w:t>+</w:t>
      </w:r>
      <w:r>
        <w:rPr>
          <w:b/>
        </w:rPr>
        <w:t>0,4 p.p.</w:t>
      </w:r>
      <w:r>
        <w:t xml:space="preserve">). O avanço levou C a um novo máximo da série bruta. Como o componente já estava no limite superior da normalização, permaneceu em </w:t>
      </w:r>
      <w:r>
        <w:rPr>
          <w:b/>
        </w:rPr>
        <w:t>1,000</w:t>
      </w:r>
      <w:r>
        <w:t>, o pior posicionamento histórico observado.</w:t>
      </w:r>
    </w:p>
    <w:p w14:paraId="41786884" w14:textId="77777777" w:rsidR="00384ADD" w:rsidRDefault="00000000">
      <w:pPr>
        <w:numPr>
          <w:ilvl w:val="0"/>
          <w:numId w:val="11"/>
        </w:numPr>
        <w:spacing w:before="60"/>
        <w:ind w:left="454" w:firstLine="0"/>
        <w:jc w:val="both"/>
        <w:rPr>
          <w:rFonts w:hint="eastAsia"/>
        </w:rPr>
      </w:pPr>
      <w:r>
        <w:t xml:space="preserve">Inadimplência (I) recuou de </w:t>
      </w:r>
      <w:r>
        <w:rPr>
          <w:b/>
        </w:rPr>
        <w:t>7,5%</w:t>
      </w:r>
      <w:r>
        <w:t xml:space="preserve"> para </w:t>
      </w:r>
      <w:r>
        <w:rPr>
          <w:b/>
        </w:rPr>
        <w:t>7,4%</w:t>
      </w:r>
      <w:r>
        <w:t xml:space="preserve"> (</w:t>
      </w:r>
      <w:r>
        <w:rPr>
          <w:b/>
        </w:rPr>
        <w:t>-0,1 p.p.</w:t>
      </w:r>
      <w:r>
        <w:t xml:space="preserve">), e seu valor normalizado caiu de </w:t>
      </w:r>
      <w:r>
        <w:rPr>
          <w:b/>
        </w:rPr>
        <w:t>1,000</w:t>
      </w:r>
      <w:r>
        <w:t xml:space="preserve"> para </w:t>
      </w:r>
      <w:r>
        <w:rPr>
          <w:b/>
        </w:rPr>
        <w:t>0,971</w:t>
      </w:r>
      <w:r>
        <w:t>. A taxa bruta ainda corresponde ao segundo maior nível do histórico observado.</w:t>
      </w:r>
    </w:p>
    <w:p w14:paraId="434E6825" w14:textId="6E25AB21" w:rsidR="00384ADD" w:rsidRDefault="00000000">
      <w:pPr>
        <w:numPr>
          <w:ilvl w:val="0"/>
          <w:numId w:val="11"/>
        </w:numPr>
        <w:spacing w:before="60"/>
        <w:ind w:left="454" w:firstLine="0"/>
        <w:jc w:val="both"/>
      </w:pPr>
      <w:r>
        <w:t xml:space="preserve">Qualidade do crédito (Q) caiu de </w:t>
      </w:r>
      <w:r>
        <w:rPr>
          <w:b/>
        </w:rPr>
        <w:t>24,8%</w:t>
      </w:r>
      <w:r>
        <w:t xml:space="preserve"> para </w:t>
      </w:r>
      <w:r>
        <w:rPr>
          <w:b/>
        </w:rPr>
        <w:t>24,5%</w:t>
      </w:r>
      <w:r>
        <w:t xml:space="preserve">, e </w:t>
      </w:r>
      <w:proofErr w:type="spellStart"/>
      <w:r>
        <w:t>seu</w:t>
      </w:r>
      <w:proofErr w:type="spellEnd"/>
      <w:r>
        <w:t xml:space="preserve"> valor normalizado recuou de </w:t>
      </w:r>
      <w:r>
        <w:rPr>
          <w:b/>
        </w:rPr>
        <w:t>0,950</w:t>
      </w:r>
      <w:r>
        <w:t xml:space="preserve"> para </w:t>
      </w:r>
      <w:r>
        <w:rPr>
          <w:b/>
        </w:rPr>
        <w:t>0,907</w:t>
      </w:r>
      <w:r>
        <w:t xml:space="preserve">. Essa foi a maior contribuição entre os componentes normalizados para a </w:t>
      </w:r>
      <w:proofErr w:type="spellStart"/>
      <w:r>
        <w:t>redução</w:t>
      </w:r>
      <w:proofErr w:type="spellEnd"/>
      <w:r>
        <w:t xml:space="preserve"> mensal do IDC.</w:t>
      </w:r>
    </w:p>
    <w:p w14:paraId="48F4602B" w14:textId="77777777" w:rsidR="00A2775A" w:rsidRDefault="00A2775A" w:rsidP="00A2775A">
      <w:pPr>
        <w:spacing w:before="60"/>
        <w:ind w:left="454"/>
        <w:jc w:val="both"/>
        <w:rPr>
          <w:rFonts w:hint="eastAsia"/>
        </w:rPr>
      </w:pPr>
    </w:p>
    <w:p w14:paraId="31FE2544" w14:textId="77777777" w:rsidR="00384ADD" w:rsidRDefault="00000000">
      <w:pPr>
        <w:ind w:firstLine="300"/>
        <w:jc w:val="both"/>
        <w:rPr>
          <w:rFonts w:hint="eastAsia"/>
        </w:rPr>
      </w:pPr>
      <w:r>
        <w:t xml:space="preserve">Em conjunto, os dados sinalizam alívio moderado do desconforto agregado em </w:t>
      </w:r>
      <w:r>
        <w:rPr>
          <w:b/>
        </w:rPr>
        <w:t>jun-2026</w:t>
      </w:r>
      <w:r>
        <w:t>, concentrado nas reduções de I e Q. O IDC permaneceu, porém, entre os níveis mais elevados da série, com C no máximo histórico. O indicador mede posição relativa no histórico, e não uma medida absoluta de endividamento.</w:t>
      </w:r>
    </w:p>
    <w:p w14:paraId="7DE862AA" w14:textId="77777777" w:rsidR="00384ADD" w:rsidRDefault="00000000">
      <w:pPr>
        <w:pStyle w:val="Ttulo1"/>
        <w:numPr>
          <w:ilvl w:val="0"/>
          <w:numId w:val="10"/>
        </w:numPr>
      </w:pPr>
      <w:r>
        <w:rPr>
          <w:rFonts w:ascii="Palatino" w:hAnsi="Palatino"/>
          <w:b w:val="0"/>
        </w:rPr>
        <w:lastRenderedPageBreak/>
        <w:t>Trajetória do índice</w:t>
      </w:r>
    </w:p>
    <w:p w14:paraId="571E001A" w14:textId="77777777" w:rsidR="00384ADD" w:rsidRDefault="00000000">
      <w:pPr>
        <w:jc w:val="both"/>
        <w:rPr>
          <w:rFonts w:hint="eastAsia"/>
        </w:rPr>
      </w:pPr>
      <w:r>
        <w:t xml:space="preserve">A Figura 1 mostra que, após atingir </w:t>
      </w:r>
      <w:r>
        <w:rPr>
          <w:b/>
        </w:rPr>
        <w:t>1,000</w:t>
      </w:r>
      <w:r>
        <w:t xml:space="preserve"> em </w:t>
      </w:r>
      <w:r>
        <w:rPr>
          <w:b/>
        </w:rPr>
        <w:t>fev-2026</w:t>
      </w:r>
      <w:r>
        <w:t xml:space="preserve">, o IDC passou a </w:t>
      </w:r>
      <w:r>
        <w:rPr>
          <w:b/>
        </w:rPr>
        <w:t>0,960</w:t>
      </w:r>
      <w:r>
        <w:t xml:space="preserve"> em </w:t>
      </w:r>
      <w:r>
        <w:rPr>
          <w:b/>
        </w:rPr>
        <w:t>mar-2026</w:t>
      </w:r>
      <w:r>
        <w:t xml:space="preserve">, </w:t>
      </w:r>
      <w:r>
        <w:rPr>
          <w:b/>
        </w:rPr>
        <w:t>0,990</w:t>
      </w:r>
      <w:r>
        <w:t xml:space="preserve"> em </w:t>
      </w:r>
      <w:r>
        <w:rPr>
          <w:b/>
        </w:rPr>
        <w:t>abr-2026</w:t>
      </w:r>
      <w:r>
        <w:t xml:space="preserve">, </w:t>
      </w:r>
      <w:r>
        <w:rPr>
          <w:b/>
        </w:rPr>
        <w:t>0,983</w:t>
      </w:r>
      <w:r>
        <w:t xml:space="preserve"> em </w:t>
      </w:r>
      <w:r>
        <w:rPr>
          <w:b/>
        </w:rPr>
        <w:t>mai-2026</w:t>
      </w:r>
      <w:r>
        <w:t xml:space="preserve"> e </w:t>
      </w:r>
      <w:r>
        <w:rPr>
          <w:b/>
        </w:rPr>
        <w:t>0,959</w:t>
      </w:r>
      <w:r>
        <w:t xml:space="preserve"> em </w:t>
      </w:r>
      <w:r>
        <w:rPr>
          <w:b/>
        </w:rPr>
        <w:t>jun-2026</w:t>
      </w:r>
      <w:r>
        <w:t xml:space="preserve">. A Figura 2 evidencia que o recuo mais recente refletiu as quedas de I e Q, enquanto C avançou para um novo máximo bruto e permaneceu no teto normalizado de </w:t>
      </w:r>
      <w:r>
        <w:rPr>
          <w:b/>
        </w:rPr>
        <w:t>1,000</w:t>
      </w:r>
      <w:r>
        <w:t>.</w:t>
      </w:r>
    </w:p>
    <w:p w14:paraId="34F6D850" w14:textId="77777777" w:rsidR="00384ADD" w:rsidRDefault="00000000">
      <w:pPr>
        <w:pStyle w:val="Ttulo1"/>
        <w:numPr>
          <w:ilvl w:val="0"/>
          <w:numId w:val="10"/>
        </w:numPr>
      </w:pPr>
      <w:r>
        <w:rPr>
          <w:rFonts w:ascii="Palatino" w:hAnsi="Palatino"/>
          <w:b w:val="0"/>
        </w:rPr>
        <w:t>Próxima atualização</w:t>
      </w:r>
    </w:p>
    <w:p w14:paraId="7CD539FE" w14:textId="77777777" w:rsidR="00384ADD" w:rsidRDefault="00000000">
      <w:pPr>
        <w:jc w:val="both"/>
        <w:rPr>
          <w:rFonts w:hint="eastAsia"/>
        </w:rPr>
      </w:pPr>
      <w:r>
        <w:t>A próxima atualização é esperada para setembro de 2026; o IDC será estendido para jul-2026 caso a série de comprometimento de renda (SGS 29034) avance até lá.</w:t>
      </w:r>
    </w:p>
    <w:p w14:paraId="1B1EC9AD" w14:textId="77777777" w:rsidR="00384ADD" w:rsidRDefault="00000000">
      <w:pPr>
        <w:pStyle w:val="Ttulo1"/>
        <w:spacing w:before="240" w:after="80"/>
      </w:pPr>
      <w:r>
        <w:rPr>
          <w:rFonts w:ascii="Palatino" w:hAnsi="Palatino"/>
          <w:b w:val="0"/>
        </w:rPr>
        <w:t>Notas</w:t>
      </w:r>
    </w:p>
    <w:p w14:paraId="072BA3D4" w14:textId="77777777" w:rsidR="00384ADD" w:rsidRDefault="00000000">
      <w:pPr>
        <w:pStyle w:val="IDCNotes"/>
        <w:jc w:val="both"/>
        <w:rPr>
          <w:rFonts w:hint="eastAsia"/>
        </w:rPr>
      </w:pPr>
      <w:r>
        <w:t xml:space="preserve">Sobre o IDC. O Índice de Desconforto de Crédito (IDC) é construído a partir de três séries do Sistema Gerenciador de Séries Temporais (SGS) do Banco Central do Brasil: comprometimento de renda das famílias com o serviço da dívida (SGS 29034), inadimplência da carteira de crédito livre PF — atrasos superiores a 90 dias (SGS 21112) — e participação das modalidades onerosas (cheque especial, SGS 20573; crédito pessoal não consignado, SGS 20574; cartão de crédito rotativo, SGS 20587; cartão de crédito parcelado, SGS 20588) no total do crédito livre para pessoa física (SGS 20570). Cada componente é normalizado pelo método min-max com janela expansiva, a partir de mar-2011; o índice é exibido a partir de jan-2014, após o período de aquecimento da janela, e corresponde à média simples dos três componentes normalizados, contido no intervalo [0, 1]. Por construção, o IDC mede a posição relativa do mês corrente em relação ao histórico observado pelo índice. O relatório de divulgação está disponível em </w:t>
      </w:r>
      <w:hyperlink r:id="rId11">
        <w:r>
          <w:rPr>
            <w:color w:val="555555"/>
            <w:u w:val="single"/>
          </w:rPr>
          <w:t>https://eaesp.fgv.br/producao-intelectual/indice-desconforto-credito-idc</w:t>
        </w:r>
      </w:hyperlink>
      <w:r>
        <w:t>.</w:t>
      </w:r>
    </w:p>
    <w:p w14:paraId="3038B569" w14:textId="39CE7B51" w:rsidR="00384ADD" w:rsidRDefault="00000000">
      <w:pPr>
        <w:pStyle w:val="IDCNotes"/>
        <w:ind w:firstLine="300"/>
        <w:jc w:val="both"/>
        <w:rPr>
          <w:rFonts w:hint="eastAsia"/>
        </w:rPr>
      </w:pPr>
      <w:r>
        <w:t xml:space="preserve">Revisões dos dados. Os valores históricos do IDC são recalculados a cada edição com a safra mais recente dos dados do Banco Central. Revisões com efeito material sobre o índice ou sua interpretação são descritas no </w:t>
      </w:r>
      <w:proofErr w:type="spellStart"/>
      <w:r>
        <w:t>relatório</w:t>
      </w:r>
      <w:proofErr w:type="spellEnd"/>
      <w:r w:rsidR="00A2775A">
        <w:t>, e</w:t>
      </w:r>
      <w:r>
        <w:t xml:space="preserve"> a série disponibilizada incorpora todas as revisões identificadas.</w:t>
      </w:r>
    </w:p>
    <w:p w14:paraId="0A945C3B" w14:textId="77777777" w:rsidR="00384ADD" w:rsidRDefault="00000000">
      <w:pPr>
        <w:pStyle w:val="IDCNotes"/>
        <w:ind w:firstLine="300"/>
        <w:jc w:val="both"/>
        <w:rPr>
          <w:rFonts w:hint="eastAsia"/>
        </w:rPr>
      </w:pPr>
      <w:r>
        <w:t xml:space="preserve">Citação recomendada. Gonzalez, L.; Carrijo, M. L.; Schiozer, R. </w:t>
      </w:r>
      <w:r>
        <w:rPr>
          <w:i/>
        </w:rPr>
        <w:t>Índice de Desconforto de Crédito (IDC).</w:t>
      </w:r>
      <w:r>
        <w:t xml:space="preserve"> FGVcemif/FGV-EAESP.</w:t>
      </w:r>
    </w:p>
    <w:p w14:paraId="78A30A2A" w14:textId="77777777" w:rsidR="00384ADD" w:rsidRDefault="00000000">
      <w:pPr>
        <w:pStyle w:val="Ttulo1"/>
        <w:pageBreakBefore/>
      </w:pPr>
      <w:r>
        <w:rPr>
          <w:rFonts w:ascii="Palatino" w:hAnsi="Palatino"/>
          <w:b w:val="0"/>
        </w:rPr>
        <w:lastRenderedPageBreak/>
        <w:t>Anexo de figuras</w:t>
      </w:r>
    </w:p>
    <w:p w14:paraId="21C9D915" w14:textId="77777777" w:rsidR="00384ADD" w:rsidRDefault="00000000">
      <w:pPr>
        <w:keepNext/>
        <w:keepLines/>
        <w:spacing w:after="8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41DDBA7" wp14:editId="288056EF">
            <wp:extent cx="5400000" cy="5400000"/>
            <wp:effectExtent l="0" t="0" r="0" b="0"/>
            <wp:docPr id="2" name="Picture 2" descr="Evolução do Índice de Desconforto de Crédito (jan-2014 a jun-2026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e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BCCA" w14:textId="77777777" w:rsidR="00384ADD" w:rsidRDefault="00000000">
      <w:pPr>
        <w:pStyle w:val="IDCCaption"/>
        <w:keepLines/>
        <w:jc w:val="center"/>
        <w:rPr>
          <w:rFonts w:hint="eastAsia"/>
        </w:rPr>
      </w:pPr>
      <w:r>
        <w:rPr>
          <w:b/>
        </w:rPr>
        <w:t xml:space="preserve">Figura 1. </w:t>
      </w:r>
      <w:r>
        <w:t>Evolução do Índice de Desconforto de Crédito (jan-2014 a jun-2026).</w:t>
      </w:r>
    </w:p>
    <w:p w14:paraId="3FEC7A22" w14:textId="77777777" w:rsidR="00384ADD" w:rsidRDefault="00000000">
      <w:pPr>
        <w:pStyle w:val="IDCSource"/>
        <w:keepLines/>
        <w:jc w:val="center"/>
        <w:rPr>
          <w:rFonts w:hint="eastAsia"/>
        </w:rPr>
      </w:pPr>
      <w:r>
        <w:t>Fonte: BCB, elaboração própria.</w:t>
      </w:r>
    </w:p>
    <w:p w14:paraId="6E1641A4" w14:textId="77777777" w:rsidR="00384ADD" w:rsidRDefault="00000000">
      <w:pPr>
        <w:rPr>
          <w:rFonts w:hint="eastAsia"/>
        </w:rPr>
      </w:pPr>
      <w:r>
        <w:br w:type="page"/>
      </w:r>
    </w:p>
    <w:p w14:paraId="66E121DE" w14:textId="77777777" w:rsidR="00384ADD" w:rsidRDefault="00000000">
      <w:pPr>
        <w:keepNext/>
        <w:keepLines/>
        <w:spacing w:after="80"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E93CA51" wp14:editId="66C567CE">
            <wp:extent cx="5400000" cy="6167603"/>
            <wp:effectExtent l="0" t="0" r="0" b="0"/>
            <wp:docPr id="3" name="Picture 3" descr="Evolução das componentes brutas C, I e Q (mar-2011 a jun-2026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s_ra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16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3410" w14:textId="77777777" w:rsidR="00384ADD" w:rsidRDefault="00000000">
      <w:pPr>
        <w:pStyle w:val="IDCCaption"/>
        <w:keepLines/>
        <w:jc w:val="center"/>
        <w:rPr>
          <w:rFonts w:hint="eastAsia"/>
        </w:rPr>
      </w:pPr>
      <w:r>
        <w:rPr>
          <w:b/>
        </w:rPr>
        <w:t xml:space="preserve">Figura 2. </w:t>
      </w:r>
      <w:r>
        <w:t>Evolução das componentes brutas C, I e Q (mar-2011 a jun-2026).</w:t>
      </w:r>
    </w:p>
    <w:p w14:paraId="722331A9" w14:textId="77777777" w:rsidR="00384ADD" w:rsidRDefault="00000000">
      <w:pPr>
        <w:pStyle w:val="IDCSource"/>
        <w:keepLines/>
        <w:jc w:val="center"/>
        <w:rPr>
          <w:rFonts w:hint="eastAsia"/>
        </w:rPr>
      </w:pPr>
      <w:r>
        <w:t>Fonte: BCB, elaboração própria.</w:t>
      </w:r>
    </w:p>
    <w:sectPr w:rsidR="00384ADD" w:rsidSect="00034616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E22A9" w14:textId="77777777" w:rsidR="00D1202E" w:rsidRDefault="00D1202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9574871" w14:textId="77777777" w:rsidR="00D1202E" w:rsidRDefault="00D1202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21A59" w14:textId="77777777" w:rsidR="00384ADD" w:rsidRDefault="00000000">
    <w:pPr>
      <w:jc w:val="center"/>
      <w:rPr>
        <w:rFonts w:hint="eastAsia"/>
      </w:rPr>
    </w:pPr>
    <w:r>
      <w:rPr>
        <w:sz w:val="22"/>
      </w:rPr>
      <w:t xml:space="preserve">31 de </w:t>
    </w:r>
    <w:proofErr w:type="spellStart"/>
    <w:r>
      <w:rPr>
        <w:sz w:val="22"/>
      </w:rPr>
      <w:t>agosto</w:t>
    </w:r>
    <w:proofErr w:type="spellEnd"/>
    <w:r>
      <w:rPr>
        <w:sz w:val="22"/>
      </w:rPr>
      <w:t xml:space="preserve"> de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11F91" w14:textId="77777777" w:rsidR="00384ADD" w:rsidRDefault="00000000">
    <w:pPr>
      <w:jc w:val="right"/>
      <w:rPr>
        <w:rFonts w:hint="eastAsia"/>
      </w:rPr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117B4" w14:textId="77777777" w:rsidR="00384ADD" w:rsidRDefault="00000000">
    <w:pPr>
      <w:jc w:val="right"/>
      <w:rPr>
        <w:rFonts w:hint="eastAsia"/>
      </w:rPr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90320" w14:textId="77777777" w:rsidR="00D1202E" w:rsidRDefault="00D1202E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55F1B41" w14:textId="77777777" w:rsidR="00D1202E" w:rsidRDefault="00D1202E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28C6D" w14:textId="77777777" w:rsidR="00000000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D880D" w14:textId="77777777" w:rsidR="00384ADD" w:rsidRDefault="00000000">
    <w:pPr>
      <w:pStyle w:val="IDCHeader"/>
      <w:pBdr>
        <w:bottom w:val="single" w:sz="4" w:space="1" w:color="BFBFBF"/>
      </w:pBdr>
      <w:tabs>
        <w:tab w:val="right" w:pos="8504"/>
      </w:tabs>
      <w:rPr>
        <w:rFonts w:hint="eastAsia"/>
      </w:rPr>
    </w:pPr>
    <w:proofErr w:type="spellStart"/>
    <w:r>
      <w:t>Índice</w:t>
    </w:r>
    <w:proofErr w:type="spellEnd"/>
    <w:r>
      <w:t xml:space="preserve"> de </w:t>
    </w:r>
    <w:proofErr w:type="spellStart"/>
    <w:r>
      <w:t>Desconforto</w:t>
    </w:r>
    <w:proofErr w:type="spellEnd"/>
    <w:r>
      <w:t xml:space="preserve"> de Crédito</w:t>
    </w:r>
    <w:r>
      <w:tab/>
    </w:r>
    <w:proofErr w:type="spellStart"/>
    <w:r>
      <w:t>FGVcemif</w:t>
    </w:r>
    <w:proofErr w:type="spellEnd"/>
    <w:r>
      <w:t xml:space="preserve"> / FGV-EAESP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284EB" w14:textId="77777777" w:rsidR="00384ADD" w:rsidRDefault="00384ADD">
    <w:pPr>
      <w:pBdr>
        <w:bottom w:val="single" w:sz="4" w:space="1" w:color="BFBFBF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A36BA6"/>
    <w:multiLevelType w:val="singleLevel"/>
    <w:tmpl w:val="385A432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Palatino" w:hAnsi="Palatino"/>
        <w:b/>
      </w:rPr>
    </w:lvl>
  </w:abstractNum>
  <w:abstractNum w:abstractNumId="10" w15:restartNumberingAfterBreak="0">
    <w:nsid w:val="436002DB"/>
    <w:multiLevelType w:val="singleLevel"/>
    <w:tmpl w:val="9934C7E6"/>
    <w:lvl w:ilvl="0">
      <w:start w:val="1"/>
      <w:numFmt w:val="bullet"/>
      <w:lvlText w:val="•"/>
      <w:lvlJc w:val="left"/>
      <w:pPr>
        <w:ind w:left="720" w:hanging="360"/>
      </w:pPr>
      <w:rPr>
        <w:rFonts w:ascii="Palatino" w:hAnsi="Palatino"/>
      </w:rPr>
    </w:lvl>
  </w:abstractNum>
  <w:num w:numId="1" w16cid:durableId="53043115">
    <w:abstractNumId w:val="8"/>
  </w:num>
  <w:num w:numId="2" w16cid:durableId="553204424">
    <w:abstractNumId w:val="6"/>
  </w:num>
  <w:num w:numId="3" w16cid:durableId="1570850100">
    <w:abstractNumId w:val="5"/>
  </w:num>
  <w:num w:numId="4" w16cid:durableId="19862216">
    <w:abstractNumId w:val="4"/>
  </w:num>
  <w:num w:numId="5" w16cid:durableId="1488782428">
    <w:abstractNumId w:val="7"/>
  </w:num>
  <w:num w:numId="6" w16cid:durableId="260457027">
    <w:abstractNumId w:val="3"/>
  </w:num>
  <w:num w:numId="7" w16cid:durableId="136265217">
    <w:abstractNumId w:val="2"/>
  </w:num>
  <w:num w:numId="8" w16cid:durableId="1163357185">
    <w:abstractNumId w:val="1"/>
  </w:num>
  <w:num w:numId="9" w16cid:durableId="1964262191">
    <w:abstractNumId w:val="0"/>
  </w:num>
  <w:num w:numId="10" w16cid:durableId="1049189922">
    <w:abstractNumId w:val="9"/>
  </w:num>
  <w:num w:numId="11" w16cid:durableId="17752503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9FF"/>
    <w:rsid w:val="0029639D"/>
    <w:rsid w:val="00326F90"/>
    <w:rsid w:val="00384ADD"/>
    <w:rsid w:val="00A2775A"/>
    <w:rsid w:val="00AA1D8D"/>
    <w:rsid w:val="00B47730"/>
    <w:rsid w:val="00CB0664"/>
    <w:rsid w:val="00D120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11524B"/>
  <w14:defaultImageDpi w14:val="300"/>
  <w15:docId w15:val="{61451883-4603-9A4F-891F-E7B17ECF9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00" w:lineRule="exact"/>
    </w:pPr>
    <w:rPr>
      <w:rFonts w:ascii="Palatino" w:hAnsi="Palatino"/>
      <w:color w:val="000000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DCCaption">
    <w:name w:val="IDC Caption"/>
    <w:pPr>
      <w:keepNext/>
      <w:spacing w:after="80"/>
    </w:pPr>
    <w:rPr>
      <w:rFonts w:ascii="Palatino" w:hAnsi="Palatino"/>
      <w:i/>
      <w:color w:val="000000"/>
      <w:sz w:val="21"/>
    </w:rPr>
  </w:style>
  <w:style w:type="paragraph" w:customStyle="1" w:styleId="IDCSource">
    <w:name w:val="IDC Source"/>
    <w:pPr>
      <w:spacing w:after="160"/>
    </w:pPr>
    <w:rPr>
      <w:rFonts w:ascii="Palatino" w:hAnsi="Palatino"/>
      <w:i/>
      <w:color w:val="000000"/>
      <w:sz w:val="19"/>
    </w:rPr>
  </w:style>
  <w:style w:type="paragraph" w:customStyle="1" w:styleId="IDCHeader">
    <w:name w:val="IDC Header"/>
    <w:pPr>
      <w:spacing w:after="160"/>
    </w:pPr>
    <w:rPr>
      <w:rFonts w:ascii="Palatino" w:hAnsi="Palatino"/>
      <w:i/>
      <w:color w:val="000000"/>
      <w:sz w:val="18"/>
    </w:rPr>
  </w:style>
  <w:style w:type="paragraph" w:customStyle="1" w:styleId="IDCNotes">
    <w:name w:val="IDC Notes"/>
    <w:pPr>
      <w:spacing w:after="0" w:line="260" w:lineRule="exact"/>
    </w:pPr>
    <w:rPr>
      <w:rFonts w:ascii="Palatino" w:hAnsi="Palatino"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aesp.fgv.br/producao-intelectual/indice-desconforto-credito-idc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773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Índice de Desconforto de Crédito</dc:title>
  <dc:subject>Nota Técnica de Atualização do IDC</dc:subject>
  <dc:creator>Lauro Gonzalez; Matheus L. Carrijo; Rafael Schiozer</dc:creator>
  <cp:keywords>crédito, endividamento, Brasil, BCB, FGV</cp:keywords>
  <dc:description>generated by python-docx</dc:description>
  <cp:lastModifiedBy>Matheus Lopes Carrijo</cp:lastModifiedBy>
  <cp:revision>2</cp:revision>
  <dcterms:created xsi:type="dcterms:W3CDTF">2013-12-23T23:15:00Z</dcterms:created>
  <dcterms:modified xsi:type="dcterms:W3CDTF">2026-09-01T03:28:00Z</dcterms:modified>
  <cp:category/>
</cp:coreProperties>
</file>