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rPr>
          <w:b/>
          <w:color w:val="1F3A5F"/>
          <w:sz w:val="48"/>
        </w:rPr>
        <w:t>PARECER TÉCNICO-JURÍDICO</w:t>
        <w:br/>
        <w:t>CONSOLIDADO</w:t>
      </w:r>
    </w:p>
    <w:p>
      <w:pPr>
        <w:jc w:val="center"/>
      </w:pPr>
      <w:r>
        <w:rPr>
          <w:b/>
          <w:sz w:val="26"/>
        </w:rPr>
        <w:br/>
        <w:t>Edital n.º 32/2026 — Concorrência Eletrônica n.º 04/2026</w:t>
      </w:r>
    </w:p>
    <w:p>
      <w:pPr>
        <w:jc w:val="center"/>
      </w:pPr>
      <w:r>
        <w:rPr>
          <w:color w:val="4A4A4A"/>
          <w:sz w:val="24"/>
        </w:rPr>
        <w:t>Concessão Comum do Serviço Público de Manejo de</w:t>
        <w:br/>
        <w:t>Resíduos Sólidos Urbanos</w:t>
        <w:br/>
        <w:t>Município de Rio Claro/SP</w:t>
      </w:r>
    </w:p>
    <w:p>
      <w:pPr>
        <w:jc w:val="center"/>
      </w:pPr>
      <w:r>
        <w:br/>
      </w:r>
      <w:r>
        <w:br/>
      </w:r>
      <w:r>
        <w:rPr>
          <w:i/>
          <w:color w:val="666666"/>
          <w:sz w:val="22"/>
        </w:rPr>
        <w:t>30 anos · R$ 232.059.034 (data-base out/2025)</w:t>
      </w:r>
    </w:p>
    <w:p>
      <w:pPr>
        <w:jc w:val="center"/>
      </w:pPr>
      <w:r>
        <w:br/>
      </w:r>
      <w:r>
        <w:br/>
      </w:r>
      <w:r>
        <w:br/>
      </w:r>
      <w:r>
        <w:rPr>
          <w:i/>
          <w:color w:val="666666"/>
          <w:sz w:val="20"/>
        </w:rPr>
        <w:t>Consolidação dos Agentes 01 a 05</w:t>
        <w:br/>
        <w:t>Análise crítica e combativa com classificação FORTE / RAZOÁVEL / ARRISCADA</w:t>
      </w:r>
    </w:p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color w:val="666666"/>
          <w:sz w:val="22"/>
        </w:rPr>
        <w:t>Maio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t>1. Identificação e contexto</w:t>
      </w:r>
    </w:p>
    <w:p>
      <w:pPr>
        <w:spacing w:after="40"/>
      </w:pPr>
      <w:r>
        <w:t>2. Sumário executivo — TOP 30 achados FORTE</w:t>
      </w:r>
    </w:p>
    <w:p>
      <w:pPr>
        <w:spacing w:after="40"/>
      </w:pPr>
      <w:r>
        <w:t>3. Análise consolidada por tema</w:t>
      </w:r>
    </w:p>
    <w:p>
      <w:pPr>
        <w:spacing w:after="40"/>
      </w:pPr>
      <w:r>
        <w:t xml:space="preserve">   3.1 Estrutura tarifária e arrecadação</w:t>
      </w:r>
    </w:p>
    <w:p>
      <w:pPr>
        <w:spacing w:after="40"/>
      </w:pPr>
      <w:r>
        <w:t xml:space="preserve">   3.2 Cofaturamento e interface com o DAAE</w:t>
      </w:r>
    </w:p>
    <w:p>
      <w:pPr>
        <w:spacing w:after="40"/>
      </w:pPr>
      <w:r>
        <w:t xml:space="preserve">   3.3 Receitas extraordinárias e biogás</w:t>
      </w:r>
    </w:p>
    <w:p>
      <w:pPr>
        <w:spacing w:after="40"/>
      </w:pPr>
      <w:r>
        <w:t xml:space="preserve">   3.4 Reequilíbrio EF e Matriz de Riscos</w:t>
      </w:r>
    </w:p>
    <w:p>
      <w:pPr>
        <w:spacing w:after="40"/>
      </w:pPr>
      <w:r>
        <w:t xml:space="preserve">   3.5 Bens reversíveis</w:t>
      </w:r>
    </w:p>
    <w:p>
      <w:pPr>
        <w:spacing w:after="40"/>
      </w:pPr>
      <w:r>
        <w:t xml:space="preserve">   3.6 ARES-PCJ — entidade reguladora</w:t>
      </w:r>
    </w:p>
    <w:p>
      <w:pPr>
        <w:spacing w:after="40"/>
      </w:pPr>
      <w:r>
        <w:t xml:space="preserve">   3.7 Prazo, fases e cronograma</w:t>
      </w:r>
    </w:p>
    <w:p>
      <w:pPr>
        <w:spacing w:after="40"/>
      </w:pPr>
      <w:r>
        <w:t xml:space="preserve">   3.8 Licitação — habilitação</w:t>
      </w:r>
    </w:p>
    <w:p>
      <w:pPr>
        <w:spacing w:after="40"/>
      </w:pPr>
      <w:r>
        <w:t xml:space="preserve">   3.9 Critério de julgamento, consórcio e procedimento</w:t>
      </w:r>
    </w:p>
    <w:p>
      <w:pPr>
        <w:spacing w:after="40"/>
      </w:pPr>
      <w:r>
        <w:t xml:space="preserve">   3.10 Gestão comercial, inadimplência e enforcement</w:t>
      </w:r>
    </w:p>
    <w:p>
      <w:pPr>
        <w:spacing w:after="40"/>
      </w:pPr>
      <w:r>
        <w:t xml:space="preserve">   3.11 Caderno de Encargos — escopo, CAPEX, indicadores</w:t>
      </w:r>
    </w:p>
    <w:p>
      <w:pPr>
        <w:spacing w:after="40"/>
      </w:pPr>
      <w:r>
        <w:t xml:space="preserve">   3.12 Verificador Independente e licenciamento</w:t>
      </w:r>
    </w:p>
    <w:p>
      <w:pPr>
        <w:spacing w:after="40"/>
      </w:pPr>
      <w:r>
        <w:t xml:space="preserve">   3.13 Cooperativas, catadores e fase de transição</w:t>
      </w:r>
    </w:p>
    <w:p>
      <w:pPr>
        <w:spacing w:after="40"/>
      </w:pPr>
      <w:r>
        <w:t>4. Erros, inconsistências e lacunas formais</w:t>
      </w:r>
    </w:p>
    <w:p>
      <w:pPr>
        <w:spacing w:after="40"/>
      </w:pPr>
      <w:r>
        <w:t>5. Síntese — teses por classificação</w:t>
      </w:r>
    </w:p>
    <w:p>
      <w:pPr>
        <w:spacing w:after="40"/>
      </w:pPr>
      <w:r>
        <w:t>6. Recomendações</w:t>
      </w:r>
    </w:p>
    <w:p>
      <w:pPr>
        <w:spacing w:after="40"/>
      </w:pPr>
      <w:r>
        <w:t>7. Fontes consultadas</w:t>
      </w:r>
    </w:p>
    <w:p>
      <w:r>
        <w:br w:type="page"/>
      </w:r>
    </w:p>
    <w:p>
      <w:pPr>
        <w:pStyle w:val="Heading1"/>
      </w:pPr>
      <w:r>
        <w:t>1. Identificação e contexto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Objeto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Concessão Comum do serviço público de manejo de resíduos sólidos urbanos, inclusive a gestão e ampliação do aterro sanitário municipal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Modalidade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Concorrência Eletrônica (Lei 14.133/2021, art. 33, IV) — Técnica e Preço (60/40)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Modo de disputa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Fechado (Lei 14.133/2021, art. 56, § 4º)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Regime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Concessão Comum (Lei 8.987/1995), subsidiariamente Lei 14.133/2021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Prazo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30 (trinta) anos a partir da Ordem de Serviço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Valor estimado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R$ 232.059.034 (data-base outubro/2025)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Variável de competição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Maior desconto sobre a Tarifa Domiciliar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Poder Concedente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Município de Rio Claro/SP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Entidade Reguladora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ARES-PCJ (interveniente-anuente)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Prestador da cobrança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DAAE — Departamento Autônomo de Água e Esgoto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Garantia de proposta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1% do valor (R$ 2,32 mi)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Garantia contratual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5% do valor (reduzida a 2,5% após recebimento provisório)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Capital social mínimo da SPE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R$ 10 mi (10% integralizado na assinatura)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PL mínimo do licitante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10% do valor estimado (R$ 23,2 mi)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Outorga fixa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R$ 783.780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Success Fee FESPSP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R$ 313.512</w:t>
            </w:r>
          </w:p>
        </w:tc>
      </w:tr>
    </w:tbl>
    <w:p/>
    <w:p>
      <w:r>
        <w:rPr>
          <w:b/>
        </w:rPr>
        <w:t xml:space="preserve">Base normativa: </w:t>
      </w:r>
      <w:r>
        <w:t>Lei 8.987/1995 · Lei 11.445/2007 · Lei 14.026/2020 · Lei 12.305/2010 · Lei 14.133/2021 · LC Municipal 160/2021 · LC 214/2025 · NR 1/ANA (Res. 79/2021) · NR 13/ANA (Res. 271/2025) · Res. ARES-PCJ 370/2020 (red. Res. 645/2025).</w:t>
      </w:r>
    </w:p>
    <w:p>
      <w:r>
        <w:br w:type="page"/>
      </w:r>
    </w:p>
    <w:p>
      <w:pPr>
        <w:pStyle w:val="Heading1"/>
      </w:pPr>
      <w:r>
        <w:t>2. Sumário executivo — TOP 30 achados FORTE</w:t>
      </w:r>
    </w:p>
    <w:p>
      <w:pPr>
        <w:pStyle w:val="Heading2"/>
      </w:pPr>
      <w:r>
        <w:t>Achados FORTE (gravidade máxima a alta)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Achado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Súmula 21/TCE-SP veda técnica e preço para coleta de lixo e aterro; o edital adota exatamente esse critério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Taxa de desconto do Fluxo de Caixa Marginal em branco (Contrato cl. 25.3.2/a)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Vida útil residual do aterro pós-contrato: 5 anos (4 docs) vs. 7 anos (Anexo 12)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Anexo 4B com 3 identidades: "Diretrizes" (Edital/Caderno/TR), "RAP" (Contrato cl. 3.1/f), "Aterro" (Anexo 6 e TR linha 578)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Sumário do Contrato desfasado em 1 cláusula vs. corpo (cl. 23-28)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R$ 232.059.000.34 (Edital) vs. R$ 232.059.034 (Contrato) — algarismo malformado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Tarifa RPU: R$ 125 (Anexo 2) vs. R$ 140,37 (Edital 8.2.13/iv)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"50% do total licitado" sem identificar parcelas — ofensa à Súmula 263/TCU e ao art. 67 § 2º Lei 14.133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Conflito Matriz 5.4 × Cl. 17.3 — NR-ANA gera reequilíbrio OU é risco da Concessionária?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Ausência de Fator Incremental + inadimplência plana de 5% por 30 anos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Anexo 5A é minuta sem contrato pré-existente com o DAAE; sem fallback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R$ 1,50/fatura sem anuência específica da reguladora — viola NR 1/ANA 5.6.3 e NR 13/ANA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Saída por regionalização (Matriz 5.6) sem indenização pré-fixada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Risco regulatório integral (cl. 5.5 + 27.5/xxvii + 27.6) — viola TCU 5.11.3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Coleta Seletiva FORA do objeto (Caderno 2.3) — contradição com Usina de Triagem de 3.900 t/mês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Item 10.15.4.1.3(d) — LP emitida para WtE como requisito de habilitação — barreira desproporcional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3.900 t/mês para usina de triagem — superior à demanda municipal atual (~3.300 t/mês)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Numeração da Matriz com erros (2.11 duplicado; 3.13-3.15 ausentes; 3.16 sem antecedente)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Anexo 4E referenciado (Contrato cl. 14.9; Caderno linha 115) mas inexistente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Cl. 26.1 com auto-referência ("nos termos da Cláusula 26")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Triplo nome do Anexo 5A — Gestão Comercial / Cofaturamento / Prestação de Cobrança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Anexo 16 cita "cl. 17.8" como base do Verificador — cl. 17.8 trata de correções monetárias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Saneamento de falhas com redação contraditória (10.11 vs. 12.14 vs. Nota 10.12)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"Ligação ativa" (Edital 8.2.10) vs. "Fatura emitida" (Anexo 5A 9.1)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Divisão 50/50 da cobrança judicial (Anexo 5A 4.5) — ônus injusto à Concessionária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Lacuna integral sobre economias rurais (4.533 hab.) e usuários sem hidrômetro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Prazo de 2 anos para a ampliação (cl. 14.9.1 + 38.6/i) — apertado dado licenciamento CETESB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Truncamento a 30 m³ (Anexo 5A 6.2) vs. faixa "acima de 30 m³" no Anexo 2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29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Quantitativo (a)/(f) duplicado na lista do item 10.15.4.1.3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Reaproveitamento de modelo anterior sem revisão — Anexo 5 título "Minuta 253/2023"</w:t>
            </w:r>
          </w:p>
        </w:tc>
      </w:tr>
    </w:tbl>
    <w:p/>
    <w:p>
      <w:pPr>
        <w:pStyle w:val="Heading2"/>
      </w:pPr>
      <w:r>
        <w:t>Pontos positivos relevantes</w:t>
      </w:r>
    </w:p>
    <w:p>
      <w:pPr>
        <w:pStyle w:val="ListBullet"/>
      </w:pPr>
      <w:r>
        <w:t>Entidade reguladora claramente definida (ARES-PCJ) — não é campo [•].</w:t>
      </w:r>
    </w:p>
    <w:p>
      <w:pPr>
        <w:pStyle w:val="ListBullet"/>
      </w:pPr>
      <w:r>
        <w:t>Disciplina IBS/CBS/IS (cl. 26.8 e 27.7/xxiv) compatível com LC 214/2025 arts. 373-377.</w:t>
      </w:r>
    </w:p>
    <w:p>
      <w:pPr>
        <w:pStyle w:val="ListBullet"/>
      </w:pPr>
      <w:r>
        <w:t>Risco de atraso administrativo no licenciamento alocado ao Concedente (Matriz 2.3 e cl. 15.3).</w:t>
      </w:r>
    </w:p>
    <w:p>
      <w:pPr>
        <w:pStyle w:val="ListBullet"/>
      </w:pPr>
      <w:r>
        <w:t>Fator Q estruturado em 5 indicadores com escalas, periodicidade e tabela de conversão claras.</w:t>
      </w:r>
    </w:p>
    <w:p>
      <w:pPr>
        <w:pStyle w:val="ListBullet"/>
      </w:pPr>
      <w:r>
        <w:t>Verificador Independente disciplinado com vedações de impedimento robustas (Anexo 16, item 2.4).</w:t>
      </w:r>
    </w:p>
    <w:p>
      <w:pPr>
        <w:pStyle w:val="ListBullet"/>
      </w:pPr>
      <w:r>
        <w:t>Garantia Pública via recursos apartados do ICMS (cl. 23) — 10% da Receita Requerida anual.</w:t>
      </w:r>
    </w:p>
    <w:p>
      <w:pPr>
        <w:pStyle w:val="ListBullet"/>
      </w:pPr>
      <w:r>
        <w:t>Cofaturamento com prazo de 3 dias úteis para repasse (Anexo 5A 5.9.2).</w:t>
      </w:r>
    </w:p>
    <w:p>
      <w:pPr>
        <w:pStyle w:val="ListBullet"/>
      </w:pPr>
      <w:r>
        <w:t>Encampação com indenização prévia (cl. 37.1) — compatível com art. 37 Lei 8.987/95.</w:t>
      </w:r>
    </w:p>
    <w:p>
      <w:r>
        <w:br w:type="page"/>
      </w:r>
    </w:p>
    <w:p>
      <w:pPr>
        <w:pStyle w:val="Heading1"/>
      </w:pPr>
      <w:r>
        <w:t>3. Análise consolidada por tema</w:t>
      </w:r>
    </w:p>
    <w:p>
      <w:pPr>
        <w:pStyle w:val="Heading2"/>
      </w:pPr>
      <w:r>
        <w:t>3.1 Estrutura tarifária e arrecadação</w:t>
      </w:r>
    </w:p>
    <w:p>
      <w:pPr>
        <w:pStyle w:val="Heading3"/>
      </w:pPr>
      <w:r>
        <w:t>Modelagem</w:t>
      </w:r>
    </w:p>
    <w:p>
      <w:pPr>
        <w:pStyle w:val="ListBullet"/>
      </w:pPr>
      <w:r>
        <w:t>Anexo 2 — três categorias: domiciliares (R$ 28,95 a R$ 115,78/mês por faixa de consumo de água); grandes geradores (R$ 140,37/t); RPU (R$ 125/t).</w:t>
      </w:r>
    </w:p>
    <w:p>
      <w:pPr>
        <w:pStyle w:val="ListBullet"/>
      </w:pPr>
      <w:r>
        <w:t>Tabela domiciliar com proxy de consumo de água; faixas: até 10 m³, 10-20, 20-30, acima de 30 m³.</w:t>
      </w:r>
    </w:p>
    <w:p>
      <w:pPr>
        <w:pStyle w:val="ListBullet"/>
      </w:pPr>
      <w:r>
        <w:t>3% das economias isentas (CadÚnico ≤ ½ SM).</w:t>
      </w:r>
    </w:p>
    <w:p>
      <w:pPr>
        <w:pStyle w:val="ListBullet"/>
      </w:pPr>
      <w:r>
        <w:t>Reajuste paramétrico: I1 (dissídio sindical) 42,34% + I2 (IGPM) 16,93% + I3 (INCC) 11,01% + I4 (diesel) 7,30% + I5 (IPCA) 22,42%.</w:t>
      </w:r>
    </w:p>
    <w:p>
      <w:pPr>
        <w:pStyle w:val="Heading3"/>
      </w:pPr>
      <w:r>
        <w:t>Críticas FORTE</w:t>
      </w:r>
    </w:p>
    <w:p>
      <w:r>
        <w:rPr>
          <w:b/>
          <w:color w:val="CC0000"/>
        </w:rPr>
        <w:t xml:space="preserve">⚠️: </w:t>
      </w:r>
      <w:r>
        <w:t xml:space="preserve"> Lacuna integral sobre usuários sem hidrômetro / economias rurais — ofensa ao princípio da generalidade (Lei 11.445/2007 art. 6º).</w:t>
      </w:r>
    </w:p>
    <w:p>
      <w:r>
        <w:rPr>
          <w:b/>
          <w:color w:val="CC0000"/>
        </w:rPr>
        <w:t xml:space="preserve">⚠️: </w:t>
      </w:r>
      <w:r>
        <w:t xml:space="preserve"> Truncamento a 30 m³ (Anexo 5A 6.2) contradiz a existência da faixa "acima de 30 m³" no Anexo 2.</w:t>
      </w:r>
    </w:p>
    <w:p>
      <w:r>
        <w:rPr>
          <w:b/>
          <w:color w:val="CC0000"/>
        </w:rPr>
        <w:t xml:space="preserve">⚠️: </w:t>
      </w:r>
      <w:r>
        <w:t xml:space="preserve"> Tarifa RPU: R$ 125 (Anexo 2) vs. R$ 140,37 (Edital 8.2.13/iv).</w:t>
      </w:r>
    </w:p>
    <w:p>
      <w:pPr>
        <w:pStyle w:val="Heading3"/>
      </w:pPr>
      <w:r>
        <w:t>Críticas RAZOÁVEL</w:t>
      </w:r>
    </w:p>
    <w:p>
      <w:pPr>
        <w:pStyle w:val="ListBullet"/>
      </w:pPr>
      <w:r>
        <w:t>Cesta de reajuste enviesada pró-mão de obra (42,34%) e fraca em IPCA (22,42%).</w:t>
      </w:r>
    </w:p>
    <w:p>
      <w:pPr>
        <w:pStyle w:val="ListBullet"/>
      </w:pPr>
      <w:r>
        <w:t>Fator Q limitado a 5% da Receita Requerida (95% intocáveis) — potência regulatória tímida.</w:t>
      </w:r>
    </w:p>
    <w:p>
      <w:pPr>
        <w:pStyle w:val="Heading2"/>
      </w:pPr>
      <w:r>
        <w:t>3.2 Cofaturamento e interface com o DAAE</w:t>
      </w:r>
    </w:p>
    <w:p>
      <w:pPr>
        <w:pStyle w:val="Heading3"/>
      </w:pPr>
      <w:r>
        <w:t>Modelagem</w:t>
      </w:r>
    </w:p>
    <w:p>
      <w:pPr>
        <w:pStyle w:val="ListBullet"/>
      </w:pPr>
      <w:r>
        <w:t>Cofaturamento único, sem fallback, com o DAAE (autarquia municipal) cobrando junto com a fatura de água — único código de barras (Anexo 5A cl. 5.9).</w:t>
      </w:r>
    </w:p>
    <w:p>
      <w:pPr>
        <w:pStyle w:val="ListBullet"/>
      </w:pPr>
      <w:r>
        <w:t>Honorários: R$ 1,50 por fatura/ligação ativa (Anexo 5A 9.1 / Edital 8.2.10) — reajustados pelo IPCA.</w:t>
      </w:r>
    </w:p>
    <w:p>
      <w:pPr>
        <w:pStyle w:val="ListBullet"/>
      </w:pPr>
      <w:r>
        <w:t>Cadastro de usuários permanece sob o DAAE; compartilhamento eletrônico em 120 dias.</w:t>
      </w:r>
    </w:p>
    <w:p>
      <w:pPr>
        <w:pStyle w:val="ListBullet"/>
      </w:pPr>
      <w:r>
        <w:t>Concessionária autorizada a cobrar judicial/extrajudicialmente após 180 dias — recuperação dividida 50/50 com o Município.</w:t>
      </w:r>
    </w:p>
    <w:p>
      <w:pPr>
        <w:pStyle w:val="ListBullet"/>
      </w:pPr>
      <w:r>
        <w:t>Garantia Pública: 10% da Receita Requerida anual em recursos apartados do ICMS.</w:t>
      </w:r>
    </w:p>
    <w:p>
      <w:pPr>
        <w:pStyle w:val="Heading3"/>
      </w:pPr>
      <w:r>
        <w:t>Críticas FORTE</w:t>
      </w:r>
    </w:p>
    <w:p>
      <w:r>
        <w:rPr>
          <w:b/>
          <w:color w:val="CC0000"/>
        </w:rPr>
        <w:t xml:space="preserve">⚠️: </w:t>
      </w:r>
      <w:r>
        <w:t xml:space="preserve"> Anexo 5A é minuta: não há contrato pré-existente entre Município e DAAE. Risco operacional de recusa pelo DAAE não mitigado.</w:t>
      </w:r>
    </w:p>
    <w:p>
      <w:r>
        <w:rPr>
          <w:b/>
          <w:color w:val="CC0000"/>
        </w:rPr>
        <w:t xml:space="preserve">⚠️: </w:t>
      </w:r>
      <w:r>
        <w:t xml:space="preserve"> R$ 1,50/fatura sem anuência específica da reguladora — viola NR 1/ANA item 5.6.3 e NR 13/ANA (Resolução 271/2025).</w:t>
      </w:r>
    </w:p>
    <w:p>
      <w:r>
        <w:rPr>
          <w:b/>
          <w:color w:val="CC0000"/>
        </w:rPr>
        <w:t xml:space="preserve">⚠️: </w:t>
      </w:r>
      <w:r>
        <w:t xml:space="preserve"> Sem cláusula de step-in da Concessionária para emissão própria de boletos.</w:t>
      </w:r>
    </w:p>
    <w:p>
      <w:r>
        <w:rPr>
          <w:b/>
          <w:color w:val="CC0000"/>
        </w:rPr>
        <w:t xml:space="preserve">⚠️: </w:t>
      </w:r>
      <w:r>
        <w:t xml:space="preserve"> Divisão 50/50 da recuperação judicial (Anexo 5A 4.5) — ônus injusto à Concessionária.</w:t>
      </w:r>
    </w:p>
    <w:p>
      <w:r>
        <w:rPr>
          <w:b/>
          <w:color w:val="CC0000"/>
        </w:rPr>
        <w:t xml:space="preserve">⚠️: </w:t>
      </w:r>
      <w:r>
        <w:t xml:space="preserve"> "Por ligação ativa" (Edital 8.2.10) vs. "por fatura emitida" (Anexo 5A 9.1) — base inconsistente.</w:t>
      </w:r>
    </w:p>
    <w:p>
      <w:pPr>
        <w:pStyle w:val="Heading3"/>
      </w:pPr>
      <w:r>
        <w:t>Críticas RAZOÁVEL</w:t>
      </w:r>
    </w:p>
    <w:p>
      <w:pPr>
        <w:pStyle w:val="ListBullet"/>
      </w:pPr>
      <w:r>
        <w:t>LGPD tratada com remissão genérica — sem definição de operador/controlador/DPO.</w:t>
      </w:r>
    </w:p>
    <w:p>
      <w:pPr>
        <w:pStyle w:val="ListBullet"/>
      </w:pPr>
      <w:r>
        <w:t>Atendimento bipartite (PRESTADOR atende cobrança; CONCESSIONÁRIA atende RSU) — confuso ao usuário.</w:t>
      </w:r>
    </w:p>
    <w:p>
      <w:pPr>
        <w:pStyle w:val="ListBullet"/>
      </w:pPr>
      <w:r>
        <w:t>Sem cláusula de protesto extrajudicial (Lei 9.492/97).</w:t>
      </w:r>
    </w:p>
    <w:p>
      <w:pPr>
        <w:pStyle w:val="Heading2"/>
      </w:pPr>
      <w:r>
        <w:t>3.3 Receitas extraordinárias e biogás</w:t>
      </w:r>
    </w:p>
    <w:p>
      <w:pPr>
        <w:pStyle w:val="Heading3"/>
      </w:pPr>
      <w:r>
        <w:t>Modelagem</w:t>
      </w:r>
    </w:p>
    <w:p>
      <w:pPr>
        <w:pStyle w:val="ListBullet"/>
      </w:pPr>
      <w:r>
        <w:t>Cl. 22.4 lista 4 tipos de Receita Acessória: destinação de resíduos de outros municípios; valorização/reaproveitamento; resíduos de saúde; outras (publicidade, recicláveis, classe II-B, comercialização de gás e energia).</w:t>
      </w:r>
    </w:p>
    <w:p>
      <w:pPr>
        <w:pStyle w:val="ListBullet"/>
      </w:pPr>
      <w:r>
        <w:t>Compartilhamento de 15% com o Município sobre receita líquida.</w:t>
      </w:r>
    </w:p>
    <w:p>
      <w:pPr>
        <w:pStyle w:val="ListBullet"/>
      </w:pPr>
      <w:r>
        <w:t>Riscos: 100% Concessionária (cl. 27.5/xxviii + Matriz 3.9).</w:t>
      </w:r>
    </w:p>
    <w:p>
      <w:pPr>
        <w:pStyle w:val="ListBullet"/>
      </w:pPr>
      <w:r>
        <w:t>Materiais recicláveis 100% dos catadores (cl. 22.4.5).</w:t>
      </w:r>
    </w:p>
    <w:p>
      <w:pPr>
        <w:pStyle w:val="Heading3"/>
      </w:pPr>
      <w:r>
        <w:t>Crítica FORTE — tripla contradição estrutural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Posição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Caderno 4.2.15 e 4.3.2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Projeto de aproveitamento energético OBRIGATÓRIO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Contrato cl. 22.4.3.4(iv)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Comercialização de gás e energia é RECEITA ACESSÓRIA (risco da Concessionária)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Anexo 15 (PN, item 5.3.4)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Receitas eventuais NÃO MODELADAS no fluxo de caixa</w:t>
            </w:r>
          </w:p>
        </w:tc>
      </w:tr>
    </w:tbl>
    <w:p/>
    <w:p>
      <w:r>
        <w:t>Conclusão: a Concessionária é obrigada a apresentar projeto sem ter a receita garantida no fluxo modelado nem direito a reequilíbrio.</w:t>
      </w:r>
    </w:p>
    <w:p>
      <w:pPr>
        <w:pStyle w:val="Heading3"/>
      </w:pPr>
      <w:r>
        <w:t>Críticas RAZOÁVEL</w:t>
      </w:r>
    </w:p>
    <w:p>
      <w:pPr>
        <w:pStyle w:val="ListBullet"/>
      </w:pPr>
      <w:r>
        <w:t>Anexo 2 item 7 — receita acessória "de mesma natureza" deve respeitar tarifa mínima → limita capacidade regional.</w:t>
      </w:r>
    </w:p>
    <w:p>
      <w:pPr>
        <w:pStyle w:val="ListBullet"/>
      </w:pPr>
      <w:r>
        <w:t>Compartilhamento de 15% sem destinação à modicidade tarifária — tensão com art. 11 Lei 8.987/95.</w:t>
      </w:r>
    </w:p>
    <w:p>
      <w:pPr>
        <w:pStyle w:val="Heading2"/>
      </w:pPr>
      <w:r>
        <w:t>3.4 Reequilíbrio EF e Matriz de Riscos</w:t>
      </w:r>
    </w:p>
    <w:p>
      <w:pPr>
        <w:pStyle w:val="Heading3"/>
      </w:pPr>
      <w:r>
        <w:t>Modelagem</w:t>
      </w:r>
    </w:p>
    <w:p>
      <w:pPr>
        <w:pStyle w:val="ListBullet"/>
      </w:pPr>
      <w:r>
        <w:t>Cl. 27 lista 30 riscos da Concessionária (cl. 27.5); 24 hipóteses geram reequilíbrio (cl. 27.7).</w:t>
      </w:r>
    </w:p>
    <w:p>
      <w:pPr>
        <w:pStyle w:val="ListBullet"/>
      </w:pPr>
      <w:r>
        <w:t>Revisão Ordinária quinquenal; Extraordinária com pleito em 180 dias e efeito retroativo de 270 dias.</w:t>
      </w:r>
    </w:p>
    <w:p>
      <w:pPr>
        <w:pStyle w:val="ListBullet"/>
      </w:pPr>
      <w:r>
        <w:t>Modalidades: tarifa (preferencial), indenização direta, alteração de cronograma, etc.</w:t>
      </w:r>
    </w:p>
    <w:p>
      <w:pPr>
        <w:pStyle w:val="ListBullet"/>
      </w:pPr>
      <w:r>
        <w:t>Novos investimentos pela metodologia de Fluxo de Caixa Marginal (cl. 25.3.1).</w:t>
      </w:r>
    </w:p>
    <w:p>
      <w:pPr>
        <w:pStyle w:val="ListBullet"/>
      </w:pPr>
      <w:r>
        <w:t>Reequilíbrio IBS/CBS/IS bem disciplinado (cl. 27.7/xxiv + 26.8).</w:t>
      </w:r>
    </w:p>
    <w:p>
      <w:pPr>
        <w:pStyle w:val="Heading3"/>
      </w:pPr>
      <w:r>
        <w:t>Críticas FORTE</w:t>
      </w:r>
    </w:p>
    <w:p>
      <w:r>
        <w:rPr>
          <w:b/>
          <w:color w:val="CC0000"/>
        </w:rPr>
        <w:t xml:space="preserve">⚠️: </w:t>
      </w:r>
      <w:r>
        <w:t xml:space="preserve"> Taxa de desconto do FCM em branco (cl. 25.3.2/a): "[detalhar a taxa adotada]". Acórdão 2.154/2007-TCU-Plenário exige ex ante.</w:t>
      </w:r>
    </w:p>
    <w:p>
      <w:r>
        <w:rPr>
          <w:b/>
          <w:color w:val="CC0000"/>
        </w:rPr>
        <w:t xml:space="preserve">⚠️: </w:t>
      </w:r>
      <w:r>
        <w:t xml:space="preserve"> Risco regulatório integral (cl. 5.5 + 27.5/xxvii + 27.6) — viola TCU verbete 5.11.3 e teoria da imprevisão.</w:t>
      </w:r>
    </w:p>
    <w:p>
      <w:r>
        <w:rPr>
          <w:b/>
          <w:color w:val="CC0000"/>
        </w:rPr>
        <w:t xml:space="preserve">⚠️: </w:t>
      </w:r>
      <w:r>
        <w:t xml:space="preserve"> Conflito Matriz 5.4 × Cl. 17.3 — NR-ANA é risco do Concedente OU da Concessionária? Contradição lógica.</w:t>
      </w:r>
    </w:p>
    <w:p>
      <w:r>
        <w:rPr>
          <w:b/>
          <w:color w:val="CC0000"/>
        </w:rPr>
        <w:t xml:space="preserve">⚠️: </w:t>
      </w:r>
      <w:r>
        <w:t xml:space="preserve"> Saída por regionalização (Matriz 5.6) sem indenização pré-fixada.</w:t>
      </w:r>
    </w:p>
    <w:p>
      <w:r>
        <w:rPr>
          <w:b/>
          <w:color w:val="CC0000"/>
        </w:rPr>
        <w:t xml:space="preserve">⚠️: </w:t>
      </w:r>
      <w:r>
        <w:t xml:space="preserve"> Matriz com erros de numeração (item 2.11 duplicado; 3.13-3.15 ausentes; 3.16 sem antecedente).</w:t>
      </w:r>
    </w:p>
    <w:p>
      <w:pPr>
        <w:pStyle w:val="Heading3"/>
      </w:pPr>
      <w:r>
        <w:t>Lacunas relevantes na Matriz</w:t>
      </w:r>
    </w:p>
    <w:p>
      <w:pPr>
        <w:pStyle w:val="ListBullet"/>
      </w:pPr>
      <w:r>
        <w:t>Descontinuidade do consórcio ARES-PCJ.</w:t>
      </w:r>
    </w:p>
    <w:p>
      <w:pPr>
        <w:pStyle w:val="ListBullet"/>
      </w:pPr>
      <w:r>
        <w:t>Cyber-segurança / vazamento de dados (LGPD).</w:t>
      </w:r>
    </w:p>
    <w:p>
      <w:pPr>
        <w:pStyle w:val="ListBullet"/>
      </w:pPr>
      <w:r>
        <w:t>Alteração de carga tributária municipal.</w:t>
      </w:r>
    </w:p>
    <w:p>
      <w:pPr>
        <w:pStyle w:val="ListBullet"/>
      </w:pPr>
      <w:r>
        <w:t>Questionamento judicial de "venda casada" (CDC).</w:t>
      </w:r>
    </w:p>
    <w:p>
      <w:pPr>
        <w:pStyle w:val="ListBullet"/>
      </w:pPr>
      <w:r>
        <w:t>Revisão do PMGIRS (RCC).</w:t>
      </w:r>
    </w:p>
    <w:p>
      <w:pPr>
        <w:pStyle w:val="ListBullet"/>
      </w:pPr>
      <w:r>
        <w:t>Pandemia / saúde pública.</w:t>
      </w:r>
    </w:p>
    <w:p>
      <w:pPr>
        <w:pStyle w:val="Heading2"/>
      </w:pPr>
      <w:r>
        <w:t>3.5 Bens reversíveis</w:t>
      </w:r>
    </w:p>
    <w:p>
      <w:pPr>
        <w:pStyle w:val="Heading3"/>
      </w:pPr>
      <w:r>
        <w:t>Modelagem</w:t>
      </w:r>
    </w:p>
    <w:p>
      <w:pPr>
        <w:pStyle w:val="ListBullet"/>
      </w:pPr>
      <w:r>
        <w:t>Cl. 11 e cl. 42 — Bens Reversíveis: aterro + equipamentos + futuras obras + contêineres.</w:t>
      </w:r>
    </w:p>
    <w:p>
      <w:pPr>
        <w:pStyle w:val="ListBullet"/>
      </w:pPr>
      <w:r>
        <w:t>Anexo 12 — lista genérica.</w:t>
      </w:r>
    </w:p>
    <w:p>
      <w:pPr>
        <w:pStyle w:val="ListBullet"/>
      </w:pPr>
      <w:r>
        <w:t>Cessão de PI sem custo (cl. 42.6 e 43.1).</w:t>
      </w:r>
    </w:p>
    <w:p>
      <w:pPr>
        <w:pStyle w:val="ListBullet"/>
      </w:pPr>
      <w:r>
        <w:t>Indenização dos investimentos não amortizados; cálculo por consultoria especializada.</w:t>
      </w:r>
    </w:p>
    <w:p>
      <w:pPr>
        <w:pStyle w:val="ListBullet"/>
      </w:pPr>
      <w:r>
        <w:t>Pagamento em 4 a 6 parcelas mensais conforme hipótese de extinção.</w:t>
      </w:r>
    </w:p>
    <w:p>
      <w:pPr>
        <w:pStyle w:val="Heading3"/>
      </w:pPr>
      <w:r>
        <w:t>Crítica FORTE — Vida útil residual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Vida útil exigida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Contrato cl. 16.7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5 anos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Caderno de Encargos 4.2.10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5 anos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Anexo 4A — Aterro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5 anos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Termo de Referência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5 anos</w:t>
            </w:r>
          </w:p>
        </w:tc>
      </w:tr>
      <w:tr>
        <w:tc>
          <w:tcPr>
            <w:tcW w:type="dxa" w:w="4561"/>
          </w:tcPr>
          <w:p>
            <w:r>
              <w:rPr>
                <w:sz w:val="19"/>
              </w:rPr>
              <w:t>Anexo 12 — Bens Reversíveis</w:t>
            </w:r>
          </w:p>
        </w:tc>
        <w:tc>
          <w:tcPr>
            <w:tcW w:type="dxa" w:w="4561"/>
          </w:tcPr>
          <w:p>
            <w:r>
              <w:rPr>
                <w:sz w:val="19"/>
              </w:rPr>
              <w:t>7 anos ⚠️</w:t>
            </w:r>
          </w:p>
        </w:tc>
      </w:tr>
    </w:tbl>
    <w:p/>
    <w:p>
      <w:pPr>
        <w:pStyle w:val="Heading3"/>
      </w:pPr>
      <w:r>
        <w:t>Críticas RAZOÁVEL</w:t>
      </w:r>
    </w:p>
    <w:p>
      <w:pPr>
        <w:pStyle w:val="ListBullet"/>
      </w:pPr>
      <w:r>
        <w:t>Parcelamento da indenização em 4-6 meses pode ser insuficiente para honrar financiadores.</w:t>
      </w:r>
    </w:p>
    <w:p>
      <w:pPr>
        <w:pStyle w:val="ListBullet"/>
      </w:pPr>
      <w:r>
        <w:t>Cl. 42.4.4 — silêncio do Concedente equivale a aceitação; redação ambígua quanto a passivos ocultos.</w:t>
      </w:r>
    </w:p>
    <w:p>
      <w:pPr>
        <w:pStyle w:val="ListBullet"/>
      </w:pPr>
      <w:r>
        <w:t>Anexo 12 sem inventário detalhado.</w:t>
      </w:r>
    </w:p>
    <w:p>
      <w:pPr>
        <w:pStyle w:val="Heading2"/>
      </w:pPr>
      <w:r>
        <w:t>3.6 ARES-PCJ — entidade reguladora</w:t>
      </w:r>
    </w:p>
    <w:p>
      <w:pPr>
        <w:pStyle w:val="Heading3"/>
      </w:pPr>
      <w:r>
        <w:t>Modelagem</w:t>
      </w:r>
    </w:p>
    <w:p>
      <w:pPr>
        <w:pStyle w:val="ListBullet"/>
      </w:pPr>
      <w:r>
        <w:t>ARES-PCJ é interveniente-anuente; Lei municipal 4.129/2010 ratifica protocolo de intenções.</w:t>
      </w:r>
    </w:p>
    <w:p>
      <w:pPr>
        <w:pStyle w:val="ListBullet"/>
      </w:pPr>
      <w:r>
        <w:t>Resolução ARES-PCJ 370/2020 (red. Res. 645/2025) é o Anexo 3 do contrato.</w:t>
      </w:r>
    </w:p>
    <w:p>
      <w:pPr>
        <w:pStyle w:val="ListBullet"/>
      </w:pPr>
      <w:r>
        <w:t>28+ cláusulas do contrato dependem da ARES-PCJ.</w:t>
      </w:r>
    </w:p>
    <w:p>
      <w:pPr>
        <w:pStyle w:val="ListBullet"/>
      </w:pPr>
      <w:r>
        <w:t>Taxa de regulação: 0,5% da Receita Tarifária Líquida (cl. 19.3).</w:t>
      </w:r>
    </w:p>
    <w:p>
      <w:pPr>
        <w:pStyle w:val="Heading3"/>
      </w:pPr>
      <w:r>
        <w:t>Pontos positivos</w:t>
      </w:r>
    </w:p>
    <w:p>
      <w:pPr>
        <w:pStyle w:val="ListBullet"/>
      </w:pPr>
      <w:r>
        <w:t>Entidade reguladora clara e capaz (regula 80+ municípios; Res. 670/2025 reforça aparato).</w:t>
      </w:r>
    </w:p>
    <w:p>
      <w:pPr>
        <w:pStyle w:val="ListBullet"/>
      </w:pPr>
      <w:r>
        <w:t>Res. ARES-PCJ 645/2025 traz subsídio social.</w:t>
      </w:r>
    </w:p>
    <w:p>
      <w:pPr>
        <w:pStyle w:val="Heading3"/>
      </w:pPr>
      <w:r>
        <w:t>Críticas</w:t>
      </w:r>
    </w:p>
    <w:p>
      <w:r>
        <w:rPr>
          <w:b/>
          <w:color w:val="CC0000"/>
        </w:rPr>
        <w:t xml:space="preserve">⚠️ FORTE: </w:t>
      </w:r>
      <w:r>
        <w:t>: Risco regulatório integral alocado à Concessionária (cl. 5.5 + 27.5/xxvii) — incompatível com TCU verbete 5.11.3.</w:t>
      </w:r>
    </w:p>
    <w:p>
      <w:pPr>
        <w:pStyle w:val="ListBullet"/>
      </w:pPr>
      <w:r>
        <w:t>RAZOÁVEL: Dependência crítica da ARES-PCJ sem plano B (saída do Município do consórcio = Matriz 5.6 sem indenização).</w:t>
      </w:r>
    </w:p>
    <w:p>
      <w:pPr>
        <w:pStyle w:val="Heading2"/>
      </w:pPr>
      <w:r>
        <w:t>3.7 Prazo, fases e cronograma</w:t>
      </w:r>
    </w:p>
    <w:p>
      <w:pPr>
        <w:pStyle w:val="Heading3"/>
      </w:pPr>
      <w:r>
        <w:t>Modelagem</w:t>
      </w:r>
    </w:p>
    <w:p>
      <w:pPr>
        <w:pStyle w:val="ListBullet"/>
      </w:pPr>
      <w:r>
        <w:t>30 anos da Ordem de Serviço (cl. 6.1 + LC Municipal 160/2021 art. 2º).</w:t>
      </w:r>
    </w:p>
    <w:p>
      <w:pPr>
        <w:pStyle w:val="ListBullet"/>
      </w:pPr>
      <w:r>
        <w:t>90 dias para Ordem de Serviço após assinatura (cl. 13.1.1, prorrogável).</w:t>
      </w:r>
    </w:p>
    <w:p>
      <w:pPr>
        <w:pStyle w:val="ListBullet"/>
      </w:pPr>
      <w:r>
        <w:t>4 etapas de ampliação do aterro (Anexo 15 PN item 6).</w:t>
      </w:r>
    </w:p>
    <w:p>
      <w:pPr>
        <w:pStyle w:val="ListBullet"/>
      </w:pPr>
      <w:r>
        <w:t>Caducidade automática se ampliação não realizada em 2 anos (cl. 38.6/i e 14.9.1).</w:t>
      </w:r>
    </w:p>
    <w:p>
      <w:pPr>
        <w:pStyle w:val="ListBullet"/>
      </w:pPr>
      <w:r>
        <w:t>Programa de Desmobilização: 365 dias antes do termo (cl. 36.7).</w:t>
      </w:r>
    </w:p>
    <w:p>
      <w:pPr>
        <w:pStyle w:val="ListBullet"/>
      </w:pPr>
      <w:r>
        <w:t>Primeira apuração do Fator Q: 25º mês.</w:t>
      </w:r>
    </w:p>
    <w:p>
      <w:pPr>
        <w:pStyle w:val="Heading3"/>
      </w:pPr>
      <w:r>
        <w:t>Críticas FORTE</w:t>
      </w:r>
    </w:p>
    <w:p>
      <w:r>
        <w:rPr>
          <w:b/>
          <w:color w:val="CC0000"/>
        </w:rPr>
        <w:t xml:space="preserve">⚠️: </w:t>
      </w:r>
      <w:r>
        <w:t xml:space="preserve"> Prazo de 2 anos para a ampliação do aterro + caducidade — apertado dado licenciamento da CETESB (LP + LI + LO ≈ 18-24 meses).</w:t>
      </w:r>
    </w:p>
    <w:p>
      <w:r>
        <w:rPr>
          <w:b/>
          <w:color w:val="CC0000"/>
        </w:rPr>
        <w:t xml:space="preserve">⚠️: </w:t>
      </w:r>
      <w:r>
        <w:t xml:space="preserve"> Saída por regionalização sem indenização pré-fixada (Matriz 5.6).</w:t>
      </w:r>
    </w:p>
    <w:p>
      <w:pPr>
        <w:pStyle w:val="Heading3"/>
      </w:pPr>
      <w:r>
        <w:t>Críticas RAZOÁVEL</w:t>
      </w:r>
    </w:p>
    <w:p>
      <w:pPr>
        <w:pStyle w:val="ListBullet"/>
      </w:pPr>
      <w:r>
        <w:t>Ausência de fases formais com gatilhos próprios — modelo binário (90 dias + 30 anos) simplificado.</w:t>
      </w:r>
    </w:p>
    <w:p>
      <w:pPr>
        <w:pStyle w:val="ListBullet"/>
      </w:pPr>
      <w:r>
        <w:t>Cronograma de investimentos referencial — Concessionária pode "deslizar" via revisões.</w:t>
      </w:r>
    </w:p>
    <w:p>
      <w:pPr>
        <w:pStyle w:val="Heading2"/>
      </w:pPr>
      <w:r>
        <w:t>3.8 Licitação — habilitação</w:t>
      </w:r>
    </w:p>
    <w:p>
      <w:pPr>
        <w:pStyle w:val="Heading3"/>
      </w:pPr>
      <w:r>
        <w:t>Qualificação técnica (Edital 10.15.4)</w:t>
      </w:r>
    </w:p>
    <w:p>
      <w:pPr>
        <w:pStyle w:val="ListBullet"/>
      </w:pPr>
      <w:r>
        <w:t>Atestados — "50% do total licitado" — em 9 atividades (coleta ≥ 2.000 t/mês; aterro ≥ 2.000 t/mês; LP de WtE + licença emitida; ETE de chorume ≥ 1.200 m³/mês; usina de triagem ≥ 3.900 t/mês; etc.).</w:t>
      </w:r>
    </w:p>
    <w:p>
      <w:pPr>
        <w:pStyle w:val="ListBullet"/>
      </w:pPr>
      <w:r>
        <w:t>CAT/CREA por profissional responsável técnico (9 atividades).</w:t>
      </w:r>
    </w:p>
    <w:p>
      <w:pPr>
        <w:pStyle w:val="ListBullet"/>
      </w:pPr>
      <w:r>
        <w:t>Somatório em consórcio; cada consorciada precisa de pelo menos 1 atividade.</w:t>
      </w:r>
    </w:p>
    <w:p>
      <w:pPr>
        <w:pStyle w:val="ListBullet"/>
      </w:pPr>
      <w:r>
        <w:t>Visita técnica facultativa.</w:t>
      </w:r>
    </w:p>
    <w:p>
      <w:pPr>
        <w:pStyle w:val="Heading3"/>
      </w:pPr>
      <w:r>
        <w:t>Qualificação econômico-financeira</w:t>
      </w:r>
    </w:p>
    <w:p>
      <w:pPr>
        <w:pStyle w:val="ListBullet"/>
      </w:pPr>
      <w:r>
        <w:t>Capital ou PL ≥ 10% do valor estimado (R$ 23,2 mi).</w:t>
      </w:r>
    </w:p>
    <w:p>
      <w:pPr>
        <w:pStyle w:val="ListBullet"/>
      </w:pPr>
      <w:r>
        <w:t>Balanço dos 2 últimos exercícios.</w:t>
      </w:r>
    </w:p>
    <w:p>
      <w:pPr>
        <w:pStyle w:val="ListBullet"/>
      </w:pPr>
      <w:r>
        <w:t>Índices: ILG ≥ 1,0; ILC ≥ 1,0; GE ≤ 0,5.</w:t>
      </w:r>
    </w:p>
    <w:p>
      <w:pPr>
        <w:pStyle w:val="ListBullet"/>
      </w:pPr>
      <w:r>
        <w:t>Recuperação judicial admitida com plano homologado.</w:t>
      </w:r>
    </w:p>
    <w:p>
      <w:pPr>
        <w:pStyle w:val="ListBullet"/>
      </w:pPr>
      <w:r>
        <w:t>Consórcio: PL somado + acréscimo de 30% (art. 15 § 1º Lei 14.133).</w:t>
      </w:r>
    </w:p>
    <w:p>
      <w:pPr>
        <w:pStyle w:val="Heading3"/>
      </w:pPr>
      <w:r>
        <w:t>SPE</w:t>
      </w:r>
    </w:p>
    <w:p>
      <w:r>
        <w:t>S.A. com sede em Rio Claro; capital mínimo R$ 10 mi; integralização inicial 10%.</w:t>
      </w:r>
    </w:p>
    <w:p>
      <w:pPr>
        <w:pStyle w:val="Heading3"/>
      </w:pPr>
      <w:r>
        <w:t>Críticas FORTE</w:t>
      </w:r>
    </w:p>
    <w:p>
      <w:r>
        <w:rPr>
          <w:b/>
          <w:color w:val="CC0000"/>
        </w:rPr>
        <w:t xml:space="preserve">⚠️: </w:t>
      </w:r>
      <w:r>
        <w:t xml:space="preserve"> "50% do total licitado" sem identificar parcelas de maior relevância — ofensa à Súmula 263/TCU e ao art. 67 § 2º Lei 14.133.</w:t>
      </w:r>
    </w:p>
    <w:p>
      <w:r>
        <w:rPr>
          <w:b/>
          <w:color w:val="CC0000"/>
        </w:rPr>
        <w:t xml:space="preserve">⚠️: </w:t>
      </w:r>
      <w:r>
        <w:t xml:space="preserve"> Item (d) — LP emitida para WtE como requisito — restrição competitiva desproporcional.</w:t>
      </w:r>
    </w:p>
    <w:p>
      <w:r>
        <w:rPr>
          <w:b/>
          <w:color w:val="CC0000"/>
        </w:rPr>
        <w:t xml:space="preserve">⚠️: </w:t>
      </w:r>
      <w:r>
        <w:t xml:space="preserve"> Item (g) — 3.900 t/mês de usina de triagem — superior à demanda municipal (~3.300 t/mês).</w:t>
      </w:r>
    </w:p>
    <w:p>
      <w:r>
        <w:rPr>
          <w:b/>
          <w:color w:val="CC0000"/>
        </w:rPr>
        <w:t xml:space="preserve">⚠️: </w:t>
      </w:r>
      <w:r>
        <w:t xml:space="preserve"> Quantitativo (a)/(f) duplicado — defeito objetivo.</w:t>
      </w:r>
    </w:p>
    <w:p>
      <w:r>
        <w:rPr>
          <w:b/>
          <w:color w:val="CC0000"/>
        </w:rPr>
        <w:t xml:space="preserve">⚠️: </w:t>
      </w:r>
      <w:r>
        <w:t xml:space="preserve"> CAT/CREA item (e) — LP emitida de WtE — combinada limita drasticamente o universo de profissionais.</w:t>
      </w:r>
    </w:p>
    <w:p>
      <w:r>
        <w:rPr>
          <w:b/>
          <w:color w:val="CC0000"/>
        </w:rPr>
        <w:t xml:space="preserve">⚠️: </w:t>
      </w:r>
      <w:r>
        <w:t xml:space="preserve"> Numeração duplicada do item 10.15.3.3 (filiais vs. consórcio).</w:t>
      </w:r>
    </w:p>
    <w:p>
      <w:pPr>
        <w:pStyle w:val="Heading3"/>
      </w:pPr>
      <w:r>
        <w:t>Críticas RAZOÁVEL</w:t>
      </w:r>
    </w:p>
    <w:p>
      <w:pPr>
        <w:pStyle w:val="ListBullet"/>
      </w:pPr>
      <w:r>
        <w:t>Lacuna sobre FIPs/EFPCs/instituições financeiras como licitantes.</w:t>
      </w:r>
    </w:p>
    <w:p>
      <w:pPr>
        <w:pStyle w:val="ListBullet"/>
      </w:pPr>
      <w:r>
        <w:t>Silêncio sobre atestados de grupo econômico.</w:t>
      </w:r>
    </w:p>
    <w:p>
      <w:pPr>
        <w:pStyle w:val="ListBullet"/>
      </w:pPr>
      <w:r>
        <w:t>Acréscimo de 30% no PL do consórcio no teto sem motivação.</w:t>
      </w:r>
    </w:p>
    <w:p>
      <w:pPr>
        <w:pStyle w:val="ListBullet"/>
      </w:pPr>
      <w:r>
        <w:t>Subsidiária integral obrigatória para licitante isolado.</w:t>
      </w:r>
    </w:p>
    <w:p>
      <w:pPr>
        <w:pStyle w:val="Heading2"/>
      </w:pPr>
      <w:r>
        <w:t>3.9 Critério de julgamento, consórcio e procedimento</w:t>
      </w:r>
    </w:p>
    <w:p>
      <w:pPr>
        <w:pStyle w:val="Heading3"/>
      </w:pPr>
      <w:r>
        <w:t>Critério</w:t>
      </w:r>
    </w:p>
    <w:p>
      <w:pPr>
        <w:pStyle w:val="ListBullet"/>
      </w:pPr>
      <w:r>
        <w:t>Técnica e Preço (60/40).</w:t>
      </w:r>
    </w:p>
    <w:p>
      <w:pPr>
        <w:pStyle w:val="ListBullet"/>
      </w:pPr>
      <w:r>
        <w:t>Variável de competição: maior desconto sobre Tarifa Domiciliar.</w:t>
      </w:r>
    </w:p>
    <w:p>
      <w:pPr>
        <w:pStyle w:val="ListBullet"/>
      </w:pPr>
      <w:r>
        <w:t>Nota técnica máxima 400 pontos; corte 300 pontos.</w:t>
      </w:r>
    </w:p>
    <w:p>
      <w:pPr>
        <w:pStyle w:val="ListBullet"/>
      </w:pPr>
      <w:r>
        <w:t>Modo FECHADO (imperativo legal).</w:t>
      </w:r>
    </w:p>
    <w:p>
      <w:pPr>
        <w:pStyle w:val="Heading3"/>
      </w:pPr>
      <w:r>
        <w:t>Consórcio</w:t>
      </w:r>
    </w:p>
    <w:p>
      <w:pPr>
        <w:pStyle w:val="ListBullet"/>
      </w:pPr>
      <w:r>
        <w:t>Até 3 empresas; líder com poderes irrevogáveis; solidariedade até a integralização do capital.</w:t>
      </w:r>
    </w:p>
    <w:p>
      <w:pPr>
        <w:pStyle w:val="ListBullet"/>
      </w:pPr>
      <w:r>
        <w:t>Vedação a participação simultânea.</w:t>
      </w:r>
    </w:p>
    <w:p>
      <w:pPr>
        <w:pStyle w:val="ListBullet"/>
      </w:pPr>
      <w:r>
        <w:t>Cada consorciada com pelo menos 1 atividade.</w:t>
      </w:r>
    </w:p>
    <w:p>
      <w:pPr>
        <w:pStyle w:val="Heading3"/>
      </w:pPr>
      <w:r>
        <w:t>Procedimento</w:t>
      </w:r>
    </w:p>
    <w:p>
      <w:pPr>
        <w:pStyle w:val="ListBullet"/>
      </w:pPr>
      <w:r>
        <w:t>Concorrência Eletrônica via comprasbr.com.br + licitacao.rioclaro.sp.gov.br.</w:t>
      </w:r>
    </w:p>
    <w:p>
      <w:pPr>
        <w:pStyle w:val="ListBullet"/>
      </w:pPr>
      <w:r>
        <w:t>Inversão de fases.</w:t>
      </w:r>
    </w:p>
    <w:p>
      <w:pPr>
        <w:pStyle w:val="ListBullet"/>
      </w:pPr>
      <w:r>
        <w:t>120 dias de validade das propostas.</w:t>
      </w:r>
    </w:p>
    <w:p>
      <w:pPr>
        <w:pStyle w:val="ListBullet"/>
      </w:pPr>
      <w:r>
        <w:t>Impugnação até 3 dias úteis antes da sessão.</w:t>
      </w:r>
    </w:p>
    <w:p>
      <w:pPr>
        <w:pStyle w:val="ListBullet"/>
      </w:pPr>
      <w:r>
        <w:t>Convocação para assinatura em 60 dias (prorrogável uma vez).</w:t>
      </w:r>
    </w:p>
    <w:p>
      <w:pPr>
        <w:pStyle w:val="Heading3"/>
      </w:pPr>
      <w:r>
        <w:t>Críticas FORTE</w:t>
      </w:r>
    </w:p>
    <w:p>
      <w:r>
        <w:rPr>
          <w:b/>
          <w:color w:val="CC0000"/>
        </w:rPr>
        <w:t xml:space="preserve">⚠️: </w:t>
      </w:r>
      <w:r>
        <w:t xml:space="preserve"> Súmula 21/TCE-SP — vedação a técnica e preço para coleta de lixo e implantação de aterro sanitário.</w:t>
      </w:r>
    </w:p>
    <w:p>
      <w:r>
        <w:rPr>
          <w:b/>
          <w:color w:val="CC0000"/>
        </w:rPr>
        <w:t xml:space="preserve">⚠️: </w:t>
      </w:r>
      <w:r>
        <w:t xml:space="preserve"> Saneamento de falhas com redação contraditória (Edital 10.11 vs. 12.14 vs. Nota 10.12).</w:t>
      </w:r>
    </w:p>
    <w:p>
      <w:r>
        <w:rPr>
          <w:b/>
          <w:color w:val="CC0000"/>
        </w:rPr>
        <w:t xml:space="preserve">⚠️: </w:t>
      </w:r>
      <w:r>
        <w:t xml:space="preserve"> Citação a "pregoeiro" em Concorrência Eletrônica — atecnia.</w:t>
      </w:r>
    </w:p>
    <w:p>
      <w:pPr>
        <w:pStyle w:val="Heading3"/>
      </w:pPr>
      <w:r>
        <w:t>Críticas RAZOÁVEL</w:t>
      </w:r>
    </w:p>
    <w:p>
      <w:pPr>
        <w:pStyle w:val="ListBullet"/>
      </w:pPr>
      <w:r>
        <w:t>Variável de competição sem piso/teto de desconto (risco de inexequibilidade).</w:t>
      </w:r>
    </w:p>
    <w:p>
      <w:pPr>
        <w:pStyle w:val="ListBullet"/>
      </w:pPr>
      <w:r>
        <w:t>Outorga fixa não como variável de competição.</w:t>
      </w:r>
    </w:p>
    <w:p>
      <w:pPr>
        <w:pStyle w:val="ListBullet"/>
      </w:pPr>
      <w:r>
        <w:t>Punição por NT abaixo do compromissado (Edital 8.2.18) sem métrica.</w:t>
      </w:r>
    </w:p>
    <w:p>
      <w:pPr>
        <w:pStyle w:val="ListBullet"/>
      </w:pPr>
      <w:r>
        <w:t>Plataforma comprasbr.com.br em vez de PNCP.</w:t>
      </w:r>
    </w:p>
    <w:p>
      <w:pPr>
        <w:pStyle w:val="ListBullet"/>
      </w:pPr>
      <w:r>
        <w:t>Sem percentual mínimo de participação da líder do consórcio.</w:t>
      </w:r>
    </w:p>
    <w:p>
      <w:pPr>
        <w:pStyle w:val="Heading2"/>
      </w:pPr>
      <w:r>
        <w:t>3.10 Gestão comercial, inadimplência e enforcement</w:t>
      </w:r>
    </w:p>
    <w:p>
      <w:pPr>
        <w:pStyle w:val="Heading3"/>
      </w:pPr>
      <w:r>
        <w:t>Modelagem</w:t>
      </w:r>
    </w:p>
    <w:p>
      <w:pPr>
        <w:pStyle w:val="ListBullet"/>
      </w:pPr>
      <w:r>
        <w:t>Cofaturamento via DAAE.</w:t>
      </w:r>
    </w:p>
    <w:p>
      <w:pPr>
        <w:pStyle w:val="ListBullet"/>
      </w:pPr>
      <w:r>
        <w:t>Atendimento bipartite: PRESTADOR (água + cobrança); CONCESSIONÁRIA (RSU + canais SAC).</w:t>
      </w:r>
    </w:p>
    <w:p>
      <w:pPr>
        <w:pStyle w:val="ListBullet"/>
      </w:pPr>
      <w:r>
        <w:t>Inadimplência média de 5% no PN — sem curva de redução.</w:t>
      </w:r>
    </w:p>
    <w:p>
      <w:pPr>
        <w:pStyle w:val="ListBullet"/>
      </w:pPr>
      <w:r>
        <w:t>Garantia Pública aciona-se em "5% por 3 meses ou 10% em 1 mês" (cl. 23.2.6).</w:t>
      </w:r>
    </w:p>
    <w:p>
      <w:pPr>
        <w:pStyle w:val="ListBullet"/>
      </w:pPr>
      <w:r>
        <w:t>Enforcement: DAAE corta abastecimento; Concessionária negativa em SPC/Serasa; cobrança judicial 50/50 após 180 dias.</w:t>
      </w:r>
    </w:p>
    <w:p>
      <w:pPr>
        <w:pStyle w:val="Heading3"/>
      </w:pPr>
      <w:r>
        <w:t>Críticas FORTE</w:t>
      </w:r>
    </w:p>
    <w:p>
      <w:r>
        <w:rPr>
          <w:b/>
          <w:color w:val="CC0000"/>
        </w:rPr>
        <w:t xml:space="preserve">⚠️: </w:t>
      </w:r>
      <w:r>
        <w:t xml:space="preserve"> Inadimplência de 5% constante por 30 anos — erro metodológico que subestima OPEX inicial.</w:t>
      </w:r>
    </w:p>
    <w:p>
      <w:r>
        <w:rPr>
          <w:b/>
          <w:color w:val="CC0000"/>
        </w:rPr>
        <w:t xml:space="preserve">⚠️: </w:t>
      </w:r>
      <w:r>
        <w:t xml:space="preserve"> Ausência de Fator Incremental.</w:t>
      </w:r>
    </w:p>
    <w:p>
      <w:r>
        <w:rPr>
          <w:b/>
          <w:color w:val="CC0000"/>
        </w:rPr>
        <w:t xml:space="preserve">⚠️: </w:t>
      </w:r>
      <w:r>
        <w:t xml:space="preserve"> Gatilho "5% por 3 meses" cria zona cinzenta entre 5% e 5,01%.</w:t>
      </w:r>
    </w:p>
    <w:p>
      <w:r>
        <w:rPr>
          <w:b/>
          <w:color w:val="CC0000"/>
        </w:rPr>
        <w:t xml:space="preserve">⚠️: </w:t>
      </w:r>
      <w:r>
        <w:t xml:space="preserve"> Sem cláusula de protesto extrajudicial (Lei 9.492/97).</w:t>
      </w:r>
    </w:p>
    <w:p>
      <w:pPr>
        <w:pStyle w:val="Heading3"/>
      </w:pPr>
      <w:r>
        <w:t>Atendimento ao usuário (Caderno 7.3)</w:t>
      </w:r>
    </w:p>
    <w:p>
      <w:pPr>
        <w:pStyle w:val="ListBullet"/>
      </w:pPr>
      <w:r>
        <w:t>Portal web + app móvel + ouvidoria + 0800 + SAC.</w:t>
      </w:r>
    </w:p>
    <w:p>
      <w:pPr>
        <w:pStyle w:val="ListBullet"/>
      </w:pPr>
      <w:r>
        <w:t>Resposta inicial em 48 horas.</w:t>
      </w:r>
    </w:p>
    <w:p>
      <w:pPr>
        <w:pStyle w:val="ListBullet"/>
      </w:pPr>
      <w:r>
        <w:t>Integração com CCO + georreferenciamento.</w:t>
      </w:r>
    </w:p>
    <w:p>
      <w:pPr>
        <w:pStyle w:val="Heading2"/>
      </w:pPr>
      <w:r>
        <w:t>3.11 Caderno de Encargos — escopo, CAPEX, indicadores</w:t>
      </w:r>
    </w:p>
    <w:p>
      <w:pPr>
        <w:pStyle w:val="Heading3"/>
      </w:pPr>
      <w:r>
        <w:t>Escopo DENTRO (Caderno 2.2)</w:t>
      </w:r>
    </w:p>
    <w:p>
      <w:pPr>
        <w:pStyle w:val="ListBullet"/>
      </w:pPr>
      <w:r>
        <w:t>Coleta manual e mecanizada (orgânicos, recicláveis, rejeitos).</w:t>
      </w:r>
    </w:p>
    <w:p>
      <w:pPr>
        <w:pStyle w:val="ListBullet"/>
      </w:pPr>
      <w:r>
        <w:t>Contêineres de superfície e semienterrados.</w:t>
      </w:r>
    </w:p>
    <w:p>
      <w:pPr>
        <w:pStyle w:val="ListBullet"/>
      </w:pPr>
      <w:r>
        <w:t>Caçambas em áreas rurais (item 3.5).</w:t>
      </w:r>
    </w:p>
    <w:p>
      <w:pPr>
        <w:pStyle w:val="ListBullet"/>
      </w:pPr>
      <w:r>
        <w:t>Gestão/operação/ampliação do Aterro Sanitário.</w:t>
      </w:r>
    </w:p>
    <w:p>
      <w:pPr>
        <w:pStyle w:val="ListBullet"/>
      </w:pPr>
      <w:r>
        <w:t>Transformação em Central de Tratamento (CTR).</w:t>
      </w:r>
    </w:p>
    <w:p>
      <w:pPr>
        <w:pStyle w:val="ListBullet"/>
      </w:pPr>
      <w:r>
        <w:t>Apoio à Educação Ambiental (via FUNDEMA).</w:t>
      </w:r>
    </w:p>
    <w:p>
      <w:pPr>
        <w:pStyle w:val="ListBullet"/>
      </w:pPr>
      <w:r>
        <w:t>Suporte/treinamento a cooperativas.</w:t>
      </w:r>
    </w:p>
    <w:p>
      <w:pPr>
        <w:pStyle w:val="ListBullet"/>
      </w:pPr>
      <w:r>
        <w:t>Instalações operacionais, CCO, SAC.</w:t>
      </w:r>
    </w:p>
    <w:p>
      <w:pPr>
        <w:pStyle w:val="Heading3"/>
      </w:pPr>
      <w:r>
        <w:t>Escopo FORA (Caderno 2.3 e 3.1)</w:t>
      </w:r>
    </w:p>
    <w:p>
      <w:pPr>
        <w:pStyle w:val="ListBullet"/>
      </w:pPr>
      <w:r>
        <w:t>Coleta Seletiva.</w:t>
      </w:r>
    </w:p>
    <w:p>
      <w:pPr>
        <w:pStyle w:val="ListBullet"/>
      </w:pPr>
      <w:r>
        <w:t>Varrição, capina, roçada, raspagem, desobstrução de bueiros, limpeza de logradouros.</w:t>
      </w:r>
    </w:p>
    <w:p>
      <w:pPr>
        <w:pStyle w:val="Heading3"/>
      </w:pPr>
      <w:r>
        <w:t>CAPEX</w:t>
      </w:r>
    </w:p>
    <w:p>
      <w:r>
        <w:t>R$ 232 mi distribuídos em 4 etapas de ampliação do aterro (Anos 1-2, 9, 15, 29) + frota com ciclo de renovação ~5 anos.</w:t>
      </w:r>
    </w:p>
    <w:p>
      <w:pPr>
        <w:pStyle w:val="Heading3"/>
      </w:pPr>
      <w:r>
        <w:t>Fator Q (Anexo 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Sigla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Pontos máx.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Cumprimento do Plano de Trabalho da Coleta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ICR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30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Avaliação de Operação do Aterro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IAOAS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20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Reclamações por Domicílio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IRD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20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Satisfação e Conhecimento (IS + IC)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ISIC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20 (15+5)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Cumprimento Físico das Metas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CM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ADC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100</w:t>
            </w:r>
          </w:p>
        </w:tc>
      </w:tr>
    </w:tbl>
    <w:p/>
    <w:p>
      <w:r>
        <w:t>Aplicação sobre 5% da Receita Requerida. Primeira apuração: 25º mês.</w:t>
      </w:r>
    </w:p>
    <w:p>
      <w:pPr>
        <w:pStyle w:val="Heading3"/>
      </w:pPr>
      <w:r>
        <w:t>Penalidades (cl. 33)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Grupo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Valor da multa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Grupo 1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Leve (5 condutas)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0,001% da RTL anterior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Grupo 2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Média (3 condutas)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0,005% da RTL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Grupo 3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Grave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0,01% da RTL</w:t>
            </w:r>
          </w:p>
        </w:tc>
      </w:tr>
    </w:tbl>
    <w:p/>
    <w:p>
      <w:r>
        <w:t>Teto mensal: 2,5% do faturamento. Multa específica de 20% sobre receita dos 12 meses anteriores + caducidade se ampliação não realizada em 2 anos (cl. 14.9.1 + 38.6/i).</w:t>
      </w:r>
    </w:p>
    <w:p>
      <w:pPr>
        <w:pStyle w:val="Heading3"/>
      </w:pPr>
      <w:r>
        <w:t>Críticas FORTE</w:t>
      </w:r>
    </w:p>
    <w:p>
      <w:r>
        <w:rPr>
          <w:b/>
          <w:color w:val="CC0000"/>
        </w:rPr>
        <w:t xml:space="preserve">⚠️: </w:t>
      </w:r>
      <w:r>
        <w:t xml:space="preserve"> Coleta Seletiva fora do objeto vs. Usina de Triagem de 3.900 t/mês — contradição estrutural.</w:t>
      </w:r>
    </w:p>
    <w:p>
      <w:r>
        <w:rPr>
          <w:b/>
          <w:color w:val="CC0000"/>
        </w:rPr>
        <w:t xml:space="preserve">⚠️: </w:t>
      </w:r>
      <w:r>
        <w:t xml:space="preserve"> Varrição fora do objeto vs. definição de RPU no Contrato + tarifa fixa de R$ 125/t.</w:t>
      </w:r>
    </w:p>
    <w:p>
      <w:r>
        <w:rPr>
          <w:b/>
          <w:color w:val="CC0000"/>
        </w:rPr>
        <w:t xml:space="preserve">⚠️: </w:t>
      </w:r>
      <w:r>
        <w:t xml:space="preserve"> Anexo 4E referenciado mas inexistente.</w:t>
      </w:r>
    </w:p>
    <w:p>
      <w:r>
        <w:rPr>
          <w:b/>
          <w:color w:val="CC0000"/>
        </w:rPr>
        <w:t xml:space="preserve">⚠️: </w:t>
      </w:r>
      <w:r>
        <w:t xml:space="preserve"> Prazo de 2 anos para ampliação apertado.</w:t>
      </w:r>
    </w:p>
    <w:p>
      <w:r>
        <w:rPr>
          <w:b/>
          <w:color w:val="CC0000"/>
        </w:rPr>
        <w:t xml:space="preserve">⚠️: </w:t>
      </w:r>
      <w:r>
        <w:t xml:space="preserve"> Mecanismo "não fará jus ao aumento da tarifa no 2º ano" (Edital 8.2.18) sem métrica operacional.</w:t>
      </w:r>
    </w:p>
    <w:p>
      <w:pPr>
        <w:pStyle w:val="Heading3"/>
      </w:pPr>
      <w:r>
        <w:t>Lacunas</w:t>
      </w:r>
    </w:p>
    <w:p>
      <w:pPr>
        <w:pStyle w:val="ListBullet"/>
      </w:pPr>
      <w:r>
        <w:t>Sem ETRs separadas.</w:t>
      </w:r>
    </w:p>
    <w:p>
      <w:pPr>
        <w:pStyle w:val="ListBullet"/>
      </w:pPr>
      <w:r>
        <w:t>Sem galpões de cooperativas como CAPEX.</w:t>
      </w:r>
    </w:p>
    <w:p>
      <w:pPr>
        <w:pStyle w:val="ListBullet"/>
      </w:pPr>
      <w:r>
        <w:t>Sem cláusula sobre RCC (CONAMA 307/2002).</w:t>
      </w:r>
    </w:p>
    <w:p>
      <w:pPr>
        <w:pStyle w:val="ListBullet"/>
      </w:pPr>
      <w:r>
        <w:t>Sem cláusula sobre logística reversa (Lei 12.305/2010 arts. 33-34).</w:t>
      </w:r>
    </w:p>
    <w:p>
      <w:pPr>
        <w:pStyle w:val="ListBullet"/>
      </w:pPr>
      <w:r>
        <w:t>Sem prazo único para implantação completa da CTR.</w:t>
      </w:r>
    </w:p>
    <w:p>
      <w:pPr>
        <w:pStyle w:val="ListBullet"/>
      </w:pPr>
      <w:r>
        <w:t>PEVs sem localização pré-definida.</w:t>
      </w:r>
    </w:p>
    <w:p>
      <w:pPr>
        <w:pStyle w:val="Heading2"/>
      </w:pPr>
      <w:r>
        <w:t>3.12 Verificador Independente e licenciamento</w:t>
      </w:r>
    </w:p>
    <w:p>
      <w:pPr>
        <w:pStyle w:val="Heading3"/>
      </w:pPr>
      <w:r>
        <w:t>Verificador (Anexo 16)</w:t>
      </w:r>
    </w:p>
    <w:p>
      <w:pPr>
        <w:pStyle w:val="ListBullet"/>
      </w:pPr>
      <w:r>
        <w:t>Contratado pela Concessionária com aprovação prévia da ARES-PCJ.</w:t>
      </w:r>
    </w:p>
    <w:p>
      <w:pPr>
        <w:pStyle w:val="ListBullet"/>
      </w:pPr>
      <w:r>
        <w:t>Pago pela Concessionária (teto R$ 45.000/mês, data-base outubro/2025).</w:t>
      </w:r>
    </w:p>
    <w:p>
      <w:pPr>
        <w:pStyle w:val="ListBullet"/>
      </w:pPr>
      <w:r>
        <w:t>Vedações robustas: sócios, coligadas, ex-empregados (últimos 6 meses), servidores da reguladora.</w:t>
      </w:r>
    </w:p>
    <w:p>
      <w:r>
        <w:rPr>
          <w:b/>
          <w:color w:val="CC0000"/>
        </w:rPr>
        <w:t xml:space="preserve">⚠️ FORTE: </w:t>
      </w:r>
      <w:r>
        <w:t>: Anexo 16 cita "cláusula 17.8" como base do Verificador — mas cl. 17.8 trata de correções monetárias.</w:t>
      </w:r>
    </w:p>
    <w:p>
      <w:pPr>
        <w:pStyle w:val="Heading3"/>
      </w:pPr>
      <w:r>
        <w:t>Críticas RAZOÁVEL</w:t>
      </w:r>
    </w:p>
    <w:p>
      <w:pPr>
        <w:pStyle w:val="ListBullet"/>
      </w:pPr>
      <w:r>
        <w:t>Conflito de incentivo: Concessionária paga seu próprio fiscal.</w:t>
      </w:r>
    </w:p>
    <w:p>
      <w:pPr>
        <w:pStyle w:val="ListBullet"/>
      </w:pPr>
      <w:r>
        <w:t>Sem regra de reajuste plurianual do teto.</w:t>
      </w:r>
    </w:p>
    <w:p>
      <w:pPr>
        <w:pStyle w:val="ListBullet"/>
      </w:pPr>
      <w:r>
        <w:t>Sem penalidade por falha do Verificador.</w:t>
      </w:r>
    </w:p>
    <w:p>
      <w:pPr>
        <w:pStyle w:val="Heading3"/>
      </w:pPr>
      <w:r>
        <w:t>Licenciamento</w:t>
      </w:r>
    </w:p>
    <w:p>
      <w:pPr>
        <w:pStyle w:val="ListBullet"/>
      </w:pPr>
      <w:r>
        <w:t>Concessionária elabora estudos e obtém LI e LO; LP já obtida pelo Concedente (Anexo 4C — Licença 2931/2023).</w:t>
      </w:r>
    </w:p>
    <w:p>
      <w:pPr>
        <w:pStyle w:val="ListBullet"/>
      </w:pPr>
      <w:r>
        <w:t>Atraso administrativo da CETESB → reequilíbrio (cl. 15.3 + 27.7/vii); Matriz 2.3.</w:t>
      </w:r>
    </w:p>
    <w:p>
      <w:pPr>
        <w:pStyle w:val="ListBullet"/>
      </w:pPr>
      <w:r>
        <w:t>Passivo ambiental pré-existente → Concedente; pós-assunção → Concessionária (cl. 16.4-16.8).</w:t>
      </w:r>
    </w:p>
    <w:p>
      <w:pPr>
        <w:pStyle w:val="ListBullet"/>
      </w:pPr>
      <w:r>
        <w:t>Plano de Encerramento do Aterro (Caderno 4.2.21) — sem indicar quem aprova.</w:t>
      </w:r>
    </w:p>
    <w:p>
      <w:pPr>
        <w:pStyle w:val="Heading2"/>
      </w:pPr>
      <w:r>
        <w:t>3.13 Cooperativas, catadores e fase de transição</w:t>
      </w:r>
    </w:p>
    <w:p>
      <w:pPr>
        <w:pStyle w:val="Heading3"/>
      </w:pPr>
      <w:r>
        <w:t>Cooperativas (Caderno 6)</w:t>
      </w:r>
    </w:p>
    <w:p>
      <w:pPr>
        <w:pStyle w:val="ListBullet"/>
      </w:pPr>
      <w:r>
        <w:t>Suporte técnico, operacional, administrativo e formativo contínuo.</w:t>
      </w:r>
    </w:p>
    <w:p>
      <w:pPr>
        <w:pStyle w:val="ListBullet"/>
      </w:pPr>
      <w:r>
        <w:t>Capacitação periódica, treinamento de máquinas, monitoramento, formalização.</w:t>
      </w:r>
    </w:p>
    <w:p>
      <w:pPr>
        <w:pStyle w:val="ListBullet"/>
      </w:pPr>
      <w:r>
        <w:t>Materiais recicláveis 100% dos catadores (cl. 22.4.5) — compatível com PNRS art. 36 § 1º.</w:t>
      </w:r>
    </w:p>
    <w:p>
      <w:pPr>
        <w:pStyle w:val="ListBullet"/>
      </w:pPr>
      <w:r>
        <w:t>FUNDEMA: 1,5% da Receita Tarifária Líquida.</w:t>
      </w:r>
    </w:p>
    <w:p>
      <w:r>
        <w:rPr>
          <w:b/>
          <w:color w:val="CC0000"/>
        </w:rPr>
        <w:t xml:space="preserve">Inconsistência: </w:t>
      </w:r>
      <w:r>
        <w:t>: FUNDEMA com 3 nomes — "Fundo Municipal de Defesa do Meio Ambiente" (Caderno, c/ Lei 4.162/2011) vs. "Fundo ao Desenvolvimento" (Edital + Contrato).</w:t>
      </w:r>
    </w:p>
    <w:p>
      <w:pPr>
        <w:pStyle w:val="Heading3"/>
      </w:pPr>
      <w:r>
        <w:t>Lacunas</w:t>
      </w:r>
    </w:p>
    <w:p>
      <w:pPr>
        <w:pStyle w:val="ListBullet"/>
      </w:pPr>
      <w:r>
        <w:t>Sem galpões de cooperativas como obrigação física.</w:t>
      </w:r>
    </w:p>
    <w:p>
      <w:pPr>
        <w:pStyle w:val="ListBullet"/>
      </w:pPr>
      <w:r>
        <w:t>Sem cláusula sobre logística reversa (PNRS arts. 33-34).</w:t>
      </w:r>
    </w:p>
    <w:p>
      <w:pPr>
        <w:pStyle w:val="Heading3"/>
      </w:pPr>
      <w:r>
        <w:t>Fase de transição</w:t>
      </w:r>
    </w:p>
    <w:p>
      <w:pPr>
        <w:pStyle w:val="ListBullet"/>
      </w:pPr>
      <w:r>
        <w:t>90 dias para Ordem de Serviço (cl. 13.1.1, prorrogável por igual período).</w:t>
      </w:r>
    </w:p>
    <w:p>
      <w:pPr>
        <w:pStyle w:val="ListBullet"/>
      </w:pPr>
      <w:r>
        <w:t>Plano de Trabalho em 30 dias da assinatura.</w:t>
      </w:r>
    </w:p>
    <w:p>
      <w:pPr>
        <w:pStyle w:val="ListBullet"/>
      </w:pPr>
      <w:r>
        <w:t>Cadastro do DAAE em 30 dias.</w:t>
      </w:r>
    </w:p>
    <w:p>
      <w:pPr>
        <w:pStyle w:val="ListBullet"/>
      </w:pPr>
      <w:r>
        <w:t>Compartilhamento eletrônico em 120 dias.</w:t>
      </w:r>
    </w:p>
    <w:p>
      <w:pPr>
        <w:pStyle w:val="ListBullet"/>
      </w:pPr>
      <w:r>
        <w:t>Vida útil residual da área atual: 15 meses — janela apertada.</w:t>
      </w:r>
    </w:p>
    <w:p>
      <w:pPr>
        <w:pStyle w:val="ListBullet"/>
      </w:pPr>
      <w:r>
        <w:t>Sem regra para destinação intermediária em caso de atraso da Etapa 1.</w:t>
      </w:r>
    </w:p>
    <w:p>
      <w:r>
        <w:br w:type="page"/>
      </w:r>
    </w:p>
    <w:p>
      <w:pPr>
        <w:pStyle w:val="Heading1"/>
      </w:pPr>
      <w:r>
        <w:t>4. Erros, inconsistências e lacunas formais</w:t>
      </w:r>
    </w:p>
    <w:p>
      <w:pPr>
        <w:pStyle w:val="Heading2"/>
      </w:pPr>
      <w:r>
        <w:t>4.1 Defeitos de gravidade máxima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Defeito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Localização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4B com 3 identidades (Diretrizes/RAP/Aterro)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cl. 3.1(f); Anexo 6 linha 297; TR linha 578; Edital 29.11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Sumário do Contrato desfasado em 1 cláusula vs. corpo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TOC vs. corpo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Taxa de desconto FCM em branco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cl. 25.3.2/a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4E referenciado mas inexistente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cl. 14.9; Caderno linha 115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R$ 232.059.000.34 vs. R$ 232.059.034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Edital 2.2 vs. Contrato 7.1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Vida útil aterro: 5 vs. 7 anos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4 documentos vs. Anexo 12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Tarifa RPU: R$ 125 vs. R$ 140,37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2 vs. Edital 8.2.13/iv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Cl. 26.1 com auto-referência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cl. 26.1 linha 2597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Cl. 25.5.3 referencia 25.5.5 (outra matéria)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cl. 25.5.3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Matriz com erros (2.11 dup; 3.13-3.15 ausentes)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13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16 cita cl. 17.8 errada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16 item 1.1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"Atualidade da tecnologia" duplicada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cl. 27.5(x) e (xxii)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Edital cl. 22.6.8.1 duplicada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Edital linhas 1933 e 1935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Item 10.15.3.3 duplicado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Edital linhas 1040 e 1086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Triplo nome do Anexo 5A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1.1, 3.1(h), Anexo 5A título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Decreto 13.491 vs. 13.492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vs. PN/ETP/Edital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FUNDEMA com 3 nomes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Caderno 5.1 vs. Edital 8.2.19 vs. Contrato 1881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RPU/RLU/limpeza pública sem padronização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Múltiplos docs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"Ligação ativa" vs. "Fatura emitida"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Edital 8.2.10 vs. Anexo 5A 9.1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"0,5%" com 3 redações por extenso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várias linhas</w:t>
            </w:r>
          </w:p>
        </w:tc>
      </w:tr>
    </w:tbl>
    <w:p/>
    <w:p>
      <w:pPr>
        <w:pStyle w:val="Heading2"/>
      </w:pPr>
      <w:r>
        <w:t>4.2 Campos não preenchidos críticos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Localização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Criticidade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Taxa de desconto FCM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cl. 25.3.2/a — "[detalhar a taxa adotada]"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Concorrência n.º XX/2025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Contrato preâmbulo linha 115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Erro redacional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Edital n.º xx/202x / Concorrência Pública xx/202x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8 — várias páginas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Erro redacional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"Anexo 4 - Diretrizes de Elaboração da Metodologia"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Edital 9.4.2 — anexo errado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Cruzada errada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Itens 18, 19, 20 do cronograma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Caderno 4.2 Tabela 6 — "A definir"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Lacuna documental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[Digite aqui]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2 — 5 ocorrências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Template não revisado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"Sr. XXXXXXXXXXXXX"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Anexo 5A linha 62 — Superintendente DAAE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Preenchimento posterior</w:t>
            </w:r>
          </w:p>
        </w:tc>
      </w:tr>
    </w:tbl>
    <w:p/>
    <w:p>
      <w:pPr>
        <w:pStyle w:val="Heading2"/>
      </w:pPr>
      <w:r>
        <w:t>4.3 Reaproveitamento de modelo anterior — 10 indícios convergentes</w:t>
      </w:r>
    </w:p>
    <w:p>
      <w:pPr>
        <w:pStyle w:val="ListNumber"/>
      </w:pPr>
      <w:r>
        <w:t>Anexo 5 título: "MINUTA DE CONTRATO N.º 253/2023";</w:t>
      </w:r>
    </w:p>
    <w:p>
      <w:pPr>
        <w:pStyle w:val="ListNumber"/>
      </w:pPr>
      <w:r>
        <w:t>Termo de Ciência (Contrato linha 5002): "CONCORRÊNCIA N.º 02/2023";</w:t>
      </w:r>
    </w:p>
    <w:p>
      <w:pPr>
        <w:pStyle w:val="ListNumber"/>
      </w:pPr>
      <w:r>
        <w:t>Contrato preâmbulo: "CONCORRÊNCIA N.º XX/2025" (placeholder);</w:t>
      </w:r>
    </w:p>
    <w:p>
      <w:pPr>
        <w:pStyle w:val="ListNumber"/>
      </w:pPr>
      <w:r>
        <w:t>Anexo 6 cabeçalho: "Edital nº 253/2023 – Concorrência Pública nº 02/2023";</w:t>
      </w:r>
    </w:p>
    <w:p>
      <w:pPr>
        <w:pStyle w:val="ListNumber"/>
      </w:pPr>
      <w:r>
        <w:t>Anexo 1B linha 33: "Concorrência Pública" (modalidade revogada);</w:t>
      </w:r>
    </w:p>
    <w:p>
      <w:pPr>
        <w:pStyle w:val="ListNumber"/>
      </w:pPr>
      <w:r>
        <w:t>Anexo 8: "Edital n.º xx/202x – Concorrência Pública nº xx/202x";</w:t>
      </w:r>
    </w:p>
    <w:p>
      <w:pPr>
        <w:pStyle w:val="ListNumber"/>
      </w:pPr>
      <w:r>
        <w:t>Anexo 2: "[Digite aqui]" remanescente em 5 lugares;</w:t>
      </w:r>
    </w:p>
    <w:p>
      <w:pPr>
        <w:pStyle w:val="ListNumber"/>
      </w:pPr>
      <w:r>
        <w:t>Sumário do Contrato desfasado sugere reorganização incompleta;</w:t>
      </w:r>
    </w:p>
    <w:p>
      <w:pPr>
        <w:pStyle w:val="ListNumber"/>
      </w:pPr>
      <w:r>
        <w:t>Anexo 4B com 3 identidades sugere reaproveitamento sem padronização;</w:t>
      </w:r>
    </w:p>
    <w:p>
      <w:pPr>
        <w:pStyle w:val="ListNumber"/>
      </w:pPr>
      <w:r>
        <w:t>Edital final: "ANEXO 3 – RESOLUÇÃO ARES PCI" (com I, não J) + "ANEXO 15 – PLANO DE NEGÉOCIO".</w:t>
      </w:r>
    </w:p>
    <w:p>
      <w:pPr>
        <w:pStyle w:val="Heading2"/>
      </w:pPr>
      <w:r>
        <w:t>4.4 Lacunas relevantes</w:t>
      </w:r>
    </w:p>
    <w:p>
      <w:pPr>
        <w:pStyle w:val="ListNumber"/>
      </w:pPr>
      <w:r>
        <w:t>Taxa de desconto do FCM em branco (cl. 25.3.2/a);</w:t>
      </w:r>
    </w:p>
    <w:p>
      <w:pPr>
        <w:pStyle w:val="ListNumber"/>
      </w:pPr>
      <w:r>
        <w:t>Fallback ao cofaturamento (sem step-in da Concessionária);</w:t>
      </w:r>
    </w:p>
    <w:p>
      <w:pPr>
        <w:pStyle w:val="ListNumber"/>
      </w:pPr>
      <w:r>
        <w:t>Indenização pré-fixada para saída por regionalização (Matriz 5.6);</w:t>
      </w:r>
    </w:p>
    <w:p>
      <w:pPr>
        <w:pStyle w:val="ListNumber"/>
      </w:pPr>
      <w:r>
        <w:t>Regra para usuários sem hidrômetro / economias rurais;</w:t>
      </w:r>
    </w:p>
    <w:p>
      <w:pPr>
        <w:pStyle w:val="ListNumber"/>
      </w:pPr>
      <w:r>
        <w:t>Protesto extrajudicial em cartório (Lei 9.492/97);</w:t>
      </w:r>
    </w:p>
    <w:p>
      <w:pPr>
        <w:pStyle w:val="ListNumber"/>
      </w:pPr>
      <w:r>
        <w:t>Cyber-segurança / LGPD detalhada;</w:t>
      </w:r>
    </w:p>
    <w:p>
      <w:pPr>
        <w:pStyle w:val="ListNumber"/>
      </w:pPr>
      <w:r>
        <w:t>Disciplina de subcontratação (cl. 31);</w:t>
      </w:r>
    </w:p>
    <w:p>
      <w:pPr>
        <w:pStyle w:val="ListNumber"/>
      </w:pPr>
      <w:r>
        <w:t>RCC — Resíduos da Construção Civil (CONAMA 307/2002);</w:t>
      </w:r>
    </w:p>
    <w:p>
      <w:pPr>
        <w:pStyle w:val="ListNumber"/>
      </w:pPr>
      <w:r>
        <w:t>Logística reversa (Lei 12.305/2010 arts. 33-34);</w:t>
      </w:r>
    </w:p>
    <w:p>
      <w:pPr>
        <w:pStyle w:val="ListNumber"/>
      </w:pPr>
      <w:r>
        <w:t>Prazo único para implantação da CTR;</w:t>
      </w:r>
    </w:p>
    <w:p>
      <w:pPr>
        <w:pStyle w:val="ListNumber"/>
      </w:pPr>
      <w:r>
        <w:t>Descontinuidade do consórcio ARES-PCJ;</w:t>
      </w:r>
    </w:p>
    <w:p>
      <w:pPr>
        <w:pStyle w:val="ListNumber"/>
      </w:pPr>
      <w:r>
        <w:t>Aprovação do Plano de Encerramento do Aterro;</w:t>
      </w:r>
    </w:p>
    <w:p>
      <w:pPr>
        <w:pStyle w:val="ListNumber"/>
      </w:pPr>
      <w:r>
        <w:t>Penalidade por falha do Verificador Independente;</w:t>
      </w:r>
    </w:p>
    <w:p>
      <w:pPr>
        <w:pStyle w:val="ListNumber"/>
      </w:pPr>
      <w:r>
        <w:t>Reajuste plurianual do teto do Verificador (R$ 45.000/mês);</w:t>
      </w:r>
    </w:p>
    <w:p>
      <w:pPr>
        <w:pStyle w:val="ListNumber"/>
      </w:pPr>
      <w:r>
        <w:t>Critério objetivo para "manifestamente inexequível" (Edital 9.5.2/b).</w:t>
      </w:r>
    </w:p>
    <w:p>
      <w:r>
        <w:br w:type="page"/>
      </w:r>
    </w:p>
    <w:p>
      <w:pPr>
        <w:pStyle w:val="Heading1"/>
      </w:pPr>
      <w:r>
        <w:t>5. Síntese — teses por classificação</w:t>
      </w:r>
    </w:p>
    <w:p>
      <w:pPr>
        <w:pStyle w:val="Heading2"/>
      </w:pPr>
      <w:r>
        <w:t>5.1 Teses FORTE</w:t>
      </w:r>
    </w:p>
    <w:p>
      <w:r>
        <w:t>Vide Sumário Executivo — TOP 30 (item 2 deste parecer).</w:t>
      </w:r>
    </w:p>
    <w:p>
      <w:pPr>
        <w:pStyle w:val="Heading2"/>
      </w:pPr>
      <w:r>
        <w:t>5.2 Teses RAZOÁVEL</w:t>
      </w:r>
    </w:p>
    <w:p>
      <w:pPr>
        <w:pStyle w:val="ListNumber"/>
      </w:pPr>
      <w:r>
        <w:t>Cesta de reajuste enviesada pró-mão de obra (42,34%) e fraca em IPCA (22,42%).</w:t>
      </w:r>
    </w:p>
    <w:p>
      <w:pPr>
        <w:pStyle w:val="ListNumber"/>
      </w:pPr>
      <w:r>
        <w:t>Fator Q tímido (5% da Receita Requerida).</w:t>
      </w:r>
    </w:p>
    <w:p>
      <w:pPr>
        <w:pStyle w:val="ListNumber"/>
      </w:pPr>
      <w:r>
        <w:t>LGPD com remissão genérica (Anexo 5A 4.3 e 4.6).</w:t>
      </w:r>
    </w:p>
    <w:p>
      <w:pPr>
        <w:pStyle w:val="ListNumber"/>
      </w:pPr>
      <w:r>
        <w:t>Atendimento bipartite confuso para o usuário.</w:t>
      </w:r>
    </w:p>
    <w:p>
      <w:pPr>
        <w:pStyle w:val="ListNumber"/>
      </w:pPr>
      <w:r>
        <w:t>Compartilhamento eletrônico em 120 dias (longo para concessão).</w:t>
      </w:r>
    </w:p>
    <w:p>
      <w:pPr>
        <w:pStyle w:val="ListNumber"/>
      </w:pPr>
      <w:r>
        <w:t>Premissa do PN não inclui "custo de assessoria de inadimplentes".</w:t>
      </w:r>
    </w:p>
    <w:p>
      <w:pPr>
        <w:pStyle w:val="ListNumber"/>
      </w:pPr>
      <w:r>
        <w:t>Atraso superveniente de condicionantes da CETESB sem cláusula específica.</w:t>
      </w:r>
    </w:p>
    <w:p>
      <w:pPr>
        <w:pStyle w:val="ListNumber"/>
      </w:pPr>
      <w:r>
        <w:t>Lacuna sobre FIPs/EFPCs/instituições financeiras.</w:t>
      </w:r>
    </w:p>
    <w:p>
      <w:pPr>
        <w:pStyle w:val="ListNumber"/>
      </w:pPr>
      <w:r>
        <w:t>Silêncio sobre atestados de grupo econômico.</w:t>
      </w:r>
    </w:p>
    <w:p>
      <w:pPr>
        <w:pStyle w:val="ListNumber"/>
      </w:pPr>
      <w:r>
        <w:t>Acréscimo de 30% no PL do consórcio sem motivação.</w:t>
      </w:r>
    </w:p>
    <w:p>
      <w:pPr>
        <w:pStyle w:val="ListNumber"/>
      </w:pPr>
      <w:r>
        <w:t>Subsidiária integral obrigatória para licitante isolado.</w:t>
      </w:r>
    </w:p>
    <w:p>
      <w:pPr>
        <w:pStyle w:val="ListNumber"/>
      </w:pPr>
      <w:r>
        <w:t>Variável de competição sem piso/teto de desconto.</w:t>
      </w:r>
    </w:p>
    <w:p>
      <w:pPr>
        <w:pStyle w:val="ListNumber"/>
      </w:pPr>
      <w:r>
        <w:t>Outorga fixa não como variável de competição.</w:t>
      </w:r>
    </w:p>
    <w:p>
      <w:pPr>
        <w:pStyle w:val="ListNumber"/>
      </w:pPr>
      <w:r>
        <w:t>Punição por NT abaixo do compromissado sem métrica.</w:t>
      </w:r>
    </w:p>
    <w:p>
      <w:pPr>
        <w:pStyle w:val="ListNumber"/>
      </w:pPr>
      <w:r>
        <w:t>Plataforma comprasbr.com.br em vez de PNCP.</w:t>
      </w:r>
    </w:p>
    <w:p>
      <w:pPr>
        <w:pStyle w:val="ListNumber"/>
      </w:pPr>
      <w:r>
        <w:t>Sem percentual mínimo da líder do consórcio.</w:t>
      </w:r>
    </w:p>
    <w:p>
      <w:pPr>
        <w:pStyle w:val="ListNumber"/>
      </w:pPr>
      <w:r>
        <w:t>Cl. 27.5(xiv) — "valor de mercado" ambíguo para 30 anos.</w:t>
      </w:r>
    </w:p>
    <w:p>
      <w:pPr>
        <w:pStyle w:val="ListNumber"/>
      </w:pPr>
      <w:r>
        <w:t>Parcelamento da indenização em 4-6 meses (insuficiente).</w:t>
      </w:r>
    </w:p>
    <w:p>
      <w:pPr>
        <w:pStyle w:val="ListNumber"/>
      </w:pPr>
      <w:r>
        <w:t>Cl. 42.4.4 — ambiguidade sobre passivos ocultos.</w:t>
      </w:r>
    </w:p>
    <w:p>
      <w:pPr>
        <w:pStyle w:val="ListNumber"/>
      </w:pPr>
      <w:r>
        <w:t>Compartilhamento de 15% sem destinação à modicidade tarifária.</w:t>
      </w:r>
    </w:p>
    <w:p>
      <w:pPr>
        <w:pStyle w:val="Heading2"/>
      </w:pPr>
      <w:r>
        <w:t>5.3 Teses ARRISCADA (fragilidades para a impugnação)</w:t>
      </w:r>
    </w:p>
    <w:p>
      <w:pPr>
        <w:pStyle w:val="ListNumber"/>
      </w:pPr>
      <w:r>
        <w:t>Redação "equivalente a até 10%" do PL do licitante.</w:t>
      </w:r>
    </w:p>
    <w:p>
      <w:pPr>
        <w:pStyle w:val="ListNumber"/>
      </w:pPr>
      <w:r>
        <w:t>Citação a "pregoeiro" em Concorrência Eletrônica (atecnia menor).</w:t>
      </w:r>
    </w:p>
    <w:p>
      <w:pPr>
        <w:pStyle w:val="ListNumber"/>
      </w:pPr>
      <w:r>
        <w:t>Risco de subsídio facultativo (1º ano) sem reequilíbrio claro.</w:t>
      </w:r>
    </w:p>
    <w:p>
      <w:pPr>
        <w:pStyle w:val="ListNumber"/>
      </w:pPr>
      <w:r>
        <w:t>Restituição do Success Fee à FESPSP antes da assinatura.</w:t>
      </w:r>
    </w:p>
    <w:p>
      <w:pPr>
        <w:pStyle w:val="ListNumber"/>
      </w:pPr>
      <w:r>
        <w:t>Súmula 21/TCE-SP foi formada sob Lei 8.666/93 — pode ser superada por motivação técnica robusta.</w:t>
      </w:r>
    </w:p>
    <w:p>
      <w:pPr>
        <w:pStyle w:val="ListNumber"/>
      </w:pPr>
      <w:r>
        <w:t>"50% do total licitado" — pode ser sanado por esclarecimento.</w:t>
      </w:r>
    </w:p>
    <w:p>
      <w:pPr>
        <w:pStyle w:val="ListNumber"/>
      </w:pPr>
      <w:r>
        <w:t>Cláusula 26.6 com redação ampla — risco interpretativo.</w:t>
      </w:r>
    </w:p>
    <w:p>
      <w:pPr>
        <w:pStyle w:val="ListNumber"/>
      </w:pPr>
      <w:r>
        <w:t>Cláusula 27.5(xxx) — invasões — mitigação socioambiental ausente.</w:t>
      </w:r>
    </w:p>
    <w:p>
      <w:r>
        <w:br w:type="page"/>
      </w:r>
    </w:p>
    <w:p>
      <w:pPr>
        <w:pStyle w:val="Heading1"/>
      </w:pPr>
      <w:r>
        <w:t>6. Recomendações</w:t>
      </w:r>
    </w:p>
    <w:p>
      <w:pPr>
        <w:pStyle w:val="Heading2"/>
      </w:pPr>
      <w:r>
        <w:t>6.1 Para impugnação ou pedido de esclarecimentos</w:t>
      </w:r>
    </w:p>
    <w:p>
      <w:r>
        <w:t>A impugnação deveria concentrar-se nos TOP 30 achados com classificação FORTE (item 2 supra), especialmente:</w:t>
      </w:r>
    </w:p>
    <w:p>
      <w:pPr>
        <w:pStyle w:val="ListNumber"/>
      </w:pPr>
      <w:r>
        <w:t>Súmula 21/TCE-SP — pedido de revisão do critério ou motivação adicional;</w:t>
      </w:r>
    </w:p>
    <w:p>
      <w:pPr>
        <w:pStyle w:val="ListNumber"/>
      </w:pPr>
      <w:r>
        <w:t>Anexo 4B com 3 identidades — pedido de errata consolidada;</w:t>
      </w:r>
    </w:p>
    <w:p>
      <w:pPr>
        <w:pStyle w:val="ListNumber"/>
      </w:pPr>
      <w:r>
        <w:t>Taxa de desconto do FCM em branco — definição prévia ex ante;</w:t>
      </w:r>
    </w:p>
    <w:p>
      <w:pPr>
        <w:pStyle w:val="ListNumber"/>
      </w:pPr>
      <w:r>
        <w:t>Sumário do Contrato desfasado — republicação ou errata;</w:t>
      </w:r>
    </w:p>
    <w:p>
      <w:pPr>
        <w:pStyle w:val="ListNumber"/>
      </w:pPr>
      <w:r>
        <w:t>Vida útil residual do aterro: 5 vs. 7 anos — pedido de uniformização;</w:t>
      </w:r>
    </w:p>
    <w:p>
      <w:pPr>
        <w:pStyle w:val="ListNumber"/>
      </w:pPr>
      <w:r>
        <w:t>Tarifa RPU R$ 125 vs. R$ 140,37 — esclarecimento;</w:t>
      </w:r>
    </w:p>
    <w:p>
      <w:pPr>
        <w:pStyle w:val="ListNumber"/>
      </w:pPr>
      <w:r>
        <w:t>"50% do total licitado" — esclarecimento sobre parcelas de maior relevância;</w:t>
      </w:r>
    </w:p>
    <w:p>
      <w:pPr>
        <w:pStyle w:val="ListNumber"/>
      </w:pPr>
      <w:r>
        <w:t>LP de WtE como requisito de habilitação — pedido de exclusão;</w:t>
      </w:r>
    </w:p>
    <w:p>
      <w:pPr>
        <w:pStyle w:val="ListNumber"/>
      </w:pPr>
      <w:r>
        <w:t>3.900 t/mês para usina de triagem — proporcionalidade à demanda municipal;</w:t>
      </w:r>
    </w:p>
    <w:p>
      <w:pPr>
        <w:pStyle w:val="ListNumber"/>
      </w:pPr>
      <w:r>
        <w:t>Numeração da Matriz — pedido de correção formal.</w:t>
      </w:r>
    </w:p>
    <w:p>
      <w:pPr>
        <w:pStyle w:val="Heading2"/>
      </w:pPr>
      <w:r>
        <w:t>6.2 Para republicação do edital</w:t>
      </w:r>
    </w:p>
    <w:p>
      <w:r>
        <w:t>À luz do art. 55 da Lei 14.133/2021, alterações substanciais (correção dos pontos 1, 3, 4 acima) ensejam reabertura do prazo. Reabertura recomendada.</w:t>
      </w:r>
    </w:p>
    <w:p>
      <w:pPr>
        <w:pStyle w:val="Heading2"/>
      </w:pPr>
      <w:r>
        <w:t>6.3 Para a Concessionária (se vencedora)</w:t>
      </w:r>
    </w:p>
    <w:p>
      <w:r>
        <w:t>Pré-registrar reservas formais quanto a:</w:t>
      </w:r>
    </w:p>
    <w:p>
      <w:pPr>
        <w:pStyle w:val="ListBullet"/>
      </w:pPr>
      <w:r>
        <w:t>Risco regulatório integral (cl. 5.5 + 27.5/xxvii);</w:t>
      </w:r>
    </w:p>
    <w:p>
      <w:pPr>
        <w:pStyle w:val="ListBullet"/>
      </w:pPr>
      <w:r>
        <w:t>Conflito Matriz 5.4 × cl. 17.3;</w:t>
      </w:r>
    </w:p>
    <w:p>
      <w:pPr>
        <w:pStyle w:val="ListBullet"/>
      </w:pPr>
      <w:r>
        <w:t>Vida útil residual do aterro (defender 5 anos);</w:t>
      </w:r>
    </w:p>
    <w:p>
      <w:pPr>
        <w:pStyle w:val="ListBullet"/>
      </w:pPr>
      <w:r>
        <w:t>Tarifa RPU (defender R$ 140,37 — favorável à Concessionária);</w:t>
      </w:r>
    </w:p>
    <w:p>
      <w:pPr>
        <w:pStyle w:val="ListBullet"/>
      </w:pPr>
      <w:r>
        <w:t>Definição do Anexo 4B (defender o documento "Diretrizes e Critério de Pontuação").</w:t>
      </w:r>
    </w:p>
    <w:p>
      <w:r>
        <w:t>Solicitar à ARES-PCJ:</w:t>
      </w:r>
    </w:p>
    <w:p>
      <w:pPr>
        <w:pStyle w:val="ListBullet"/>
      </w:pPr>
      <w:r>
        <w:t>Anuência específica ao R$ 1,50/fatura (NR 1/ANA 5.6.3 e NR 13/ANA);</w:t>
      </w:r>
    </w:p>
    <w:p>
      <w:pPr>
        <w:pStyle w:val="ListBullet"/>
      </w:pPr>
      <w:r>
        <w:t>Definição da taxa de desconto do FCM antes do primeiro reequilíbrio.</w:t>
      </w:r>
    </w:p>
    <w:p>
      <w:r>
        <w:t>Negociar formalmente:</w:t>
      </w:r>
    </w:p>
    <w:p>
      <w:pPr>
        <w:pStyle w:val="ListBullet"/>
      </w:pPr>
      <w:r>
        <w:t>Cláusula de step-in para emissão de boletos próprios;</w:t>
      </w:r>
    </w:p>
    <w:p>
      <w:pPr>
        <w:pStyle w:val="ListBullet"/>
      </w:pPr>
      <w:r>
        <w:t>Cláusula de indenização pré-fixada para regionalização (Matriz 5.6);</w:t>
      </w:r>
    </w:p>
    <w:p>
      <w:pPr>
        <w:pStyle w:val="ListBullet"/>
      </w:pPr>
      <w:r>
        <w:t>Métrica operacional da NT do 1º ano (Edital 8.2.18);</w:t>
      </w:r>
    </w:p>
    <w:p>
      <w:pPr>
        <w:pStyle w:val="ListBullet"/>
      </w:pPr>
      <w:r>
        <w:t>Inventário detalhado dos bens reversíveis dentro do prazo de 120 dias.</w:t>
      </w:r>
    </w:p>
    <w:p>
      <w:pPr>
        <w:pStyle w:val="Heading2"/>
      </w:pPr>
      <w:r>
        <w:t>6.4 Para a Administração</w:t>
      </w:r>
    </w:p>
    <w:p>
      <w:pPr>
        <w:pStyle w:val="ListNumber"/>
      </w:pPr>
      <w:r>
        <w:t>Republicação de edital com erratas consolidadas (mínimo 15 pontos);</w:t>
      </w:r>
    </w:p>
    <w:p>
      <w:pPr>
        <w:pStyle w:val="ListNumber"/>
      </w:pPr>
      <w:r>
        <w:t>Anexação formal do Anexo 15 (PN) ao Contrato (cl. 3.1 omite);</w:t>
      </w:r>
    </w:p>
    <w:p>
      <w:pPr>
        <w:pStyle w:val="ListNumber"/>
      </w:pPr>
      <w:r>
        <w:t>Definição da taxa de desconto do FCM;</w:t>
      </w:r>
    </w:p>
    <w:p>
      <w:pPr>
        <w:pStyle w:val="ListNumber"/>
      </w:pPr>
      <w:r>
        <w:t>Inclusão de cláusula sobre RCC, logística reversa e cyber/LGPD;</w:t>
      </w:r>
    </w:p>
    <w:p>
      <w:pPr>
        <w:pStyle w:val="ListNumber"/>
      </w:pPr>
      <w:r>
        <w:t>Detalhamento procedimental do Plano de Encerramento do Aterro;</w:t>
      </w:r>
    </w:p>
    <w:p>
      <w:pPr>
        <w:pStyle w:val="ListNumber"/>
      </w:pPr>
      <w:r>
        <w:t>Adequação da cesta de reajuste paramétrico (peso IPCA muito baixo).</w:t>
      </w:r>
    </w:p>
    <w:p>
      <w:r>
        <w:br w:type="page"/>
      </w:r>
    </w:p>
    <w:p>
      <w:pPr>
        <w:pStyle w:val="Heading1"/>
      </w:pPr>
      <w:r>
        <w:t>7. Fontes consultadas</w:t>
      </w:r>
    </w:p>
    <w:p>
      <w:pPr>
        <w:pStyle w:val="Heading2"/>
      </w:pPr>
      <w:r>
        <w:t>Legislação</w:t>
      </w:r>
    </w:p>
    <w:p>
      <w:pPr>
        <w:pStyle w:val="ListBullet"/>
      </w:pPr>
      <w:r>
        <w:t>CF/88 — arts. 145 e 175.</w:t>
      </w:r>
    </w:p>
    <w:p>
      <w:pPr>
        <w:pStyle w:val="ListBullet"/>
      </w:pPr>
      <w:r>
        <w:t>Lei n.º 8.987/1995 — Lei Geral de Concessões.</w:t>
      </w:r>
    </w:p>
    <w:p>
      <w:pPr>
        <w:pStyle w:val="ListBullet"/>
      </w:pPr>
      <w:r>
        <w:t>Lei n.º 11.445/2007 — Marco do Saneamento (red. Lei 14.026/2020).</w:t>
      </w:r>
    </w:p>
    <w:p>
      <w:pPr>
        <w:pStyle w:val="ListBullet"/>
      </w:pPr>
      <w:r>
        <w:t>Lei n.º 14.026/2020 — Novo Marco do Saneamento.</w:t>
      </w:r>
    </w:p>
    <w:p>
      <w:pPr>
        <w:pStyle w:val="ListBullet"/>
      </w:pPr>
      <w:r>
        <w:t>Lei n.º 12.305/2010 — PNRS.</w:t>
      </w:r>
    </w:p>
    <w:p>
      <w:pPr>
        <w:pStyle w:val="ListBullet"/>
      </w:pPr>
      <w:r>
        <w:t>Lei n.º 14.133/2021 — Nova Lei de Licitações.</w:t>
      </w:r>
    </w:p>
    <w:p>
      <w:pPr>
        <w:pStyle w:val="ListBullet"/>
      </w:pPr>
      <w:r>
        <w:t>Lei n.º 9.492/1997 — Protesto.</w:t>
      </w:r>
    </w:p>
    <w:p>
      <w:pPr>
        <w:pStyle w:val="ListBullet"/>
      </w:pPr>
      <w:r>
        <w:t>Lei n.º 13.709/2018 — LGPD.</w:t>
      </w:r>
    </w:p>
    <w:p>
      <w:pPr>
        <w:pStyle w:val="ListBullet"/>
      </w:pPr>
      <w:r>
        <w:t>LC n.º 214/2025 — IBS/CBS/IS, arts. 373-377.</w:t>
      </w:r>
    </w:p>
    <w:p>
      <w:pPr>
        <w:pStyle w:val="ListBullet"/>
      </w:pPr>
      <w:r>
        <w:t>LC Municipal n.º 160/2021 (Rio Claro).</w:t>
      </w:r>
    </w:p>
    <w:p>
      <w:pPr>
        <w:pStyle w:val="ListBullet"/>
      </w:pPr>
      <w:r>
        <w:t>Decreto Estadual n.º 8.468/76 (SP) — art. 19-A.</w:t>
      </w:r>
    </w:p>
    <w:p>
      <w:pPr>
        <w:pStyle w:val="ListBullet"/>
      </w:pPr>
      <w:r>
        <w:t>Resolução CONAMA n.º 307/2002 — RCC.</w:t>
      </w:r>
    </w:p>
    <w:p>
      <w:pPr>
        <w:pStyle w:val="Heading2"/>
      </w:pPr>
      <w:r>
        <w:t>ANA e ARES-PCJ</w:t>
      </w:r>
    </w:p>
    <w:p>
      <w:pPr>
        <w:pStyle w:val="ListBullet"/>
      </w:pPr>
      <w:r>
        <w:t>Resolução ANA n.º 79/2021 — NR 1.</w:t>
      </w:r>
    </w:p>
    <w:p>
      <w:pPr>
        <w:pStyle w:val="ListBullet"/>
      </w:pPr>
      <w:r>
        <w:t>Resolução ANA n.º 271/2025 — NR 13.</w:t>
      </w:r>
    </w:p>
    <w:p>
      <w:pPr>
        <w:pStyle w:val="ListBullet"/>
      </w:pPr>
      <w:r>
        <w:t>Manual Orientativo da NR 1/ANA.</w:t>
      </w:r>
    </w:p>
    <w:p>
      <w:pPr>
        <w:pStyle w:val="ListBullet"/>
      </w:pPr>
      <w:r>
        <w:t>Tomada de subsídios sobre cofaturamento (2025).</w:t>
      </w:r>
    </w:p>
    <w:p>
      <w:pPr>
        <w:pStyle w:val="ListBullet"/>
      </w:pPr>
      <w:r>
        <w:t>Resoluções ARES-PCJ 370/2020, 645/2025, 670/2025.</w:t>
      </w:r>
    </w:p>
    <w:p>
      <w:pPr>
        <w:pStyle w:val="Heading2"/>
      </w:pPr>
      <w:r>
        <w:t>Súmulas e Acórdãos</w:t>
      </w:r>
    </w:p>
    <w:p>
      <w:pPr>
        <w:pStyle w:val="ListBullet"/>
      </w:pPr>
      <w:r>
        <w:t>TCE-SP — Súmula nº 21 (Deliberação TC-A-029268/026/05, publicada em 20/12/2005).</w:t>
      </w:r>
    </w:p>
    <w:p>
      <w:pPr>
        <w:pStyle w:val="ListBullet"/>
      </w:pPr>
      <w:r>
        <w:t>TCU — Súmula 263 (proporcionalidade de quantitativos).</w:t>
      </w:r>
    </w:p>
    <w:p>
      <w:pPr>
        <w:pStyle w:val="ListBullet"/>
      </w:pPr>
      <w:r>
        <w:t>STF — Súmula Vinculante 19 (constitucionalidade de taxa de coleta).</w:t>
      </w:r>
    </w:p>
    <w:p>
      <w:pPr>
        <w:pStyle w:val="ListBullet"/>
      </w:pPr>
      <w:r>
        <w:t>TCU — Acórdão 2.154/2007-Plenário (FCM).</w:t>
      </w:r>
    </w:p>
    <w:p>
      <w:pPr>
        <w:pStyle w:val="ListBullet"/>
      </w:pPr>
      <w:r>
        <w:t>TCU — Acórdão 2.135/2023-Plenário (reequilíbrio EF).</w:t>
      </w:r>
    </w:p>
    <w:p>
      <w:pPr>
        <w:pStyle w:val="ListBullet"/>
      </w:pPr>
      <w:r>
        <w:t>TCU — Acórdão 138/2024-Plenário (capital social mínimo).</w:t>
      </w:r>
    </w:p>
    <w:p>
      <w:pPr>
        <w:pStyle w:val="ListBullet"/>
      </w:pPr>
      <w:r>
        <w:t>TCU — Acórdão 1.270/2015-Plenário (bens reversíveis — telefonia).</w:t>
      </w:r>
    </w:p>
    <w:p>
      <w:pPr>
        <w:pStyle w:val="ListBullet"/>
      </w:pPr>
      <w:r>
        <w:t>STJ — Tema 414 revisado (REsp 1.937.887 e 1.937.891, 1ª Seção, j. 26/06/2024).</w:t>
      </w:r>
    </w:p>
    <w:p>
      <w:pPr>
        <w:pStyle w:val="ListBullet"/>
      </w:pPr>
      <w:r>
        <w:t>STJ — REsp 1.955.872/PR (Tema 1071) — recuperação judicial.</w:t>
      </w:r>
    </w:p>
    <w:p>
      <w:pPr>
        <w:pStyle w:val="ListBullet"/>
      </w:pPr>
      <w:r>
        <w:t>STJ — Súmula 412 — prescrição de repetição de indébito.</w:t>
      </w:r>
    </w:p>
    <w:p>
      <w:pPr>
        <w:pStyle w:val="Heading2"/>
      </w:pPr>
      <w:r>
        <w:t>Verbetes TCU (Portal Licitações e Contratos)</w:t>
      </w:r>
    </w:p>
    <w:p>
      <w:pPr>
        <w:pStyle w:val="ListBullet"/>
      </w:pPr>
      <w:r>
        <w:t>Verbete 2.2 (Gestão de Riscos);</w:t>
      </w:r>
    </w:p>
    <w:p>
      <w:pPr>
        <w:pStyle w:val="ListBullet"/>
      </w:pPr>
      <w:r>
        <w:t>Verbete 3.4.4 (Técnica e Preço);</w:t>
      </w:r>
    </w:p>
    <w:p>
      <w:pPr>
        <w:pStyle w:val="ListBullet"/>
      </w:pPr>
      <w:r>
        <w:t>Verbete 3.5 (Modos de Disputa);</w:t>
      </w:r>
    </w:p>
    <w:p>
      <w:pPr>
        <w:pStyle w:val="ListBullet"/>
      </w:pPr>
      <w:r>
        <w:t>Verbete 4.2 (Análise de Riscos);</w:t>
      </w:r>
    </w:p>
    <w:p>
      <w:pPr>
        <w:pStyle w:val="ListBullet"/>
      </w:pPr>
      <w:r>
        <w:t>Verbete 4.5.2.1 (Impedimentos);</w:t>
      </w:r>
    </w:p>
    <w:p>
      <w:pPr>
        <w:pStyle w:val="ListBullet"/>
      </w:pPr>
      <w:r>
        <w:t>Verbete 4.5.2.2 (Consórcios);</w:t>
      </w:r>
    </w:p>
    <w:p>
      <w:pPr>
        <w:pStyle w:val="ListBullet"/>
      </w:pPr>
      <w:r>
        <w:t>Verbete 4.5.5 (Matriz de Riscos);</w:t>
      </w:r>
    </w:p>
    <w:p>
      <w:pPr>
        <w:pStyle w:val="ListBullet"/>
      </w:pPr>
      <w:r>
        <w:t>Verbete 5.5.2 (Habilitação Técnica);</w:t>
      </w:r>
    </w:p>
    <w:p>
      <w:pPr>
        <w:pStyle w:val="ListBullet"/>
      </w:pPr>
      <w:r>
        <w:t>Verbete 5.5.4 (Habilitação Econômico-Financeira);</w:t>
      </w:r>
    </w:p>
    <w:p>
      <w:pPr>
        <w:pStyle w:val="ListBullet"/>
      </w:pPr>
      <w:r>
        <w:t>Verbete 5.11.3 (Alocação de Riscos);</w:t>
      </w:r>
    </w:p>
    <w:p>
      <w:pPr>
        <w:pStyle w:val="ListBullet"/>
      </w:pPr>
      <w:r>
        <w:t>Verbete 6.2.2.1.1 (Reequilíbrio EF).</w:t>
      </w:r>
    </w:p>
    <w:p>
      <w:pPr>
        <w:pStyle w:val="Heading2"/>
      </w:pPr>
      <w:r>
        <w:t>Doutrina</w:t>
      </w:r>
    </w:p>
    <w:p>
      <w:pPr>
        <w:pStyle w:val="ListBullet"/>
      </w:pPr>
      <w:r>
        <w:t>Marçal Justen Filho — Comentários à Lei de Licitações (Lei 14.133/2021).</w:t>
      </w:r>
    </w:p>
    <w:p>
      <w:pPr>
        <w:pStyle w:val="ListBullet"/>
      </w:pPr>
      <w:r>
        <w:t>Joel de Menezes Niebuhr — Licitação Pública e Contrato Administrativo.</w:t>
      </w:r>
    </w:p>
    <w:p>
      <w:pPr>
        <w:pStyle w:val="ListBullet"/>
      </w:pPr>
      <w:r>
        <w:t>Rafael Oliveira — Licitações e Contratos Administrativos.</w:t>
      </w:r>
    </w:p>
    <w:p>
      <w:pPr>
        <w:pStyle w:val="ListBullet"/>
      </w:pPr>
      <w:r>
        <w:t>Egon Bockmann Moreira — Direito das Concessões de Serviço Público.</w:t>
      </w:r>
    </w:p>
    <w:p>
      <w:pPr>
        <w:pStyle w:val="ListBullet"/>
      </w:pPr>
      <w:r>
        <w:t>Maurício Portugal Ribeiro — Concessões e PPPs: melhores práticas.</w:t>
      </w:r>
    </w:p>
    <w:p>
      <w:pPr>
        <w:pStyle w:val="Heading2"/>
      </w:pPr>
      <w:r>
        <w:t>Observações metodológicas</w:t>
      </w:r>
    </w:p>
    <w:p>
      <w:pPr>
        <w:pStyle w:val="ListBullet"/>
      </w:pPr>
      <w:r>
        <w:t>Parecer consolidado a partir dos relatórios dos Agentes 01 a 05.</w:t>
      </w:r>
    </w:p>
    <w:p>
      <w:pPr>
        <w:pStyle w:val="ListBullet"/>
      </w:pPr>
      <w:r>
        <w:t>Acórdãos com número específico foram verificados via web; quando não localizados, registrou-se referência genérica (verbete, súmula, doutrina).</w:t>
      </w:r>
    </w:p>
    <w:p>
      <w:pPr>
        <w:pStyle w:val="ListBullet"/>
      </w:pPr>
      <w:r>
        <w:t>Inconsistências do prompt original que não se confirmaram após varredura: (i) entidade reguladora como campo [•] (está definida — ARES-PCJ); (ii) cofaturamento "futuro e facultativo" (é modelo único atual); (iii) penalidades de "20% Valor Global + 15% retenção" para CTR e "10% + 5%" para galpões (não existem neste edital).</w:t>
      </w:r>
    </w:p>
    <w:p/>
    <w:p>
      <w:pPr>
        <w:jc w:val="center"/>
      </w:pPr>
      <w:r>
        <w:rPr>
          <w:i/>
          <w:color w:val="999999"/>
        </w:rPr>
        <w:t>— Fim do parecer —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