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PE 30/2026 (REABERTURA) — Porto Ferreira/SP</w:t>
      </w:r>
    </w:p>
    <w:p>
      <w:pPr>
        <w:jc w:val="center"/>
      </w:pPr>
      <w:r>
        <w:rPr>
          <w:rFonts w:ascii="Times New Roman" w:hAnsi="Times New Roman"/>
          <w:b/>
          <w:sz w:val="24"/>
        </w:rPr>
        <w:t>Matriz de Argumentos — Fase 2</w:t>
      </w:r>
    </w:p>
    <w:p>
      <w:pPr>
        <w:spacing w:after="240"/>
        <w:jc w:val="left"/>
      </w:pPr>
      <w:r>
        <w:rPr>
          <w:rFonts w:ascii="Times New Roman" w:hAnsi="Times New Roman"/>
          <w:sz w:val="20"/>
        </w:rPr>
        <w:t>[USO INTERNO]</w:t>
        <w:br/>
        <w:t>Órgão: Prefeitura Municipal de Porto Ferreira/SP</w:t>
        <w:br/>
        <w:t>Modalidade: Pregão Eletrônico n.º 30/2026 (Reabertura)</w:t>
        <w:br/>
        <w:t>Objeto: Contratação de serviços de coleta, transporte e destinação final de RSU, com operação de aterro sanitário municipal e fornecimento de contêineres</w:t>
        <w:br/>
        <w:t>Regime: Lei n.º 14.133/2021 — Serviço comum contínuo</w:t>
        <w:br/>
        <w:t>Data de referência: agosto/2026</w:t>
        <w:br/>
        <w:t>Pipeline: Fase 1 (E1-E4 → C: 300 pontos) → Fase 2 (AN+R: 18 macro-questões + 7 reservas)</w:t>
        <w:br/>
        <w:t>Jurisprudência: Lei na Mão (TCU/TCE-SP) + Jus IA (STJ/TJs). Citações de busca automatizada marcadas [VIT].</w:t>
      </w:r>
    </w:p>
    <w:p/>
    <w:tbl>
      <w:tblPr>
        <w:tblStyle w:val="TableGrid"/>
        <w:tblW w:type="auto" w:w="0"/>
        <w:jc w:val="center"/>
        <w:tblLook w:firstColumn="1" w:firstRow="1" w:lastColumn="0" w:lastRow="0" w:noHBand="0" w:noVBand="1" w:val="04A0"/>
      </w:tblPr>
      <w:tblGrid>
        <w:gridCol w:w="2163"/>
        <w:gridCol w:w="2163"/>
        <w:gridCol w:w="2163"/>
        <w:gridCol w:w="2163"/>
        <w:gridCol w:w="2163"/>
        <w:gridCol w:w="2163"/>
        <w:gridCol w:w="2163"/>
      </w:tblGrid>
      <w:tr>
        <w:tc>
          <w:tcPr>
            <w:tcW w:type="dxa" w:w="680"/>
            <w:shd w:fill="1F4E79" w:val="clear"/>
          </w:tcPr>
          <w:p>
            <w:pPr>
              <w:spacing w:after="40" w:before="40" w:line="260" w:lineRule="exact"/>
              <w:jc w:val="center"/>
            </w:pPr>
            <w:r>
              <w:rPr>
                <w:color w:val="FFFFFF"/>
              </w:rPr>
            </w:r>
            <w:r>
              <w:rPr>
                <w:rFonts w:ascii="Times New Roman" w:hAnsi="Times New Roman"/>
                <w:b/>
                <w:color w:val="FFFFFF"/>
                <w:sz w:val="18"/>
              </w:rPr>
              <w:t>Nº</w:t>
            </w:r>
          </w:p>
        </w:tc>
        <w:tc>
          <w:tcPr>
            <w:tcW w:type="dxa" w:w="1304"/>
            <w:shd w:fill="1F4E79" w:val="clear"/>
          </w:tcPr>
          <w:p>
            <w:pPr>
              <w:spacing w:after="40" w:before="40" w:line="260" w:lineRule="exact"/>
              <w:jc w:val="center"/>
            </w:pPr>
            <w:r>
              <w:rPr>
                <w:color w:val="FFFFFF"/>
              </w:rPr>
            </w:r>
            <w:r>
              <w:rPr>
                <w:rFonts w:ascii="Times New Roman" w:hAnsi="Times New Roman"/>
                <w:b/>
                <w:color w:val="FFFFFF"/>
                <w:sz w:val="18"/>
              </w:rPr>
              <w:t>Tema</w:t>
            </w:r>
          </w:p>
        </w:tc>
        <w:tc>
          <w:tcPr>
            <w:tcW w:type="dxa" w:w="1871"/>
            <w:shd w:fill="1F4E79" w:val="clear"/>
          </w:tcPr>
          <w:p>
            <w:pPr>
              <w:spacing w:after="40" w:before="40" w:line="260" w:lineRule="exact"/>
              <w:jc w:val="center"/>
            </w:pPr>
            <w:r>
              <w:rPr>
                <w:color w:val="FFFFFF"/>
              </w:rPr>
            </w:r>
            <w:r>
              <w:rPr>
                <w:rFonts w:ascii="Times New Roman" w:hAnsi="Times New Roman"/>
                <w:b/>
                <w:color w:val="FFFFFF"/>
                <w:sz w:val="18"/>
              </w:rPr>
              <w:t>Problema</w:t>
            </w:r>
          </w:p>
        </w:tc>
        <w:tc>
          <w:tcPr>
            <w:tcW w:type="dxa" w:w="5669"/>
            <w:shd w:fill="1F4E79" w:val="clear"/>
          </w:tcPr>
          <w:p>
            <w:pPr>
              <w:spacing w:after="40" w:before="40" w:line="260" w:lineRule="exact"/>
              <w:jc w:val="center"/>
            </w:pPr>
            <w:r>
              <w:rPr>
                <w:color w:val="FFFFFF"/>
              </w:rPr>
            </w:r>
            <w:r>
              <w:rPr>
                <w:rFonts w:ascii="Times New Roman" w:hAnsi="Times New Roman"/>
                <w:b/>
                <w:color w:val="FFFFFF"/>
                <w:sz w:val="18"/>
              </w:rPr>
              <w:t>Argumento</w:t>
            </w:r>
          </w:p>
        </w:tc>
        <w:tc>
          <w:tcPr>
            <w:tcW w:type="dxa" w:w="3798"/>
            <w:shd w:fill="1F4E79" w:val="clear"/>
          </w:tcPr>
          <w:p>
            <w:pPr>
              <w:spacing w:after="40" w:before="40" w:line="260" w:lineRule="exact"/>
              <w:jc w:val="center"/>
            </w:pPr>
            <w:r>
              <w:rPr>
                <w:color w:val="FFFFFF"/>
              </w:rPr>
            </w:r>
            <w:r>
              <w:rPr>
                <w:rFonts w:ascii="Times New Roman" w:hAnsi="Times New Roman"/>
                <w:b/>
                <w:color w:val="FFFFFF"/>
                <w:sz w:val="18"/>
              </w:rPr>
              <w:t>Fundamento</w:t>
            </w:r>
          </w:p>
        </w:tc>
        <w:tc>
          <w:tcPr>
            <w:tcW w:type="dxa" w:w="680"/>
            <w:shd w:fill="1F4E79" w:val="clear"/>
          </w:tcPr>
          <w:p>
            <w:pPr>
              <w:spacing w:after="40" w:before="40" w:line="260" w:lineRule="exact"/>
              <w:jc w:val="center"/>
            </w:pPr>
            <w:r>
              <w:rPr>
                <w:color w:val="FFFFFF"/>
              </w:rPr>
            </w:r>
            <w:r>
              <w:rPr>
                <w:rFonts w:ascii="Times New Roman" w:hAnsi="Times New Roman"/>
                <w:b/>
                <w:color w:val="FFFFFF"/>
                <w:sz w:val="18"/>
              </w:rPr>
              <w:t>Escl.?</w:t>
            </w:r>
          </w:p>
        </w:tc>
        <w:tc>
          <w:tcPr>
            <w:tcW w:type="dxa" w:w="1134"/>
            <w:shd w:fill="1F4E79" w:val="clear"/>
          </w:tcPr>
          <w:p>
            <w:pPr>
              <w:spacing w:after="40" w:before="40" w:line="260" w:lineRule="exact"/>
              <w:jc w:val="center"/>
            </w:pPr>
            <w:r>
              <w:rPr>
                <w:color w:val="FFFFFF"/>
              </w:rPr>
            </w:r>
            <w:r>
              <w:rPr>
                <w:rFonts w:ascii="Times New Roman" w:hAnsi="Times New Roman"/>
                <w:b/>
                <w:color w:val="FFFFFF"/>
                <w:sz w:val="18"/>
              </w:rPr>
              <w:t>Aplicação</w:t>
            </w:r>
          </w:p>
        </w:tc>
      </w:tr>
      <w:tr>
        <w:tc>
          <w:tcPr>
            <w:tcW w:type="dxa" w:w="2163"/>
          </w:tcPr>
          <w:p>
            <w:pPr>
              <w:spacing w:after="40" w:before="40" w:line="260" w:lineRule="exact"/>
              <w:jc w:val="center"/>
            </w:pPr>
            <w:r/>
            <w:r>
              <w:rPr>
                <w:rFonts w:ascii="Times New Roman" w:hAnsi="Times New Roman"/>
                <w:b w:val="0"/>
                <w:sz w:val="18"/>
              </w:rPr>
              <w:t>T1</w:t>
            </w:r>
          </w:p>
        </w:tc>
        <w:tc>
          <w:tcPr>
            <w:tcW w:type="dxa" w:w="2163"/>
          </w:tcPr>
          <w:p>
            <w:pPr>
              <w:spacing w:after="40" w:before="40" w:line="260" w:lineRule="exact"/>
            </w:pPr>
            <w:r/>
            <w:r>
              <w:rPr>
                <w:rFonts w:ascii="Times New Roman" w:hAnsi="Times New Roman"/>
                <w:b w:val="0"/>
                <w:sz w:val="18"/>
              </w:rPr>
              <w:t>Modelagem econômica</w:t>
            </w:r>
          </w:p>
        </w:tc>
        <w:tc>
          <w:tcPr>
            <w:tcW w:type="dxa" w:w="2163"/>
          </w:tcPr>
          <w:p>
            <w:pPr>
              <w:spacing w:after="40" w:before="40" w:line="260" w:lineRule="exact"/>
              <w:jc w:val="both"/>
            </w:pPr>
            <w:r/>
            <w:r>
              <w:rPr>
                <w:rFonts w:ascii="Times New Roman" w:hAnsi="Times New Roman"/>
                <w:sz w:val="18"/>
              </w:rPr>
              <w:t>Itens 2 e 3 mutuamente excludentes somados no valor estimado e no julgamento global do lote</w:t>
            </w:r>
          </w:p>
        </w:tc>
        <w:tc>
          <w:tcPr>
            <w:tcW w:type="dxa" w:w="2163"/>
          </w:tcPr>
          <w:p>
            <w:pPr>
              <w:spacing w:after="40" w:before="40" w:line="260" w:lineRule="exact"/>
              <w:jc w:val="both"/>
            </w:pPr>
            <w:r/>
            <w:r>
              <w:rPr>
                <w:rFonts w:ascii="Times New Roman" w:hAnsi="Times New Roman"/>
                <w:sz w:val="18"/>
              </w:rPr>
            </w:r>
            <w:r>
              <w:rPr>
                <w:rFonts w:ascii="Times New Roman" w:hAnsi="Times New Roman"/>
                <w:b/>
                <w:sz w:val="18"/>
              </w:rPr>
              <w:t>Premissa normativa.</w:t>
            </w:r>
            <w:r>
              <w:rPr>
                <w:rFonts w:ascii="Times New Roman" w:hAnsi="Times New Roman"/>
                <w:sz w:val="18"/>
              </w:rPr>
              <w:t xml:space="preserve"> O valor previamente estimado da contratação deve ser compatível com os valores de mercado "consideradas as quantidades a serem contratadas" (art. 23, caput, da Lei n.º 14.133/2021), apoiado em memórias de cálculo (art. 18, § 1.º, incisos IV e VI, e art. 6.º, inciso XXIII, alínea 'i', da Lei n.º 14.133/2021). O julgamento por menor preço "considerará o menor dispêndio para a Administração" (art. 34, caput, da Lei n.º 14.133/2021), sob os princípios do julgamento objetivo, da economicidade e da competitividade (art. 5.º da Lei n.º 14.133/2021), sendo vedado ao agente público admitir, prever ou tolerar situação que comprometa, restrinja ou frustre o caráter competitivo do certame (art. 9.º, inciso I, alínea 'a', da Lei n.º 14.133/2021).</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r>
            <w:r>
              <w:rPr>
                <w:rFonts w:ascii="Times New Roman" w:hAnsi="Times New Roman"/>
                <w:b/>
                <w:sz w:val="18"/>
              </w:rPr>
              <w:t>Conclusão.</w:t>
            </w:r>
            <w:r>
              <w:rPr>
                <w:rFonts w:ascii="Times New Roman" w:hAnsi="Times New Roman"/>
                <w:sz w:val="18"/>
              </w:rPr>
              <w:t xml:space="preserve"> A soma de itens mutuamente excludentes no valor estimado, replicada no julgamento por menor preço global do lote, no modelo de proposta e na base sancionatória, faz o certame operar sobre grandeza fictícia: viola o art. 23, caput (estimativa compatível com quantidades a contratar), o art. 34, caput (menor dispêndio), o art. 5.º (julgamento objetivo, economicidade), o art. 59, inciso III (parâmetro de desclassificação), e o art. 18, § 1.º (planejamento), todos da Lei n.º 14.133/2021. A correção não exige escolher antecipadamente entre as destinações: basta estimar e julgar por cronograma físico ponderado (X meses de item 2 + Y meses de item 3, com pesos declarados), reproduzir a regra de exclusão mútua no…</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AN_bloco1.md, T1]</w:t>
            </w:r>
          </w:p>
        </w:tc>
        <w:tc>
          <w:tcPr>
            <w:tcW w:type="dxa" w:w="2163"/>
          </w:tcPr>
          <w:p>
            <w:pPr>
              <w:spacing w:after="40" w:before="40" w:line="260" w:lineRule="exact"/>
              <w:jc w:val="both"/>
            </w:pPr>
            <w:r/>
            <w:r>
              <w:rPr>
                <w:rFonts w:ascii="Times New Roman" w:hAnsi="Times New Roman"/>
                <w:sz w:val="18"/>
              </w:rPr>
              <w:t>• art. 5.º da Lei n.º 14.133/2021</w:t>
            </w:r>
          </w:p>
          <w:p>
            <w:pPr>
              <w:spacing w:after="40" w:before="40" w:line="260" w:lineRule="exact"/>
              <w:jc w:val="both"/>
            </w:pPr>
            <w:r>
              <w:rPr>
                <w:rFonts w:ascii="Times New Roman" w:hAnsi="Times New Roman"/>
                <w:sz w:val="18"/>
              </w:rPr>
              <w:t>• art. 6.º, inciso XXIII, alíneas 'a' e 'i', da Lei n.º 14.133/2021</w:t>
            </w:r>
          </w:p>
          <w:p>
            <w:pPr>
              <w:spacing w:after="40" w:before="40" w:line="260" w:lineRule="exact"/>
              <w:jc w:val="both"/>
            </w:pPr>
            <w:r>
              <w:rPr>
                <w:rFonts w:ascii="Times New Roman" w:hAnsi="Times New Roman"/>
                <w:sz w:val="18"/>
              </w:rPr>
              <w:t>• art. 9.º, inciso I, alínea 'a', da Lei n.º 14.133/2021</w:t>
            </w:r>
          </w:p>
          <w:p>
            <w:pPr>
              <w:spacing w:after="40" w:before="40" w:line="260" w:lineRule="exact"/>
              <w:jc w:val="both"/>
            </w:pPr>
            <w:r>
              <w:rPr>
                <w:rFonts w:ascii="Times New Roman" w:hAnsi="Times New Roman"/>
                <w:sz w:val="18"/>
              </w:rPr>
              <w:t>• art. 18, caput e § 1.º, incisos III, IV, VI e VII, da Lei n.º 14.133/2021</w:t>
            </w:r>
          </w:p>
          <w:p>
            <w:pPr>
              <w:spacing w:after="40" w:before="40" w:line="260" w:lineRule="exact"/>
              <w:jc w:val="both"/>
            </w:pPr>
            <w:r>
              <w:rPr>
                <w:rFonts w:ascii="Times New Roman" w:hAnsi="Times New Roman"/>
                <w:sz w:val="18"/>
              </w:rPr>
              <w:t>• art. 23, caput, da Lei n.º 14.133/2021</w:t>
            </w:r>
          </w:p>
          <w:p>
            <w:pPr>
              <w:spacing w:after="40" w:before="40" w:line="260" w:lineRule="exact"/>
              <w:jc w:val="both"/>
            </w:pPr>
            <w:r>
              <w:rPr>
                <w:rFonts w:ascii="Times New Roman" w:hAnsi="Times New Roman"/>
                <w:sz w:val="18"/>
              </w:rPr>
              <w:t>• art. 33, inciso I, e art. 34, caput, da Lei n.º 14.133/2021</w:t>
            </w:r>
          </w:p>
          <w:p>
            <w:pPr>
              <w:spacing w:after="40" w:before="40" w:line="260" w:lineRule="exact"/>
              <w:jc w:val="both"/>
            </w:pPr>
            <w:r>
              <w:rPr>
                <w:rFonts w:ascii="Times New Roman" w:hAnsi="Times New Roman"/>
                <w:sz w:val="18"/>
              </w:rPr>
              <w:t>• art. 59, inciso III, da Lei n.º 14.133/2021</w:t>
            </w:r>
          </w:p>
          <w:p>
            <w:pPr>
              <w:spacing w:after="40" w:before="40" w:line="260" w:lineRule="exact"/>
              <w:jc w:val="both"/>
            </w:pPr>
            <w:r>
              <w:rPr>
                <w:rFonts w:ascii="Times New Roman" w:hAnsi="Times New Roman"/>
                <w:sz w:val="18"/>
              </w:rPr>
              <w:t>• art. 92, incisos I, II, V e VIII, da Lei n.º 14.133/2021</w:t>
            </w:r>
          </w:p>
          <w:p>
            <w:pPr>
              <w:spacing w:after="40" w:before="40" w:line="260" w:lineRule="exact"/>
              <w:jc w:val="both"/>
            </w:pPr>
            <w:r>
              <w:rPr>
                <w:rFonts w:ascii="Times New Roman" w:hAnsi="Times New Roman"/>
                <w:sz w:val="18"/>
              </w:rPr>
              <w:t>• art. 156, § 3.º, da Lei n.º 14.133/2021</w:t>
            </w:r>
          </w:p>
          <w:p>
            <w:pPr>
              <w:spacing w:after="40" w:before="40" w:line="260" w:lineRule="exact"/>
              <w:jc w:val="both"/>
            </w:pPr>
            <w:r>
              <w:rPr>
                <w:rFonts w:ascii="Times New Roman" w:hAnsi="Times New Roman"/>
                <w:sz w:val="18"/>
              </w:rPr>
              <w:t>• arts. 15, 16 e 17 da LC n.º 101/2000</w:t>
            </w:r>
          </w:p>
          <w:p>
            <w:pPr>
              <w:spacing w:after="40" w:before="40" w:line="260" w:lineRule="exact"/>
              <w:jc w:val="both"/>
            </w:pPr>
            <w:r>
              <w:rPr>
                <w:rFonts w:ascii="Times New Roman" w:hAnsi="Times New Roman"/>
                <w:sz w:val="18"/>
              </w:rPr>
              <w:t>• [PENDENTE: busca TCU/TCE via Lei na Mão antes do protocolo</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Entendimento TCU-Plenário, sessão de 25/05/2016 (base Lei na Mão, entrada Jurisprudência Selecionada 8033) [VIT</w:t>
            </w:r>
          </w:p>
          <w:p>
            <w:pPr>
              <w:spacing w:after="40" w:before="40" w:line="260" w:lineRule="exact"/>
              <w:jc w:val="both"/>
            </w:pPr>
            <w:r>
              <w:rPr>
                <w:rFonts w:ascii="Times New Roman" w:hAnsi="Times New Roman"/>
                <w:sz w:val="18"/>
              </w:rPr>
              <w:t xml:space="preserve">• Acórdão 108/2018-TCU-Plenário, Rel. Aroldo Cedraz, sessão de 24/01/2018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Entendimento TCU-Plenário, sessão de 09/07/2014 (Jurisprudência Selecionada 20557) [VIT</w:t>
            </w:r>
          </w:p>
          <w:p>
            <w:pPr>
              <w:spacing w:after="40" w:before="40" w:line="260" w:lineRule="exact"/>
              <w:jc w:val="both"/>
            </w:pPr>
            <w:r>
              <w:rPr>
                <w:rFonts w:ascii="Times New Roman" w:hAnsi="Times New Roman"/>
                <w:sz w:val="18"/>
              </w:rPr>
              <w:t>• Entendimento TCU-Plenário, sessão de 17/06/2015 (Jurisprudência Selecionada 17221) [VIT</w:t>
            </w:r>
          </w:p>
          <w:p>
            <w:pPr>
              <w:spacing w:after="40" w:before="40" w:line="260" w:lineRule="exact"/>
              <w:jc w:val="both"/>
            </w:pPr>
            <w:r>
              <w:rPr>
                <w:rFonts w:ascii="Times New Roman" w:hAnsi="Times New Roman"/>
                <w:sz w:val="18"/>
              </w:rPr>
              <w:t xml:space="preserve">• Acórdão 510/2024-TCU-Plenário, Rel. Walton Alencar Rodrigues, sessão de 27/03/2024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Entendimento TCU-Plenário, sessão de 24/06/2020 (Jurisprudência Selecionada 93766) [VIT</w:t>
            </w:r>
          </w:p>
          <w:p>
            <w:pPr>
              <w:spacing w:after="40" w:before="40" w:line="260" w:lineRule="exact"/>
              <w:jc w:val="both"/>
            </w:pPr>
            <w:r>
              <w:rPr>
                <w:rFonts w:ascii="Times New Roman" w:hAnsi="Times New Roman"/>
                <w:sz w:val="18"/>
              </w:rPr>
              <w:t>• Entendimento TCU-Plenário, sessão de 09/06/2021 (Jurisprudência Selecionada 114194) [VIT</w:t>
            </w:r>
          </w:p>
          <w:p>
            <w:pPr>
              <w:spacing w:after="40" w:before="40" w:line="260" w:lineRule="exact"/>
              <w:jc w:val="both"/>
            </w:pPr>
            <w:r>
              <w:rPr>
                <w:rFonts w:ascii="Times New Roman" w:hAnsi="Times New Roman"/>
                <w:sz w:val="18"/>
              </w:rPr>
              <w:t xml:space="preserve">• Acórdão 1865/2026-TCU-Plenário, Rel. Odair Cunha, sessão de 15/07/2026 </w:t>
            </w:r>
            <w:r>
              <w:rPr>
                <w:rFonts w:ascii="Times New Roman" w:hAnsi="Times New Roman"/>
                <w:b/>
                <w:color w:val="CC0000"/>
                <w:sz w:val="18"/>
              </w:rPr>
              <w:t>[VIT]</w:t>
            </w:r>
            <w:r>
              <w:rPr>
                <w:rFonts w:ascii="Times New Roman" w:hAnsi="Times New Roman"/>
                <w:sz w:val="18"/>
              </w:rPr>
            </w:r>
          </w:p>
        </w:tc>
        <w:tc>
          <w:tcPr>
            <w:tcW w:type="dxa" w:w="2163"/>
          </w:tcPr>
          <w:p>
            <w:pPr>
              <w:spacing w:after="40" w:before="40" w:line="260" w:lineRule="exact"/>
              <w:jc w:val="center"/>
            </w:pPr>
            <w:r/>
            <w:r>
              <w:rPr>
                <w:rFonts w:ascii="Times New Roman" w:hAnsi="Times New Roman"/>
                <w:b w:val="0"/>
                <w:sz w:val="18"/>
              </w:rPr>
              <w:t>Sim</w:t>
            </w:r>
          </w:p>
        </w:tc>
        <w:tc>
          <w:tcPr>
            <w:tcW w:type="dxa" w:w="2163"/>
          </w:tcPr>
          <w:p>
            <w:pPr>
              <w:spacing w:after="40" w:before="40" w:line="260" w:lineRule="exact"/>
              <w:jc w:val="center"/>
            </w:pPr>
            <w:r/>
            <w:r>
              <w:rPr>
                <w:rFonts w:ascii="Times New Roman" w:hAnsi="Times New Roman"/>
                <w:b w:val="0"/>
                <w:sz w:val="18"/>
              </w:rPr>
              <w:t>IMPUGNACAO</w:t>
              <w:br/>
              <w:t>(Administração)</w:t>
            </w:r>
          </w:p>
        </w:tc>
      </w:tr>
      <w:tr>
        <w:tc>
          <w:tcPr>
            <w:tcW w:type="dxa" w:w="2163"/>
            <w:shd w:fill="F2F2F2" w:val="clear"/>
          </w:tcPr>
          <w:p>
            <w:pPr>
              <w:spacing w:after="40" w:before="40" w:line="260" w:lineRule="exact"/>
              <w:jc w:val="center"/>
            </w:pPr>
            <w:r/>
            <w:r>
              <w:rPr>
                <w:rFonts w:ascii="Times New Roman" w:hAnsi="Times New Roman"/>
                <w:b w:val="0"/>
                <w:sz w:val="18"/>
              </w:rPr>
              <w:t>T2</w:t>
            </w:r>
          </w:p>
        </w:tc>
        <w:tc>
          <w:tcPr>
            <w:tcW w:type="dxa" w:w="2163"/>
            <w:shd w:fill="F2F2F2" w:val="clear"/>
          </w:tcPr>
          <w:p>
            <w:pPr>
              <w:spacing w:after="40" w:before="40" w:line="260" w:lineRule="exact"/>
            </w:pPr>
            <w:r/>
            <w:r>
              <w:rPr>
                <w:rFonts w:ascii="Times New Roman" w:hAnsi="Times New Roman"/>
                <w:b w:val="0"/>
                <w:sz w:val="18"/>
              </w:rPr>
              <w:t>Objeto e escopo</w:t>
            </w:r>
          </w:p>
        </w:tc>
        <w:tc>
          <w:tcPr>
            <w:tcW w:type="dxa" w:w="2163"/>
            <w:shd w:fill="F2F2F2" w:val="clear"/>
          </w:tcPr>
          <w:p>
            <w:pPr>
              <w:spacing w:after="40" w:before="40" w:line="260" w:lineRule="exact"/>
              <w:jc w:val="both"/>
            </w:pPr>
            <w:r/>
            <w:r>
              <w:rPr>
                <w:rFonts w:ascii="Times New Roman" w:hAnsi="Times New Roman"/>
                <w:sz w:val="18"/>
              </w:rPr>
              <w:t>Transição item 2 → item 3 sem disciplina</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shd w:fill="F2F2F2" w:val="clear"/>
          </w:tcPr>
          <w:p>
            <w:pPr>
              <w:spacing w:after="40" w:before="40" w:line="260" w:lineRule="exact"/>
              <w:jc w:val="both"/>
            </w:pPr>
            <w:r/>
            <w:r>
              <w:rPr>
                <w:rFonts w:ascii="Times New Roman" w:hAnsi="Times New Roman"/>
                <w:sz w:val="18"/>
              </w:rPr>
            </w:r>
            <w:r>
              <w:rPr>
                <w:rFonts w:ascii="Times New Roman" w:hAnsi="Times New Roman"/>
                <w:b/>
                <w:sz w:val="18"/>
              </w:rPr>
              <w:t>Premissa normativa.</w:t>
            </w:r>
            <w:r>
              <w:rPr>
                <w:rFonts w:ascii="Times New Roman" w:hAnsi="Times New Roman"/>
                <w:sz w:val="18"/>
              </w:rPr>
              <w:t xml:space="preserve"> O termo de referência deve definir o modelo de execução do objeto — "como o contrato deverá produzir os resultados pretendidos desde o seu início até o seu encerramento" (art. 6.º, inciso XXIII, alínea 'e', da Lei n.º 14.133/2021) — e o contrato deve conter cláusulas que estabeleçam o regime de execução, o preço e condições de pagamento e os prazos das etapas (art. 92, incisos IV, V e VII, da Lei n.º 14.133/2021), "com clareza e precisão" (art. 89, § 2.º, da Lei n.º 14.133/2021). A alocação de riscos deve considerar "a capacidade de cada setor para melhor gerenciá-lo" e ser quantificada para projeção no valor estimado (art. 103, §§ 1.º e 3.º, da Lei n.º 14.133/2021); a matriz de riscos caracteriza o equilíbrio econômico-financeiro inicial (art. 6.º, inciso XXVII, da Lei n.º 14.133/2021). O reequilíbrio por acordo pressupõe fatos imprevisíveis ou previsíveis de consequências incalculáveis, "respeitada, em qualquer caso, a repartição objetiva de risco estabelecida no contrato" (art. 124, inciso II, alínea 'd', da Lei n.º 14.133/2021); e as prerrogativas unilaterais da Administração não alcançam as cláusulas econômico-financeiras, que "não poderão ser alteradas sem prévia concordância do contratado", impondo-se revisão quando a modificação unilateral as afete (art. 104, §§ 1.º e 2.º, da Lei n.º 14.133/2021). Aplicam-se supletivamente as disposições de direito privado (art. 89, caput), entre elas a vedação de condição sujeita "ao puro arbítrio de uma das…</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AN_bloco1.md, T2]</w:t>
            </w:r>
          </w:p>
        </w:tc>
        <w:tc>
          <w:tcPr>
            <w:tcW w:type="dxa" w:w="2163"/>
            <w:shd w:fill="F2F2F2" w:val="clear"/>
          </w:tcPr>
          <w:p>
            <w:pPr>
              <w:spacing w:after="40" w:before="40" w:line="260" w:lineRule="exact"/>
              <w:jc w:val="both"/>
            </w:pPr>
            <w:r/>
            <w:r>
              <w:rPr>
                <w:rFonts w:ascii="Times New Roman" w:hAnsi="Times New Roman"/>
                <w:sz w:val="18"/>
              </w:rPr>
              <w:t>• art. 5.º da Lei n.º 14.133/2021</w:t>
            </w:r>
          </w:p>
          <w:p>
            <w:pPr>
              <w:spacing w:after="40" w:before="40" w:line="260" w:lineRule="exact"/>
              <w:jc w:val="both"/>
            </w:pPr>
            <w:r>
              <w:rPr>
                <w:rFonts w:ascii="Times New Roman" w:hAnsi="Times New Roman"/>
                <w:sz w:val="18"/>
              </w:rPr>
              <w:t>• art. 6.º, incisos XXIII, alíneas 'a' e 'e', e XXVII, da Lei n.º 14.133/2021</w:t>
            </w:r>
          </w:p>
          <w:p>
            <w:pPr>
              <w:spacing w:after="40" w:before="40" w:line="260" w:lineRule="exact"/>
              <w:jc w:val="both"/>
            </w:pPr>
            <w:r>
              <w:rPr>
                <w:rFonts w:ascii="Times New Roman" w:hAnsi="Times New Roman"/>
                <w:sz w:val="18"/>
              </w:rPr>
              <w:t>• art. 18, caput e § 1.º, da Lei n.º 14.133/2021</w:t>
            </w:r>
          </w:p>
          <w:p>
            <w:pPr>
              <w:spacing w:after="40" w:before="40" w:line="260" w:lineRule="exact"/>
              <w:jc w:val="both"/>
            </w:pPr>
            <w:r>
              <w:rPr>
                <w:rFonts w:ascii="Times New Roman" w:hAnsi="Times New Roman"/>
                <w:sz w:val="18"/>
              </w:rPr>
              <w:t>• art. 89, caput e § 2.º, da Lei n.º 14.133/2021</w:t>
            </w:r>
          </w:p>
          <w:p>
            <w:pPr>
              <w:spacing w:after="40" w:before="40" w:line="260" w:lineRule="exact"/>
              <w:jc w:val="both"/>
            </w:pPr>
            <w:r>
              <w:rPr>
                <w:rFonts w:ascii="Times New Roman" w:hAnsi="Times New Roman"/>
                <w:sz w:val="18"/>
              </w:rPr>
              <w:t>• art. 92, incisos IV, V, VII e IX, da Lei n.º 14.133/2021</w:t>
            </w:r>
          </w:p>
          <w:p>
            <w:pPr>
              <w:spacing w:after="40" w:before="40" w:line="260" w:lineRule="exact"/>
              <w:jc w:val="both"/>
            </w:pPr>
            <w:r>
              <w:rPr>
                <w:rFonts w:ascii="Times New Roman" w:hAnsi="Times New Roman"/>
                <w:sz w:val="18"/>
              </w:rPr>
              <w:t>• art. 103, caput e §§ 1.º, 3.º e 4.º, da Lei n.º 14.133/2021</w:t>
            </w:r>
          </w:p>
          <w:p>
            <w:pPr>
              <w:spacing w:after="40" w:before="40" w:line="260" w:lineRule="exact"/>
              <w:jc w:val="both"/>
            </w:pPr>
            <w:r>
              <w:rPr>
                <w:rFonts w:ascii="Times New Roman" w:hAnsi="Times New Roman"/>
                <w:sz w:val="18"/>
              </w:rPr>
              <w:t>• art. 104, incisos e §§ 1.º e 2.º, da Lei n.º 14.133/2021</w:t>
            </w:r>
          </w:p>
          <w:p>
            <w:pPr>
              <w:spacing w:after="40" w:before="40" w:line="260" w:lineRule="exact"/>
              <w:jc w:val="both"/>
            </w:pPr>
            <w:r>
              <w:rPr>
                <w:rFonts w:ascii="Times New Roman" w:hAnsi="Times New Roman"/>
                <w:sz w:val="18"/>
              </w:rPr>
              <w:t>• art. 124, inciso II, alínea 'd', da Lei n.º 14.133/2021</w:t>
            </w:r>
          </w:p>
          <w:p>
            <w:pPr>
              <w:spacing w:after="40" w:before="40" w:line="260" w:lineRule="exact"/>
              <w:jc w:val="both"/>
            </w:pPr>
            <w:r>
              <w:rPr>
                <w:rFonts w:ascii="Times New Roman" w:hAnsi="Times New Roman"/>
                <w:sz w:val="18"/>
              </w:rPr>
              <w:t>• art. 122 do Código Civil</w:t>
            </w:r>
          </w:p>
          <w:p>
            <w:pPr>
              <w:spacing w:after="40" w:before="40" w:line="260" w:lineRule="exact"/>
              <w:jc w:val="both"/>
            </w:pPr>
            <w:r>
              <w:rPr>
                <w:rFonts w:ascii="Times New Roman" w:hAnsi="Times New Roman"/>
                <w:sz w:val="18"/>
              </w:rPr>
              <w:t>• art. 5.º, inciso LV, da CF/1988</w:t>
            </w:r>
          </w:p>
          <w:p>
            <w:pPr>
              <w:spacing w:after="40" w:before="40" w:line="260" w:lineRule="exact"/>
              <w:jc w:val="both"/>
            </w:pPr>
            <w:r>
              <w:rPr>
                <w:rFonts w:ascii="Times New Roman" w:hAnsi="Times New Roman"/>
                <w:sz w:val="18"/>
              </w:rPr>
              <w:t>• TRT2, RO 1000450-03.2024.5.02.0066, Rel. Des. Ivani Contini Bramante, 4.ª Turma, j. 11/11/2025</w:t>
            </w:r>
          </w:p>
          <w:p>
            <w:pPr>
              <w:spacing w:after="40" w:before="40" w:line="260" w:lineRule="exact"/>
              <w:jc w:val="both"/>
            </w:pPr>
            <w:r>
              <w:rPr>
                <w:rFonts w:ascii="Times New Roman" w:hAnsi="Times New Roman"/>
                <w:sz w:val="18"/>
              </w:rPr>
              <w:t>• Não localizei, na busca realizada, precedente judicial específico sobre gatilho potestativo de transição de fase em contrato administrativo de RSU</w:t>
            </w:r>
          </w:p>
          <w:p>
            <w:pPr>
              <w:spacing w:after="40" w:before="40" w:line="260" w:lineRule="exact"/>
              <w:jc w:val="both"/>
            </w:pPr>
            <w:r>
              <w:rPr>
                <w:rFonts w:ascii="Times New Roman" w:hAnsi="Times New Roman"/>
                <w:sz w:val="18"/>
              </w:rPr>
              <w:t>• [PENDENTE: busca TCU/TCE via Lei na Mão antes do protocolo</w:t>
            </w:r>
          </w:p>
          <w:p>
            <w:pPr>
              <w:spacing w:after="40" w:before="40" w:line="260" w:lineRule="exact"/>
              <w:jc w:val="both"/>
            </w:pPr>
            <w:r>
              <w:rPr>
                <w:rFonts w:ascii="Times New Roman" w:hAnsi="Times New Roman"/>
                <w:sz w:val="18"/>
              </w:rPr>
              <w:t xml:space="preserve">• </w:t>
            </w:r>
            <w:r>
              <w:rPr>
                <w:rFonts w:ascii="Times New Roman" w:hAnsi="Times New Roman"/>
                <w:b/>
                <w:sz w:val="18"/>
              </w:rPr>
              <w:t>Observação de coerência estratégica:</w:t>
            </w:r>
            <w:r>
              <w:rPr>
                <w:rFonts w:ascii="Times New Roman" w:hAnsi="Times New Roman"/>
                <w:sz w:val="18"/>
              </w:rPr>
              <w:t xml:space="preserve"> a linha jurisprudencial que nega reequilíbrio a eventos previsíveis</w:t>
            </w:r>
          </w:p>
          <w:p>
            <w:pPr>
              <w:spacing w:after="40" w:before="40" w:line="260" w:lineRule="exact"/>
              <w:jc w:val="both"/>
            </w:pPr>
            <w:r>
              <w:rPr>
                <w:rFonts w:ascii="Times New Roman" w:hAnsi="Times New Roman"/>
                <w:sz w:val="18"/>
              </w:rPr>
              <w:t>Doutrina: - MARIA SYLVIA ZANELLA DI PIETRO, *Direito Administrativo*, 12.ª ed., São Paulo: Atlas, p. 202-203 e 208 — tipologia das áleas: a álea administrativa (alteração unilateral, fato do príncipe e fato da Administração — "toda ação ou omissão do Poder Público que, incidindo direta e especificamente sobre</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Entendimento TCU-Plenário, sessão de 28/05/2025 (Jurisprudência Selecionada 184618) [VIT</w:t>
            </w:r>
          </w:p>
          <w:p>
            <w:pPr>
              <w:spacing w:after="40" w:before="40" w:line="260" w:lineRule="exact"/>
              <w:jc w:val="both"/>
            </w:pPr>
            <w:r>
              <w:rPr>
                <w:rFonts w:ascii="Times New Roman" w:hAnsi="Times New Roman"/>
                <w:sz w:val="18"/>
              </w:rPr>
              <w:t>• Entendimento TCU-Plenário, sessão de 18/11/2015 (Jurisprudência Selecionada 14919) [VIT</w:t>
            </w:r>
          </w:p>
          <w:p>
            <w:pPr>
              <w:spacing w:after="40" w:before="40" w:line="260" w:lineRule="exact"/>
              <w:jc w:val="both"/>
            </w:pPr>
            <w:r>
              <w:rPr>
                <w:rFonts w:ascii="Times New Roman" w:hAnsi="Times New Roman"/>
                <w:sz w:val="18"/>
              </w:rPr>
              <w:t xml:space="preserve">• Acórdão 2429/2024-TCU-Plenário, Rel. Benjamin Zymler, sessão de 13/11/2024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Entendimento TCU-Primeira Câmara, sessão de 18/07/2023 (Jurisprudência Selecionada 154520) [VIT</w:t>
            </w:r>
          </w:p>
          <w:p>
            <w:pPr>
              <w:spacing w:after="40" w:before="40" w:line="260" w:lineRule="exact"/>
              <w:jc w:val="both"/>
            </w:pPr>
            <w:r>
              <w:rPr>
                <w:rFonts w:ascii="Times New Roman" w:hAnsi="Times New Roman"/>
                <w:sz w:val="18"/>
              </w:rPr>
              <w:t>• Acórdãos TCE-SP, sessões de 13/04/2018 e 19/04/2018, TC-10128/989/18 e TC-10582/989/18 [VIT</w:t>
            </w:r>
          </w:p>
        </w:tc>
        <w:tc>
          <w:tcPr>
            <w:tcW w:type="dxa" w:w="2163"/>
            <w:shd w:fill="F2F2F2" w:val="clear"/>
          </w:tcPr>
          <w:p>
            <w:pPr>
              <w:spacing w:after="40" w:before="40" w:line="260" w:lineRule="exact"/>
              <w:jc w:val="center"/>
            </w:pPr>
            <w:r/>
            <w:r>
              <w:rPr>
                <w:rFonts w:ascii="Times New Roman" w:hAnsi="Times New Roman"/>
                <w:b w:val="0"/>
                <w:sz w:val="18"/>
              </w:rPr>
              <w:t>Sim</w:t>
            </w:r>
          </w:p>
        </w:tc>
        <w:tc>
          <w:tcPr>
            <w:tcW w:type="dxa" w:w="2163"/>
            <w:shd w:fill="F2F2F2" w:val="clear"/>
          </w:tcPr>
          <w:p>
            <w:pPr>
              <w:spacing w:after="40" w:before="40" w:line="260" w:lineRule="exact"/>
              <w:jc w:val="center"/>
            </w:pPr>
            <w:r/>
            <w:r>
              <w:rPr>
                <w:rFonts w:ascii="Times New Roman" w:hAnsi="Times New Roman"/>
                <w:b w:val="0"/>
                <w:sz w:val="18"/>
              </w:rPr>
              <w:t>IMPUGNACAO</w:t>
              <w:br/>
              <w:t>(Administração)</w:t>
            </w:r>
          </w:p>
        </w:tc>
      </w:tr>
      <w:tr>
        <w:tc>
          <w:tcPr>
            <w:tcW w:type="dxa" w:w="2163"/>
          </w:tcPr>
          <w:p>
            <w:pPr>
              <w:spacing w:after="40" w:before="40" w:line="260" w:lineRule="exact"/>
              <w:jc w:val="center"/>
            </w:pPr>
            <w:r/>
            <w:r>
              <w:rPr>
                <w:rFonts w:ascii="Times New Roman" w:hAnsi="Times New Roman"/>
                <w:b w:val="0"/>
                <w:sz w:val="18"/>
              </w:rPr>
              <w:t>T3</w:t>
            </w:r>
          </w:p>
        </w:tc>
        <w:tc>
          <w:tcPr>
            <w:tcW w:type="dxa" w:w="2163"/>
          </w:tcPr>
          <w:p>
            <w:pPr>
              <w:spacing w:after="40" w:before="40" w:line="260" w:lineRule="exact"/>
            </w:pPr>
            <w:r/>
            <w:r>
              <w:rPr>
                <w:rFonts w:ascii="Times New Roman" w:hAnsi="Times New Roman"/>
                <w:b w:val="0"/>
                <w:sz w:val="18"/>
              </w:rPr>
              <w:t>Objeto e escopo</w:t>
            </w:r>
          </w:p>
        </w:tc>
        <w:tc>
          <w:tcPr>
            <w:tcW w:type="dxa" w:w="2163"/>
          </w:tcPr>
          <w:p>
            <w:pPr>
              <w:spacing w:after="40" w:before="40" w:line="260" w:lineRule="exact"/>
              <w:jc w:val="both"/>
            </w:pPr>
            <w:r/>
            <w:r>
              <w:rPr>
                <w:rFonts w:ascii="Times New Roman" w:hAnsi="Times New Roman"/>
                <w:sz w:val="18"/>
              </w:rPr>
              <w:t>Encerramento da Vala 05 e chorume</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tcPr>
          <w:p>
            <w:pPr>
              <w:spacing w:after="40" w:before="40" w:line="260" w:lineRule="exact"/>
              <w:jc w:val="both"/>
            </w:pPr>
            <w:r/>
            <w:r>
              <w:rPr>
                <w:rFonts w:ascii="Times New Roman" w:hAnsi="Times New Roman"/>
                <w:sz w:val="18"/>
              </w:rPr>
            </w:r>
            <w:r>
              <w:rPr>
                <w:rFonts w:ascii="Times New Roman" w:hAnsi="Times New Roman"/>
                <w:b/>
                <w:sz w:val="18"/>
              </w:rPr>
              <w:t>Premissa normativa.</w:t>
            </w:r>
            <w:r>
              <w:rPr>
                <w:rFonts w:ascii="Times New Roman" w:hAnsi="Times New Roman"/>
                <w:sz w:val="18"/>
              </w:rPr>
              <w:t xml:space="preserve"> O contrato deve conter cláusulas necessárias sobre objeto, regime, preço, medição e casos de extinção (art. 92, incisos I, IV, V, VI e XIX, da Lei n.º 14.133/2021), com clareza e precisão de direitos, obrigações e responsabilidades (art. 89, § 2.º, da Lei n.º 14.133/2021); o TR deve definir o modelo de execução "desde o seu início até o seu encerramento" e os critérios de medição e pagamento (art. 6.º, inciso XXIII, alíneas 'e' e 'g', da Lei n.º 14.133/2021). A alocação de riscos considera a capacidade de gerenciamento e é quantificada (art. 103, §§ 1.º e 3.º, da Lei n.º 14.133/2021). Os serviços de limpeza urbana e manejo de RSU — que compreendem a disposição final (art. 3.º-C da Lei n.º 11.445/2007) — têm o Município como titular responsável pela organização e prestação (art. 26 da Lei n.º 12.305/2010) e devem ter sustentabilidade econômico-financeira assegurada (art. 29 da Lei n.º 11.445/2007). Em matéria ambiental, a responsabilidade é objetiva (art. 14, § 1.º, da Lei n.º 6.938/1981), regida pelo princípio do poluidor-pagador (art. 6.º, inciso II, da Lei n.º 12.305/2010), e as obrigações são *propter rem* — exigíveis do possuidor/operador atual à escolha do credor (Tema Repetitivo 1.204 do STJ; Súmula 623 do STJ). É essa moldura que torna juridicamente indispensável a segregação contratual do passivo preexistente: sem baseline e sem cláusula, o operador que assume a unidade responde, perante terceiros e o órgão ambiental, por todo o histórico do…</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AN_bloco1.md, T3]</w:t>
            </w:r>
          </w:p>
        </w:tc>
        <w:tc>
          <w:tcPr>
            <w:tcW w:type="dxa" w:w="2163"/>
          </w:tcPr>
          <w:p>
            <w:pPr>
              <w:spacing w:after="40" w:before="40" w:line="260" w:lineRule="exact"/>
              <w:jc w:val="both"/>
            </w:pPr>
            <w:r/>
            <w:r>
              <w:rPr>
                <w:rFonts w:ascii="Times New Roman" w:hAnsi="Times New Roman"/>
                <w:sz w:val="18"/>
              </w:rPr>
              <w:t>• art. 5.º da Lei n.º 14.133/2021</w:t>
            </w:r>
          </w:p>
          <w:p>
            <w:pPr>
              <w:spacing w:after="40" w:before="40" w:line="260" w:lineRule="exact"/>
              <w:jc w:val="both"/>
            </w:pPr>
            <w:r>
              <w:rPr>
                <w:rFonts w:ascii="Times New Roman" w:hAnsi="Times New Roman"/>
                <w:sz w:val="18"/>
              </w:rPr>
              <w:t>• art. 6.º, inciso XXIII, alíneas 'a', 'e' e 'g', da Lei n.º 14.133/2021</w:t>
            </w:r>
          </w:p>
          <w:p>
            <w:pPr>
              <w:spacing w:after="40" w:before="40" w:line="260" w:lineRule="exact"/>
              <w:jc w:val="both"/>
            </w:pPr>
            <w:r>
              <w:rPr>
                <w:rFonts w:ascii="Times New Roman" w:hAnsi="Times New Roman"/>
                <w:sz w:val="18"/>
              </w:rPr>
              <w:t>• art. 89, caput e § 2.º, da Lei n.º 14.133/2021</w:t>
            </w:r>
          </w:p>
          <w:p>
            <w:pPr>
              <w:spacing w:after="40" w:before="40" w:line="260" w:lineRule="exact"/>
              <w:jc w:val="both"/>
            </w:pPr>
            <w:r>
              <w:rPr>
                <w:rFonts w:ascii="Times New Roman" w:hAnsi="Times New Roman"/>
                <w:sz w:val="18"/>
              </w:rPr>
              <w:t>• art. 92, incisos I, IV, V, VI e XIX, da Lei n.º 14.133/2021</w:t>
            </w:r>
          </w:p>
          <w:p>
            <w:pPr>
              <w:spacing w:after="40" w:before="40" w:line="260" w:lineRule="exact"/>
              <w:jc w:val="both"/>
            </w:pPr>
            <w:r>
              <w:rPr>
                <w:rFonts w:ascii="Times New Roman" w:hAnsi="Times New Roman"/>
                <w:sz w:val="18"/>
              </w:rPr>
              <w:t>• art. 103, §§ 1.º e 3.º, da Lei n.º 14.133/2021</w:t>
            </w:r>
          </w:p>
          <w:p>
            <w:pPr>
              <w:spacing w:after="40" w:before="40" w:line="260" w:lineRule="exact"/>
              <w:jc w:val="both"/>
            </w:pPr>
            <w:r>
              <w:rPr>
                <w:rFonts w:ascii="Times New Roman" w:hAnsi="Times New Roman"/>
                <w:sz w:val="18"/>
              </w:rPr>
              <w:t>• art. 164, caput e parágrafo único, da Lei n.º 14.133/2021</w:t>
            </w:r>
          </w:p>
          <w:p>
            <w:pPr>
              <w:spacing w:after="40" w:before="40" w:line="260" w:lineRule="exact"/>
              <w:jc w:val="both"/>
            </w:pPr>
            <w:r>
              <w:rPr>
                <w:rFonts w:ascii="Times New Roman" w:hAnsi="Times New Roman"/>
                <w:sz w:val="18"/>
              </w:rPr>
              <w:t>• art. 3.º-C e art. 29 da Lei n.º 11.445/2007</w:t>
            </w:r>
          </w:p>
          <w:p>
            <w:pPr>
              <w:spacing w:after="40" w:before="40" w:line="260" w:lineRule="exact"/>
              <w:jc w:val="both"/>
            </w:pPr>
            <w:r>
              <w:rPr>
                <w:rFonts w:ascii="Times New Roman" w:hAnsi="Times New Roman"/>
                <w:sz w:val="18"/>
              </w:rPr>
              <w:t>• art. 6.º, inciso II, e art. 26 da Lei n.º 12.305/2010</w:t>
            </w:r>
          </w:p>
          <w:p>
            <w:pPr>
              <w:spacing w:after="40" w:before="40" w:line="260" w:lineRule="exact"/>
              <w:jc w:val="both"/>
            </w:pPr>
            <w:r>
              <w:rPr>
                <w:rFonts w:ascii="Times New Roman" w:hAnsi="Times New Roman"/>
                <w:sz w:val="18"/>
              </w:rPr>
              <w:t>• art. 14, § 1.º, da Lei n.º 6.938/1981</w:t>
            </w:r>
          </w:p>
          <w:p>
            <w:pPr>
              <w:spacing w:after="40" w:before="40" w:line="260" w:lineRule="exact"/>
              <w:jc w:val="both"/>
            </w:pPr>
            <w:r>
              <w:rPr>
                <w:rFonts w:ascii="Times New Roman" w:hAnsi="Times New Roman"/>
                <w:sz w:val="18"/>
              </w:rPr>
              <w:t>• ABNT NBR 13.896/1997</w:t>
            </w:r>
          </w:p>
          <w:p>
            <w:pPr>
              <w:spacing w:after="40" w:before="40" w:line="260" w:lineRule="exact"/>
              <w:jc w:val="both"/>
            </w:pPr>
            <w:r>
              <w:rPr>
                <w:rFonts w:ascii="Times New Roman" w:hAnsi="Times New Roman"/>
                <w:sz w:val="18"/>
              </w:rPr>
              <w:t>• Súmula 623 do STJ</w:t>
            </w:r>
          </w:p>
          <w:p>
            <w:pPr>
              <w:spacing w:after="40" w:before="40" w:line="260" w:lineRule="exact"/>
              <w:jc w:val="both"/>
            </w:pPr>
            <w:r>
              <w:rPr>
                <w:rFonts w:ascii="Times New Roman" w:hAnsi="Times New Roman"/>
                <w:sz w:val="18"/>
              </w:rPr>
              <w:t>• TJPR, Agravo de Instrumento 0094069-66.2024.8.16.0000, Rel. Des. Rogério Etzel, 5.ª Câmara Cível, publ. 10/02/2025</w:t>
            </w:r>
          </w:p>
          <w:p>
            <w:pPr>
              <w:spacing w:after="40" w:before="40" w:line="260" w:lineRule="exact"/>
              <w:jc w:val="both"/>
            </w:pPr>
            <w:r>
              <w:rPr>
                <w:rFonts w:ascii="Times New Roman" w:hAnsi="Times New Roman"/>
                <w:sz w:val="18"/>
              </w:rPr>
              <w:t>• TJPR, Recurso Inominado 0001000-98.2021.8.16.0124, Rel. Juíza Gisele Lara Ribeiro, 6.ª Turma Recursal dos Juizados Especiais, publ. 30/04/2025</w:t>
            </w:r>
          </w:p>
          <w:p>
            <w:pPr>
              <w:spacing w:after="40" w:before="40" w:line="260" w:lineRule="exact"/>
              <w:jc w:val="both"/>
            </w:pPr>
            <w:r>
              <w:rPr>
                <w:rFonts w:ascii="Times New Roman" w:hAnsi="Times New Roman"/>
                <w:sz w:val="18"/>
              </w:rPr>
              <w:t>• [PENDENTE: busca TCU/TCE via Lei na Mão antes do protocolo</w:t>
            </w:r>
          </w:p>
          <w:p>
            <w:pPr>
              <w:spacing w:after="40" w:before="40" w:line="260" w:lineRule="exact"/>
              <w:jc w:val="both"/>
            </w:pPr>
            <w:r>
              <w:rPr>
                <w:rFonts w:ascii="Times New Roman" w:hAnsi="Times New Roman"/>
                <w:sz w:val="18"/>
              </w:rPr>
              <w:t>Doutrina: - FLÁVIO TARTUCE, *Manual de Direito Civil — Volume Único*, 5.ª ed., São Paulo: Método, 2015, p. 391-392 — a responsabilidade civil ambiental do art. 14, § 1.º, da Lei n.º 6.938/1981 é objetiva e, segundo o entendimento chancelado pelo STJ, informada pela teoria do risco integral (sem excludentes de</w:t>
            </w:r>
          </w:p>
        </w:tc>
        <w:tc>
          <w:tcPr>
            <w:tcW w:type="dxa" w:w="2163"/>
          </w:tcPr>
          <w:p>
            <w:pPr>
              <w:spacing w:after="40" w:before="40" w:line="260" w:lineRule="exact"/>
              <w:jc w:val="center"/>
            </w:pPr>
            <w:r/>
            <w:r>
              <w:rPr>
                <w:rFonts w:ascii="Times New Roman" w:hAnsi="Times New Roman"/>
                <w:b w:val="0"/>
                <w:sz w:val="18"/>
              </w:rPr>
              <w:t>Sim</w:t>
            </w:r>
          </w:p>
        </w:tc>
        <w:tc>
          <w:tcPr>
            <w:tcW w:type="dxa" w:w="2163"/>
          </w:tcPr>
          <w:p>
            <w:pPr>
              <w:spacing w:after="40" w:before="40" w:line="260" w:lineRule="exact"/>
              <w:jc w:val="center"/>
            </w:pPr>
            <w:r/>
            <w:r>
              <w:rPr>
                <w:rFonts w:ascii="Times New Roman" w:hAnsi="Times New Roman"/>
                <w:b w:val="0"/>
                <w:sz w:val="18"/>
              </w:rPr>
              <w:t>IMPUGNACAO</w:t>
              <w:br/>
              <w:t>(Administração)</w:t>
            </w:r>
          </w:p>
        </w:tc>
      </w:tr>
      <w:tr>
        <w:tc>
          <w:tcPr>
            <w:tcW w:type="dxa" w:w="2163"/>
            <w:shd w:fill="F2F2F2" w:val="clear"/>
          </w:tcPr>
          <w:p>
            <w:pPr>
              <w:spacing w:after="40" w:before="40" w:line="260" w:lineRule="exact"/>
              <w:jc w:val="center"/>
            </w:pPr>
            <w:r/>
            <w:r>
              <w:rPr>
                <w:rFonts w:ascii="Times New Roman" w:hAnsi="Times New Roman"/>
                <w:b w:val="0"/>
                <w:sz w:val="18"/>
              </w:rPr>
              <w:t>T4</w:t>
            </w:r>
          </w:p>
        </w:tc>
        <w:tc>
          <w:tcPr>
            <w:tcW w:type="dxa" w:w="2163"/>
            <w:shd w:fill="F2F2F2" w:val="clear"/>
          </w:tcPr>
          <w:p>
            <w:pPr>
              <w:spacing w:after="40" w:before="40" w:line="260" w:lineRule="exact"/>
            </w:pPr>
            <w:r/>
            <w:r>
              <w:rPr>
                <w:rFonts w:ascii="Times New Roman" w:hAnsi="Times New Roman"/>
                <w:b w:val="0"/>
                <w:sz w:val="18"/>
              </w:rPr>
              <w:t>Modelagem econômica</w:t>
            </w:r>
          </w:p>
        </w:tc>
        <w:tc>
          <w:tcPr>
            <w:tcW w:type="dxa" w:w="2163"/>
            <w:shd w:fill="F2F2F2" w:val="clear"/>
          </w:tcPr>
          <w:p>
            <w:pPr>
              <w:spacing w:after="40" w:before="40" w:line="260" w:lineRule="exact"/>
              <w:jc w:val="both"/>
            </w:pPr>
            <w:r/>
            <w:r>
              <w:rPr>
                <w:rFonts w:ascii="Times New Roman" w:hAnsi="Times New Roman"/>
                <w:sz w:val="18"/>
              </w:rPr>
              <w:t>Grandes geradores</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shd w:fill="F2F2F2" w:val="clear"/>
          </w:tcPr>
          <w:p>
            <w:pPr>
              <w:spacing w:after="40" w:before="40" w:line="260" w:lineRule="exact"/>
              <w:jc w:val="both"/>
            </w:pPr>
            <w:r/>
            <w:r>
              <w:rPr>
                <w:rFonts w:ascii="Times New Roman" w:hAnsi="Times New Roman"/>
                <w:sz w:val="18"/>
              </w:rPr>
            </w:r>
            <w:r>
              <w:rPr>
                <w:rFonts w:ascii="Times New Roman" w:hAnsi="Times New Roman"/>
                <w:b/>
                <w:sz w:val="18"/>
              </w:rPr>
              <w:t>Premissa normativa.</w:t>
            </w:r>
            <w:r>
              <w:rPr>
                <w:rFonts w:ascii="Times New Roman" w:hAnsi="Times New Roman"/>
                <w:sz w:val="18"/>
              </w:rPr>
              <w:t xml:space="preserve"> A fase preparatória exige estudo técnico preliminar com "estimativas das quantidades para a contratação, acompanhadas das memórias de cálculo e dos documentos que lhes dão suporte" (art. 18, § 1.º, inciso IV, da Lei n.º 14.133/2021) e "estimativa do valor da contratação, acompanhada dos preços unitários referenciais, das memórias de cálculo e dos documentos que lhe dão suporte" (art. 18, § 1.º, inciso VI); o termo de referência deve conter a definição do objeto com seus quantitativos (art. 6.º, inciso XXIII, alínea "a"), os critérios de medição e de pagamento (alínea "g") e as estimativas de valor com memórias de cálculo (alínea "i"); e o valor estimado deve ser compatível com o mercado, "consideradas ... as quantidades a serem contratadas" (art. 23, caput, da Lei n.º 14.133/2021). No plano setorial, os estabelecimentos que geram resíduos não equiparados aos domiciliares sujeitam-se a plano de gerenciamento próprio (art. 20, inciso II, alínea "b", da Lei n.º 12.305/2010), respondem pela implementação integral desse gerenciamento (art. 27, caput, da Lei n.º 12.305/2010) e, quando etapas sob sua responsabilidade forem realizadas pelo poder público, </w:t>
            </w:r>
            <w:r>
              <w:rPr>
                <w:rFonts w:ascii="Times New Roman" w:hAnsi="Times New Roman"/>
                <w:b/>
                <w:sz w:val="18"/>
              </w:rPr>
              <w:t>devem remunerá-las</w:t>
            </w:r>
            <w:r>
              <w:rPr>
                <w:rFonts w:ascii="Times New Roman" w:hAnsi="Times New Roman"/>
                <w:sz w:val="18"/>
              </w:rPr>
              <w:t xml:space="preserve"> (art. 27, § 2.º, da Lei n.º 12.305/2010) — comando alinhado à sustentabilidade econômico-financeira dos serviços de saneamento (art. 29 da Lei n.º 11.445/2007). No plano local, o Decreto municipal n.º 3.367/2026: atribui ao próprio grande gerador (geração acima de 200 L ou 50 kg/dia —…</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AN_bloco2.md, T4]</w:t>
            </w:r>
          </w:p>
        </w:tc>
        <w:tc>
          <w:tcPr>
            <w:tcW w:type="dxa" w:w="2163"/>
            <w:shd w:fill="F2F2F2" w:val="clear"/>
          </w:tcPr>
          <w:p>
            <w:pPr>
              <w:spacing w:after="40" w:before="40" w:line="260" w:lineRule="exact"/>
              <w:jc w:val="both"/>
            </w:pPr>
            <w:r/>
            <w:r>
              <w:rPr>
                <w:rFonts w:ascii="Times New Roman" w:hAnsi="Times New Roman"/>
                <w:sz w:val="18"/>
              </w:rPr>
              <w:t>• art. 18, § 1.º, incisos I, IV e VI, e § 2.º, da Lei n.º 14.133/2021</w:t>
            </w:r>
          </w:p>
          <w:p>
            <w:pPr>
              <w:spacing w:after="40" w:before="40" w:line="260" w:lineRule="exact"/>
              <w:jc w:val="both"/>
            </w:pPr>
            <w:r>
              <w:rPr>
                <w:rFonts w:ascii="Times New Roman" w:hAnsi="Times New Roman"/>
                <w:sz w:val="18"/>
              </w:rPr>
              <w:t>• art. 23, caput, da Lei n.º 14.133/2021</w:t>
            </w:r>
          </w:p>
          <w:p>
            <w:pPr>
              <w:spacing w:after="40" w:before="40" w:line="260" w:lineRule="exact"/>
              <w:jc w:val="both"/>
            </w:pPr>
            <w:r>
              <w:rPr>
                <w:rFonts w:ascii="Times New Roman" w:hAnsi="Times New Roman"/>
                <w:sz w:val="18"/>
              </w:rPr>
              <w:t>• art. 6.º, inciso XXIII, alíneas "a", "g" e "i", da Lei n.º 14.133/2021</w:t>
            </w:r>
          </w:p>
          <w:p>
            <w:pPr>
              <w:spacing w:after="40" w:before="40" w:line="260" w:lineRule="exact"/>
              <w:jc w:val="both"/>
            </w:pPr>
            <w:r>
              <w:rPr>
                <w:rFonts w:ascii="Times New Roman" w:hAnsi="Times New Roman"/>
                <w:sz w:val="18"/>
              </w:rPr>
              <w:t>• art. 92, incisos V e VI, da Lei n.º 14.133/2021</w:t>
            </w:r>
          </w:p>
          <w:p>
            <w:pPr>
              <w:spacing w:after="40" w:before="40" w:line="260" w:lineRule="exact"/>
              <w:jc w:val="both"/>
            </w:pPr>
            <w:r>
              <w:rPr>
                <w:rFonts w:ascii="Times New Roman" w:hAnsi="Times New Roman"/>
                <w:sz w:val="18"/>
              </w:rPr>
              <w:t>• art. 20, inciso II, alínea "b", art. 13, inciso I, alínea "f", e art. 27, caput e §§ 1.º e 2.º, da Lei n.º 12.305/2010</w:t>
            </w:r>
          </w:p>
          <w:p>
            <w:pPr>
              <w:spacing w:after="40" w:before="40" w:line="260" w:lineRule="exact"/>
              <w:jc w:val="both"/>
            </w:pPr>
            <w:r>
              <w:rPr>
                <w:rFonts w:ascii="Times New Roman" w:hAnsi="Times New Roman"/>
                <w:sz w:val="18"/>
              </w:rPr>
              <w:t>• art. 29, caput, da Lei n.º 11.445/2007</w:t>
            </w:r>
          </w:p>
          <w:p>
            <w:pPr>
              <w:spacing w:after="40" w:before="40" w:line="260" w:lineRule="exact"/>
              <w:jc w:val="both"/>
            </w:pPr>
            <w:r>
              <w:rPr>
                <w:rFonts w:ascii="Times New Roman" w:hAnsi="Times New Roman"/>
                <w:sz w:val="18"/>
              </w:rPr>
              <w:t>• arts. 1.º, 2.º, inciso I, 3.º, caput e parágrafo único, 5.º, 6.º, § 1.º, incisos I e II, 7.º, parágrafo único, 9.º, 12, 14 e 15 do Decreto municipal n.º 3.367/2026</w:t>
            </w:r>
          </w:p>
          <w:p>
            <w:pPr>
              <w:spacing w:after="40" w:before="40" w:line="260" w:lineRule="exact"/>
              <w:jc w:val="both"/>
            </w:pPr>
            <w:r>
              <w:rPr>
                <w:rFonts w:ascii="Times New Roman" w:hAnsi="Times New Roman"/>
                <w:sz w:val="18"/>
              </w:rPr>
              <w:t>• Não localizei, na base judicial consultada, precedente específico sobre a contradição temporal entre ETP e norma municipal de grandes geradores já vigente; o controle típico dessa matéria</w:t>
            </w:r>
          </w:p>
          <w:p>
            <w:pPr>
              <w:spacing w:after="40" w:before="40" w:line="260" w:lineRule="exact"/>
              <w:jc w:val="both"/>
            </w:pPr>
            <w:r>
              <w:rPr>
                <w:rFonts w:ascii="Times New Roman" w:hAnsi="Times New Roman"/>
                <w:sz w:val="18"/>
              </w:rPr>
              <w:t>Doutrina: A busca no acervo doutrinário disponível (Jus IA, área administrativo) não retornou tratamento específico do estudo técnico preliminar e das memórias de cálculo sob a Lei n.º 14.133/2021 (o acervo consultado concentra-se no regime da Lei n.º 8.666/1993); não indico doutrina para este ponto sem fonte</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Entendimento TCU-Plenário, sessão de 14/09/2016 (Jurisprudência Selecionada 21439) [VIT</w:t>
            </w:r>
          </w:p>
          <w:p>
            <w:pPr>
              <w:spacing w:after="40" w:before="40" w:line="260" w:lineRule="exact"/>
              <w:jc w:val="both"/>
            </w:pPr>
            <w:r>
              <w:rPr>
                <w:rFonts w:ascii="Times New Roman" w:hAnsi="Times New Roman"/>
                <w:sz w:val="18"/>
              </w:rPr>
              <w:t xml:space="preserve">• Acórdão 9718/2022-TCU-Primeira Câmara, Rel. Vital do Rêgo, sessão de 29/11/2022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63/2024-TCU-Plenário, Rel. Vital do Rêgo, sessão de 24/01/2024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2990/2025-TCU-Plenário, Rel. Bruno Dantas, sessão de 08/12/2025 </w:t>
            </w:r>
            <w:r>
              <w:rPr>
                <w:rFonts w:ascii="Times New Roman" w:hAnsi="Times New Roman"/>
                <w:b/>
                <w:color w:val="CC0000"/>
                <w:sz w:val="18"/>
              </w:rPr>
              <w:t>[VIT]</w:t>
            </w:r>
            <w:r>
              <w:rPr>
                <w:rFonts w:ascii="Times New Roman" w:hAnsi="Times New Roman"/>
                <w:sz w:val="18"/>
              </w:rPr>
            </w:r>
          </w:p>
        </w:tc>
        <w:tc>
          <w:tcPr>
            <w:tcW w:type="dxa" w:w="2163"/>
            <w:shd w:fill="F2F2F2" w:val="clear"/>
          </w:tcPr>
          <w:p>
            <w:pPr>
              <w:spacing w:after="40" w:before="40" w:line="260" w:lineRule="exact"/>
              <w:jc w:val="center"/>
            </w:pPr>
            <w:r/>
            <w:r>
              <w:rPr>
                <w:rFonts w:ascii="Times New Roman" w:hAnsi="Times New Roman"/>
                <w:b w:val="0"/>
                <w:sz w:val="18"/>
              </w:rPr>
              <w:t>Não</w:t>
            </w:r>
          </w:p>
        </w:tc>
        <w:tc>
          <w:tcPr>
            <w:tcW w:type="dxa" w:w="2163"/>
            <w:shd w:fill="F2F2F2" w:val="clear"/>
          </w:tcPr>
          <w:p>
            <w:pPr>
              <w:spacing w:after="40" w:before="40" w:line="260" w:lineRule="exact"/>
              <w:jc w:val="center"/>
            </w:pPr>
            <w:r/>
            <w:r>
              <w:rPr>
                <w:rFonts w:ascii="Times New Roman" w:hAnsi="Times New Roman"/>
                <w:b w:val="0"/>
                <w:sz w:val="18"/>
              </w:rPr>
            </w:r>
          </w:p>
        </w:tc>
      </w:tr>
      <w:tr>
        <w:tc>
          <w:tcPr>
            <w:tcW w:type="dxa" w:w="2163"/>
          </w:tcPr>
          <w:p>
            <w:pPr>
              <w:spacing w:after="40" w:before="40" w:line="260" w:lineRule="exact"/>
              <w:jc w:val="center"/>
            </w:pPr>
            <w:r/>
            <w:r>
              <w:rPr>
                <w:rFonts w:ascii="Times New Roman" w:hAnsi="Times New Roman"/>
                <w:b w:val="0"/>
                <w:sz w:val="18"/>
              </w:rPr>
              <w:t>T5</w:t>
            </w:r>
          </w:p>
        </w:tc>
        <w:tc>
          <w:tcPr>
            <w:tcW w:type="dxa" w:w="2163"/>
          </w:tcPr>
          <w:p>
            <w:pPr>
              <w:spacing w:after="40" w:before="40" w:line="260" w:lineRule="exact"/>
            </w:pPr>
            <w:r/>
            <w:r>
              <w:rPr>
                <w:rFonts w:ascii="Times New Roman" w:hAnsi="Times New Roman"/>
                <w:b w:val="0"/>
                <w:sz w:val="18"/>
              </w:rPr>
              <w:t>Modelagem econômica</w:t>
            </w:r>
          </w:p>
        </w:tc>
        <w:tc>
          <w:tcPr>
            <w:tcW w:type="dxa" w:w="2163"/>
          </w:tcPr>
          <w:p>
            <w:pPr>
              <w:spacing w:after="40" w:before="40" w:line="260" w:lineRule="exact"/>
              <w:jc w:val="both"/>
            </w:pPr>
            <w:r/>
            <w:r>
              <w:rPr>
                <w:rFonts w:ascii="Times New Roman" w:hAnsi="Times New Roman"/>
                <w:sz w:val="18"/>
              </w:rPr>
              <w:t>Pesquisa de preços viciada</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tcPr>
          <w:p>
            <w:pPr>
              <w:spacing w:after="40" w:before="40" w:line="260" w:lineRule="exact"/>
              <w:jc w:val="both"/>
            </w:pPr>
            <w:r/>
            <w:r>
              <w:rPr>
                <w:rFonts w:ascii="Times New Roman" w:hAnsi="Times New Roman"/>
                <w:sz w:val="18"/>
              </w:rPr>
            </w:r>
            <w:r>
              <w:rPr>
                <w:rFonts w:ascii="Times New Roman" w:hAnsi="Times New Roman"/>
                <w:b/>
                <w:sz w:val="18"/>
              </w:rPr>
              <w:t>Premissa normativa.</w:t>
            </w:r>
            <w:r>
              <w:rPr>
                <w:rFonts w:ascii="Times New Roman" w:hAnsi="Times New Roman"/>
                <w:sz w:val="18"/>
              </w:rPr>
              <w:t xml:space="preserve"> O valor estimado deve ser compatível com os preços de mercado, consideradas as quantidades e as peculiaridades do local de execução (art. 23, caput, da Lei n.º 14.133/2021), e definido "com base no melhor preço aferido" pelos parâmetros do § 1.º — entre eles as "contratações </w:t>
            </w:r>
            <w:r>
              <w:rPr>
                <w:rFonts w:ascii="Times New Roman" w:hAnsi="Times New Roman"/>
                <w:b/>
                <w:sz w:val="18"/>
              </w:rPr>
              <w:t>similares</w:t>
            </w:r>
            <w:r>
              <w:rPr>
                <w:rFonts w:ascii="Times New Roman" w:hAnsi="Times New Roman"/>
                <w:sz w:val="18"/>
              </w:rPr>
              <w:t xml:space="preserve"> feitas pela Administração Pública, em execução ou concluídas no período de 1 (um) ano anterior à data da pesquisa de preços, ... </w:t>
            </w:r>
            <w:r>
              <w:rPr>
                <w:rFonts w:ascii="Times New Roman" w:hAnsi="Times New Roman"/>
                <w:b/>
                <w:sz w:val="18"/>
              </w:rPr>
              <w:t>observado o índice de atualização de preços correspondente</w:t>
            </w:r>
            <w:r>
              <w:rPr>
                <w:rFonts w:ascii="Times New Roman" w:hAnsi="Times New Roman"/>
                <w:sz w:val="18"/>
              </w:rPr>
              <w:t>" (art. 23, § 1.º, inciso II). O ETP deve trazer a estimativa de valor "acompanhada dos preços unitários referenciais, das memórias de cálculo e dos documentos que lhe dão suporte" (art. 18, § 1.º, inciso VI), o mesmo valendo para o TR (art. 6.º, inciso XXIII, alínea "i"). Preço orçado "em valor expressivamente superior aos preços referenciais de mercado" configura sobrepreço (art. 6.º, inciso LVI, da Lei n.º 14.133/2021).</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r>
            <w:r>
              <w:rPr>
                <w:rFonts w:ascii="Times New Roman" w:hAnsi="Times New Roman"/>
                <w:b/>
                <w:sz w:val="18"/>
              </w:rPr>
              <w:t>Conclusão.</w:t>
            </w:r>
            <w:r>
              <w:rPr>
                <w:rFonts w:ascii="Times New Roman" w:hAnsi="Times New Roman"/>
                <w:sz w:val="18"/>
              </w:rPr>
              <w:t xml:space="preserve"> O valor estimado de R$ 9.193.852,80 foi formado em desconformidade com o art. 23, caput e § 1.º, inciso II, da Lei n.º 14.133/2021 (similaridade não demonstrada; atualização não aplicada; descarte de cotação sem motivação) e sem as memórias de cálculo exigidas pelo art. 18, § 1.º, incisos IV e VI, e pelo art. 6.º, inciso XXIII, alínea "i", da mesma lei. A distorção não é neutra: o valor estimado baliza a aceitabilidade das propostas e o julgamento, e serve de base a exigências percentuais do certame (capital mínimo, garantias, multas),…</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AN_bloco2.md, T5]</w:t>
            </w:r>
          </w:p>
        </w:tc>
        <w:tc>
          <w:tcPr>
            <w:tcW w:type="dxa" w:w="2163"/>
          </w:tcPr>
          <w:p>
            <w:pPr>
              <w:spacing w:after="40" w:before="40" w:line="260" w:lineRule="exact"/>
              <w:jc w:val="both"/>
            </w:pPr>
            <w:r/>
            <w:r>
              <w:rPr>
                <w:rFonts w:ascii="Times New Roman" w:hAnsi="Times New Roman"/>
                <w:sz w:val="18"/>
              </w:rPr>
              <w:t>• art. 23, caput e § 1.º, incisos I a V</w:t>
            </w:r>
          </w:p>
          <w:p>
            <w:pPr>
              <w:spacing w:after="40" w:before="40" w:line="260" w:lineRule="exact"/>
              <w:jc w:val="both"/>
            </w:pPr>
            <w:r>
              <w:rPr>
                <w:rFonts w:ascii="Times New Roman" w:hAnsi="Times New Roman"/>
                <w:sz w:val="18"/>
              </w:rPr>
              <w:t>• art. 18, § 1.º, incisos IV e VI, da Lei n.º 14.133/2021</w:t>
            </w:r>
          </w:p>
          <w:p>
            <w:pPr>
              <w:spacing w:after="40" w:before="40" w:line="260" w:lineRule="exact"/>
              <w:jc w:val="both"/>
            </w:pPr>
            <w:r>
              <w:rPr>
                <w:rFonts w:ascii="Times New Roman" w:hAnsi="Times New Roman"/>
                <w:sz w:val="18"/>
              </w:rPr>
              <w:t>• art. 6.º, incisos XXIII, alínea "i", e LVI, da Lei n.º 14.133/2021</w:t>
            </w:r>
          </w:p>
          <w:p>
            <w:pPr>
              <w:spacing w:after="40" w:before="40" w:line="260" w:lineRule="exact"/>
              <w:jc w:val="both"/>
            </w:pPr>
            <w:r>
              <w:rPr>
                <w:rFonts w:ascii="Times New Roman" w:hAnsi="Times New Roman"/>
                <w:sz w:val="18"/>
              </w:rPr>
              <w:t>• art. 75, inciso VIII, da Lei n.º 14.133/2021</w:t>
            </w:r>
          </w:p>
          <w:p>
            <w:pPr>
              <w:spacing w:after="40" w:before="40" w:line="260" w:lineRule="exact"/>
              <w:jc w:val="both"/>
            </w:pPr>
            <w:r>
              <w:rPr>
                <w:rFonts w:ascii="Times New Roman" w:hAnsi="Times New Roman"/>
                <w:sz w:val="18"/>
              </w:rPr>
              <w:t>• art. 5.º da Lei n.º 14.133/2021</w:t>
            </w:r>
          </w:p>
          <w:p>
            <w:pPr>
              <w:spacing w:after="40" w:before="40" w:line="260" w:lineRule="exact"/>
              <w:jc w:val="both"/>
            </w:pPr>
            <w:r>
              <w:rPr>
                <w:rFonts w:ascii="Times New Roman" w:hAnsi="Times New Roman"/>
                <w:sz w:val="18"/>
              </w:rPr>
              <w:t>• Não localizei, na base judicial consultada, precedente específico sobre exclusão injustificada de cotação de cesta de preços ou sobre uso de contratações emergenciais como parâmetro sem ajuste; a matéria é tipicamente decidida em foro de contas</w:t>
            </w:r>
          </w:p>
          <w:p>
            <w:pPr>
              <w:spacing w:after="40" w:before="40" w:line="260" w:lineRule="exact"/>
              <w:jc w:val="both"/>
            </w:pPr>
            <w:r>
              <w:rPr>
                <w:rFonts w:ascii="Times New Roman" w:hAnsi="Times New Roman"/>
                <w:sz w:val="18"/>
              </w:rPr>
              <w:t>Doutrina: A busca doutrinária (Jus IA, área administrativo) não retornou tratamento específico da pesquisa de preços do art. 23 da Lei n.º 14.133/2021 (acervo concentrado no regime anterior); não indico doutrina para este ponto sem fonte verificada.</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Entendimento TCU-Plenário, sessão de 21/10/2015 (Jurisprudência Selecionada 16331) [VIT</w:t>
            </w:r>
          </w:p>
          <w:p>
            <w:pPr>
              <w:spacing w:after="40" w:before="40" w:line="260" w:lineRule="exact"/>
              <w:jc w:val="both"/>
            </w:pPr>
            <w:r>
              <w:rPr>
                <w:rFonts w:ascii="Times New Roman" w:hAnsi="Times New Roman"/>
                <w:sz w:val="18"/>
              </w:rPr>
              <w:t xml:space="preserve">• Acórdão 1445/2022-TCU-Plenário, Rel. Augusto Sherman, sessão de 22/06/2022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11660/2019-TCU-Segunda Câmara, Rel. Marcos Bemquerer, sessão de 29/10/2019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2004/2015-TCU-Plenário, Rel. José Múcio Monteiro, sessão de 12/08/2015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Entendimento TCU-Plenário, sessão de 26/03/2014 (Jurisprudência Selecionada 21827) [VIT</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 Jurisprudência STJ/TJ + doutrina (Jus IA) —</w:t>
            </w:r>
          </w:p>
          <w:p>
            <w:pPr>
              <w:spacing w:after="40" w:before="40" w:line="260" w:lineRule="exact"/>
              <w:jc w:val="both"/>
            </w:pPr>
            <w:r>
              <w:rPr>
                <w:rFonts w:ascii="Times New Roman" w:hAnsi="Times New Roman"/>
                <w:sz w:val="18"/>
              </w:rPr>
              <w:t xml:space="preserve">• TJSP, Proc. 1001236-90.2025.8.26.0099, Rel. Des. Ricardo Dip, 11a Camara de Direito Publico, j. 30/09/2025**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STJ, REsp 2027568, Rel. Min. Gurgel de Faria, 1a Turma, j. 07/11/2023** </w:t>
            </w:r>
            <w:r>
              <w:rPr>
                <w:rFonts w:ascii="Times New Roman" w:hAnsi="Times New Roman"/>
                <w:b/>
                <w:color w:val="CC0000"/>
                <w:sz w:val="18"/>
              </w:rPr>
              <w:t>[VIT]</w:t>
            </w:r>
            <w:r>
              <w:rPr>
                <w:rFonts w:ascii="Times New Roman" w:hAnsi="Times New Roman"/>
                <w:sz w:val="18"/>
              </w:rPr>
            </w:r>
          </w:p>
        </w:tc>
        <w:tc>
          <w:tcPr>
            <w:tcW w:type="dxa" w:w="2163"/>
          </w:tcPr>
          <w:p>
            <w:pPr>
              <w:spacing w:after="40" w:before="40" w:line="260" w:lineRule="exact"/>
              <w:jc w:val="center"/>
            </w:pPr>
            <w:r/>
            <w:r>
              <w:rPr>
                <w:rFonts w:ascii="Times New Roman" w:hAnsi="Times New Roman"/>
                <w:b w:val="0"/>
                <w:sz w:val="18"/>
              </w:rPr>
              <w:t>Não</w:t>
            </w:r>
          </w:p>
        </w:tc>
        <w:tc>
          <w:tcPr>
            <w:tcW w:type="dxa" w:w="2163"/>
          </w:tcPr>
          <w:p>
            <w:pPr>
              <w:spacing w:after="40" w:before="40" w:line="260" w:lineRule="exact"/>
              <w:jc w:val="center"/>
            </w:pPr>
            <w:r/>
            <w:r>
              <w:rPr>
                <w:rFonts w:ascii="Times New Roman" w:hAnsi="Times New Roman"/>
                <w:b w:val="0"/>
                <w:sz w:val="18"/>
              </w:rPr>
            </w:r>
          </w:p>
        </w:tc>
      </w:tr>
      <w:tr>
        <w:tc>
          <w:tcPr>
            <w:tcW w:type="dxa" w:w="2163"/>
            <w:shd w:fill="F2F2F2" w:val="clear"/>
          </w:tcPr>
          <w:p>
            <w:pPr>
              <w:spacing w:after="40" w:before="40" w:line="260" w:lineRule="exact"/>
              <w:jc w:val="center"/>
            </w:pPr>
            <w:r/>
            <w:r>
              <w:rPr>
                <w:rFonts w:ascii="Times New Roman" w:hAnsi="Times New Roman"/>
                <w:b w:val="0"/>
                <w:sz w:val="18"/>
              </w:rPr>
              <w:t>T6</w:t>
            </w:r>
          </w:p>
        </w:tc>
        <w:tc>
          <w:tcPr>
            <w:tcW w:type="dxa" w:w="2163"/>
            <w:shd w:fill="F2F2F2" w:val="clear"/>
          </w:tcPr>
          <w:p>
            <w:pPr>
              <w:spacing w:after="40" w:before="40" w:line="260" w:lineRule="exact"/>
            </w:pPr>
            <w:r/>
            <w:r>
              <w:rPr>
                <w:rFonts w:ascii="Times New Roman" w:hAnsi="Times New Roman"/>
                <w:b w:val="0"/>
                <w:sz w:val="18"/>
              </w:rPr>
              <w:t>Modelagem econômica</w:t>
            </w:r>
          </w:p>
        </w:tc>
        <w:tc>
          <w:tcPr>
            <w:tcW w:type="dxa" w:w="2163"/>
            <w:shd w:fill="F2F2F2" w:val="clear"/>
          </w:tcPr>
          <w:p>
            <w:pPr>
              <w:spacing w:after="40" w:before="40" w:line="260" w:lineRule="exact"/>
              <w:jc w:val="both"/>
            </w:pPr>
            <w:r/>
            <w:r>
              <w:rPr>
                <w:rFonts w:ascii="Times New Roman" w:hAnsi="Times New Roman"/>
                <w:sz w:val="18"/>
              </w:rPr>
              <w:t>CCT SIEMACO Araraquara</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shd w:fill="F2F2F2" w:val="clear"/>
          </w:tcPr>
          <w:p>
            <w:pPr>
              <w:spacing w:after="40" w:before="40" w:line="260" w:lineRule="exact"/>
              <w:jc w:val="both"/>
            </w:pPr>
            <w:r/>
            <w:r>
              <w:rPr>
                <w:rFonts w:ascii="Times New Roman" w:hAnsi="Times New Roman"/>
                <w:sz w:val="18"/>
              </w:rPr>
            </w:r>
            <w:r>
              <w:rPr>
                <w:rFonts w:ascii="Times New Roman" w:hAnsi="Times New Roman"/>
                <w:b/>
                <w:sz w:val="18"/>
              </w:rPr>
              <w:t>Premissa normativa.</w:t>
            </w:r>
            <w:r>
              <w:rPr>
                <w:rFonts w:ascii="Times New Roman" w:hAnsi="Times New Roman"/>
                <w:sz w:val="18"/>
              </w:rPr>
              <w:t xml:space="preserve"> O enquadramento sindical no direito brasileiro decorre da lei, não de ato administrativo: a categoria econômica/profissional se define pela atividade preponderante da empresa (art. 511, §§ 1.º, 2.º e 4.º, da CLT), a convenção coletiva aplica-se "no âmbito das respectivas representações" (art. 611 da CLT) e na base territorial dos sindicatos convenentes, respeitada a unicidade sindical (art. 8.º, incisos I e II, da CF/1988); os empregados de categoria diferenciada — como motoristas — regem-se por instrumento próprio (art. 511, § 3.º, da CLT; Súmula 374 do TST, referida nos precedentes adiante). É vedada duração de instrumento coletivo superior a dois anos "sendo vedada a ultratividade" (art. 614, § 3.º, da CLT, redação da Lei n.º 13.467/2017). Na licitação, o edital deve exigir declaração de que as propostas compreendem os custos trabalhistas das "convenções coletivas de trabalho ... </w:t>
            </w:r>
            <w:r>
              <w:rPr>
                <w:rFonts w:ascii="Times New Roman" w:hAnsi="Times New Roman"/>
                <w:b/>
                <w:sz w:val="18"/>
              </w:rPr>
              <w:t>vigentes na data de entrega das propostas</w:t>
            </w:r>
            <w:r>
              <w:rPr>
                <w:rFonts w:ascii="Times New Roman" w:hAnsi="Times New Roman"/>
                <w:sz w:val="18"/>
              </w:rPr>
              <w:t xml:space="preserve">" (art. 63, § 1.º, da Lei n.º 14.133/2021); a repactuação vincula-se "ao acordo, à convenção coletiva ou ao dissídio coletivo </w:t>
            </w:r>
            <w:r>
              <w:rPr>
                <w:rFonts w:ascii="Times New Roman" w:hAnsi="Times New Roman"/>
                <w:b/>
                <w:sz w:val="18"/>
              </w:rPr>
              <w:t>ao qual a proposta esteja vinculada</w:t>
            </w:r>
            <w:r>
              <w:rPr>
                <w:rFonts w:ascii="Times New Roman" w:hAnsi="Times New Roman"/>
                <w:sz w:val="18"/>
              </w:rPr>
              <w:t>" (art. 135, caput e inciso II), com os limites dos §§ 1.º e 2.º do art. 135 (não vinculação da Administração a matéria não trabalhista, PLR, direitos não previstos em lei e obrigações restritas a contratos com a Administração); o contrato deve conter cláusula clara de preço, reajuste e medição (art. 92, incisos V e VI); e o certame se rege pela isonomia e pelo…</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AN_bloco2.md, T6]</w:t>
            </w:r>
          </w:p>
        </w:tc>
        <w:tc>
          <w:tcPr>
            <w:tcW w:type="dxa" w:w="2163"/>
            <w:shd w:fill="F2F2F2" w:val="clear"/>
          </w:tcPr>
          <w:p>
            <w:pPr>
              <w:spacing w:after="40" w:before="40" w:line="260" w:lineRule="exact"/>
              <w:jc w:val="both"/>
            </w:pPr>
            <w:r/>
            <w:r>
              <w:rPr>
                <w:rFonts w:ascii="Times New Roman" w:hAnsi="Times New Roman"/>
                <w:sz w:val="18"/>
              </w:rPr>
              <w:t>• arts. 511, caput e §§ 1.º a 4.º, 570, 611 e 612 da CLT</w:t>
            </w:r>
          </w:p>
          <w:p>
            <w:pPr>
              <w:spacing w:after="40" w:before="40" w:line="260" w:lineRule="exact"/>
              <w:jc w:val="both"/>
            </w:pPr>
            <w:r>
              <w:rPr>
                <w:rFonts w:ascii="Times New Roman" w:hAnsi="Times New Roman"/>
                <w:sz w:val="18"/>
              </w:rPr>
              <w:t>• art. 614, § 3.º, da CLT</w:t>
            </w:r>
          </w:p>
          <w:p>
            <w:pPr>
              <w:spacing w:after="40" w:before="40" w:line="260" w:lineRule="exact"/>
              <w:jc w:val="both"/>
            </w:pPr>
            <w:r>
              <w:rPr>
                <w:rFonts w:ascii="Times New Roman" w:hAnsi="Times New Roman"/>
                <w:sz w:val="18"/>
              </w:rPr>
              <w:t>• art. 8.º, incisos I e II, da CF/1988</w:t>
            </w:r>
          </w:p>
          <w:p>
            <w:pPr>
              <w:spacing w:after="40" w:before="40" w:line="260" w:lineRule="exact"/>
              <w:jc w:val="both"/>
            </w:pPr>
            <w:r>
              <w:rPr>
                <w:rFonts w:ascii="Times New Roman" w:hAnsi="Times New Roman"/>
                <w:sz w:val="18"/>
              </w:rPr>
              <w:t>• art. 63, § 1.º, da Lei n.º 14.133/2021</w:t>
            </w:r>
          </w:p>
          <w:p>
            <w:pPr>
              <w:spacing w:after="40" w:before="40" w:line="260" w:lineRule="exact"/>
              <w:jc w:val="both"/>
            </w:pPr>
            <w:r>
              <w:rPr>
                <w:rFonts w:ascii="Times New Roman" w:hAnsi="Times New Roman"/>
                <w:sz w:val="18"/>
              </w:rPr>
              <w:t>• art. 135, caput e incisos I e II, e §§ 1.º a 6.º, da Lei n.º 14.133/2021</w:t>
            </w:r>
          </w:p>
          <w:p>
            <w:pPr>
              <w:spacing w:after="40" w:before="40" w:line="260" w:lineRule="exact"/>
              <w:jc w:val="both"/>
            </w:pPr>
            <w:r>
              <w:rPr>
                <w:rFonts w:ascii="Times New Roman" w:hAnsi="Times New Roman"/>
                <w:sz w:val="18"/>
              </w:rPr>
              <w:t>• art. 92, incisos V e VI, e § 4.º, inciso II, da Lei n.º 14.133/2021</w:t>
            </w:r>
          </w:p>
          <w:p>
            <w:pPr>
              <w:spacing w:after="40" w:before="40" w:line="260" w:lineRule="exact"/>
              <w:jc w:val="both"/>
            </w:pPr>
            <w:r>
              <w:rPr>
                <w:rFonts w:ascii="Times New Roman" w:hAnsi="Times New Roman"/>
                <w:sz w:val="18"/>
              </w:rPr>
              <w:t>• art. 5.º e art. 9.º, inciso I, da Lei n.º 14.133/2021</w:t>
            </w:r>
          </w:p>
          <w:p>
            <w:pPr>
              <w:spacing w:after="40" w:before="40" w:line="260" w:lineRule="exact"/>
              <w:jc w:val="both"/>
            </w:pPr>
            <w:r>
              <w:rPr>
                <w:rFonts w:ascii="Times New Roman" w:hAnsi="Times New Roman"/>
                <w:sz w:val="18"/>
              </w:rPr>
              <w:t>• art. 164, caput e parágrafo único, da Lei n.º 14.133/2021</w:t>
            </w:r>
          </w:p>
          <w:p>
            <w:pPr>
              <w:spacing w:after="40" w:before="40" w:line="260" w:lineRule="exact"/>
              <w:jc w:val="both"/>
            </w:pPr>
            <w:r>
              <w:rPr>
                <w:rFonts w:ascii="Times New Roman" w:hAnsi="Times New Roman"/>
                <w:sz w:val="18"/>
              </w:rPr>
              <w:t>• cláusulas 1ª, 2ª, 6ª, 7ª, 12ª, 14ª, 15ª, 16ª, 18ª, 19ª, 20ª, 22ª</w:t>
            </w:r>
          </w:p>
          <w:p>
            <w:pPr>
              <w:spacing w:after="40" w:before="40" w:line="260" w:lineRule="exact"/>
              <w:jc w:val="both"/>
            </w:pPr>
            <w:r>
              <w:rPr>
                <w:rFonts w:ascii="Times New Roman" w:hAnsi="Times New Roman"/>
                <w:sz w:val="18"/>
              </w:rPr>
              <w:t>• (TRT1, RO 0100053-32.2024.5.01.0248, Rel. Des. Dalva Macedo, 2ª Turma, j. 05/02/2025)</w:t>
            </w:r>
          </w:p>
          <w:p>
            <w:pPr>
              <w:spacing w:after="40" w:before="40" w:line="260" w:lineRule="exact"/>
              <w:jc w:val="both"/>
            </w:pPr>
            <w:r>
              <w:rPr>
                <w:rFonts w:ascii="Times New Roman" w:hAnsi="Times New Roman"/>
                <w:sz w:val="18"/>
              </w:rPr>
              <w:t>• (TRT1, RO 0100219-86.2016.5.01.0008, Rel. Des. José Mateus Alexandre Romano, 2ª Turma, j. 12/03/2025)</w:t>
            </w:r>
          </w:p>
          <w:p>
            <w:pPr>
              <w:spacing w:after="40" w:before="40" w:line="260" w:lineRule="exact"/>
              <w:jc w:val="both"/>
            </w:pPr>
            <w:r>
              <w:rPr>
                <w:rFonts w:ascii="Times New Roman" w:hAnsi="Times New Roman"/>
                <w:sz w:val="18"/>
              </w:rPr>
              <w:t>• (STF, Rcl 55050, Rel. Min. André Mendonça, decisão monocrática, j. 22/05/2023)</w:t>
            </w:r>
          </w:p>
          <w:p>
            <w:pPr>
              <w:spacing w:after="40" w:before="40" w:line="260" w:lineRule="exact"/>
              <w:jc w:val="both"/>
            </w:pPr>
            <w:r>
              <w:rPr>
                <w:rFonts w:ascii="Times New Roman" w:hAnsi="Times New Roman"/>
                <w:sz w:val="18"/>
              </w:rPr>
              <w:t>• (TRT2, RO 1000358-48.2024.5.02.0317, Rel. Des. Fernando Cesar Teixeira Franca, 6ª Turma, j. 06/03/2025)</w:t>
            </w:r>
          </w:p>
          <w:p>
            <w:pPr>
              <w:spacing w:after="40" w:before="40" w:line="260" w:lineRule="exact"/>
              <w:jc w:val="both"/>
            </w:pPr>
            <w:r>
              <w:rPr>
                <w:rFonts w:ascii="Times New Roman" w:hAnsi="Times New Roman"/>
                <w:sz w:val="18"/>
              </w:rPr>
              <w:t>• (TJPR, Apelação 0001209-73.2020.8.16.0004, Rel. Juíza Subst. Luciani de Lourdes Tesseroli Maronezi, 4ª Câmara Cível, j.</w:t>
            </w:r>
          </w:p>
          <w:p>
            <w:pPr>
              <w:spacing w:after="40" w:before="40" w:line="260" w:lineRule="exact"/>
              <w:jc w:val="both"/>
            </w:pPr>
            <w:r>
              <w:rPr>
                <w:rFonts w:ascii="Times New Roman" w:hAnsi="Times New Roman"/>
                <w:sz w:val="18"/>
              </w:rPr>
              <w:t>• Não localizei, na base judicial consultada, precedente específico sobre a nulidade de cláusula editalícia que imponha CCT de sindicato nominado a todas as licitantes; a matéria é recorrente em foro de contas</w:t>
            </w:r>
          </w:p>
          <w:p>
            <w:pPr>
              <w:spacing w:after="40" w:before="40" w:line="260" w:lineRule="exact"/>
              <w:jc w:val="both"/>
            </w:pPr>
            <w:r>
              <w:rPr>
                <w:rFonts w:ascii="Times New Roman" w:hAnsi="Times New Roman"/>
                <w:sz w:val="18"/>
              </w:rPr>
              <w:t>Doutrina: - Carla Tereza Martins Romar, *Direito do Trabalho Esquematizado*, 2ª ed., Saraiva, 2018, p. 961-963: quanto ao espaço geográfico, a aplicação da convenção coletiva é a base territorial de representação dos sindicatos convenentes; "os direitos do empregado são os resultantes da convenção coletiva vi</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Entendimento TCU-Plenário, sessão de 30/09/2020 (Jurisprudência Selecionada 99882) [VIT</w:t>
            </w:r>
          </w:p>
          <w:p>
            <w:pPr>
              <w:spacing w:after="40" w:before="40" w:line="260" w:lineRule="exact"/>
              <w:jc w:val="both"/>
            </w:pPr>
            <w:r>
              <w:rPr>
                <w:rFonts w:ascii="Times New Roman" w:hAnsi="Times New Roman"/>
                <w:sz w:val="18"/>
              </w:rPr>
              <w:t>• Entendimento TCU-Primeira Câmara, sessão de 20/07/2021 (Jurisprudência Selecionada 116633) [VIT</w:t>
            </w:r>
          </w:p>
          <w:p>
            <w:pPr>
              <w:spacing w:after="40" w:before="40" w:line="260" w:lineRule="exact"/>
              <w:jc w:val="both"/>
            </w:pPr>
            <w:r>
              <w:rPr>
                <w:rFonts w:ascii="Times New Roman" w:hAnsi="Times New Roman"/>
                <w:sz w:val="18"/>
              </w:rPr>
              <w:t xml:space="preserve">• Acórdão 1646/2025-TCU-Plenário, Rel. Jorge Oliveira, sessão de 23/07/2025 </w:t>
            </w:r>
            <w:r>
              <w:rPr>
                <w:rFonts w:ascii="Times New Roman" w:hAnsi="Times New Roman"/>
                <w:b/>
                <w:color w:val="CC0000"/>
                <w:sz w:val="18"/>
              </w:rPr>
              <w:t>[VIT]</w:t>
            </w:r>
            <w:r>
              <w:rPr>
                <w:rFonts w:ascii="Times New Roman" w:hAnsi="Times New Roman"/>
                <w:sz w:val="18"/>
              </w:rPr>
            </w:r>
          </w:p>
        </w:tc>
        <w:tc>
          <w:tcPr>
            <w:tcW w:type="dxa" w:w="2163"/>
            <w:shd w:fill="F2F2F2" w:val="clear"/>
          </w:tcPr>
          <w:p>
            <w:pPr>
              <w:spacing w:after="40" w:before="40" w:line="260" w:lineRule="exact"/>
              <w:jc w:val="center"/>
            </w:pPr>
            <w:r/>
            <w:r>
              <w:rPr>
                <w:rFonts w:ascii="Times New Roman" w:hAnsi="Times New Roman"/>
                <w:b w:val="0"/>
                <w:sz w:val="18"/>
              </w:rPr>
              <w:t>Não</w:t>
            </w:r>
          </w:p>
        </w:tc>
        <w:tc>
          <w:tcPr>
            <w:tcW w:type="dxa" w:w="2163"/>
            <w:shd w:fill="F2F2F2" w:val="clear"/>
          </w:tcPr>
          <w:p>
            <w:pPr>
              <w:spacing w:after="40" w:before="40" w:line="260" w:lineRule="exact"/>
              <w:jc w:val="center"/>
            </w:pPr>
            <w:r/>
            <w:r>
              <w:rPr>
                <w:rFonts w:ascii="Times New Roman" w:hAnsi="Times New Roman"/>
                <w:b w:val="0"/>
                <w:sz w:val="18"/>
              </w:rPr>
            </w:r>
          </w:p>
        </w:tc>
      </w:tr>
      <w:tr>
        <w:tc>
          <w:tcPr>
            <w:tcW w:type="dxa" w:w="2163"/>
          </w:tcPr>
          <w:p>
            <w:pPr>
              <w:spacing w:after="40" w:before="40" w:line="260" w:lineRule="exact"/>
              <w:jc w:val="center"/>
            </w:pPr>
            <w:r/>
            <w:r>
              <w:rPr>
                <w:rFonts w:ascii="Times New Roman" w:hAnsi="Times New Roman"/>
                <w:b w:val="0"/>
                <w:sz w:val="18"/>
              </w:rPr>
              <w:t>T7</w:t>
            </w:r>
          </w:p>
        </w:tc>
        <w:tc>
          <w:tcPr>
            <w:tcW w:type="dxa" w:w="2163"/>
          </w:tcPr>
          <w:p>
            <w:pPr>
              <w:spacing w:after="40" w:before="40" w:line="260" w:lineRule="exact"/>
            </w:pPr>
            <w:r/>
            <w:r>
              <w:rPr>
                <w:rFonts w:ascii="Times New Roman" w:hAnsi="Times New Roman"/>
                <w:b w:val="0"/>
                <w:sz w:val="18"/>
              </w:rPr>
              <w:t>Licenciamento ambiental</w:t>
            </w:r>
          </w:p>
        </w:tc>
        <w:tc>
          <w:tcPr>
            <w:tcW w:type="dxa" w:w="2163"/>
          </w:tcPr>
          <w:p>
            <w:pPr>
              <w:spacing w:after="40" w:before="40" w:line="260" w:lineRule="exact"/>
              <w:jc w:val="both"/>
            </w:pPr>
            <w:r/>
            <w:r>
              <w:rPr>
                <w:rFonts w:ascii="Times New Roman" w:hAnsi="Times New Roman"/>
                <w:sz w:val="18"/>
              </w:rPr>
              <w:t>Estação de transbordo</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tcPr>
          <w:p>
            <w:pPr>
              <w:spacing w:after="40" w:before="40" w:line="260" w:lineRule="exact"/>
              <w:jc w:val="both"/>
            </w:pPr>
            <w:r/>
            <w:r>
              <w:rPr>
                <w:rFonts w:ascii="Times New Roman" w:hAnsi="Times New Roman"/>
                <w:sz w:val="18"/>
              </w:rPr>
              <w:t>O edital reaberto estrutura a fase final do contrato (Item 3 — destinação externa) sobre a Estação de Transbordo em construção, mas o conjunto documental que deveria defini-la não define, o licenciamento não a cobre integralmente e as obrigações correlatas não têm disciplina nem remuneração. Sete elos compõem a tese:</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r>
            <w:r>
              <w:rPr>
                <w:rFonts w:ascii="Times New Roman" w:hAnsi="Times New Roman"/>
                <w:b/>
                <w:sz w:val="18"/>
              </w:rPr>
              <w:t>(viii) Promessa de anexação não confirmada.</w:t>
            </w:r>
            <w:r>
              <w:rPr>
                <w:rFonts w:ascii="Times New Roman" w:hAnsi="Times New Roman"/>
                <w:sz w:val="18"/>
              </w:rPr>
              <w:t xml:space="preserve"> A resposta à 4.ª impugnação prometeu: "Será anexado o projeto básico da Estação de Transbordo; Será anexada a Licença de Instalação". O edital reaberto menciona a LI apenas por número e o rol de arquivos do item 15.1 do TR está vazio ("15.1. Compõem ainda o presente Anexo os arquivos abaixo relacionados, em formato PDF." — sem lista subsequente). A divulgação de todos os elementos do edital, incluídos anexos, em sítio eletrônico oficial e na mesma data, é exigência do art. 25, § 3.º, da Lei n.º 14.133/2021; a resposta divulgada a impugnação integra o quadro normativo do certame por força dos princípios da vinculação ao edital, da boa-fé e da segurança jurídica (art. 5.º da Lei n.º 14.133/2021), sendo a sua divulgação obrigatória nos termos do art. 164, parágrafo único (C-263).</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r>
            <w:r>
              <w:rPr>
                <w:rFonts w:ascii="Times New Roman" w:hAnsi="Times New Roman"/>
                <w:b/>
                <w:sz w:val="18"/>
              </w:rPr>
              <w:t>Contra-argumento provável:</w:t>
            </w:r>
            <w:r>
              <w:rPr>
                <w:rFonts w:ascii="Times New Roman" w:hAnsi="Times New Roman"/>
                <w:sz w:val="18"/>
              </w:rPr>
              <w:t xml:space="preserve"> - </w:t>
            </w:r>
            <w:r>
              <w:rPr>
                <w:rFonts w:ascii="Times New Roman" w:hAnsi="Times New Roman"/>
                <w:b/>
                <w:sz w:val="18"/>
              </w:rPr>
              <w:t>"O transbordo é mera faculdade; quem não quiser, faz transporte direto."</w:t>
            </w:r>
            <w:r>
              <w:rPr>
                <w:rFonts w:ascii="Times New Roman" w:hAnsi="Times New Roman"/>
                <w:sz w:val="18"/>
              </w:rPr>
              <w:t xml:space="preserve"> A Administração tenderá a sustentar que os itens 2.5, 5.1.6.4 e 5.4.5 prevalecem e que o 5.5.16 só incide se e quando a contratada optar pela Estação ("quando apta"). Réplica: a leitura harmonizadora não está escrita; o 5.5.16 usa o…</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AN_bloco3.md, T7]</w:t>
            </w:r>
          </w:p>
        </w:tc>
        <w:tc>
          <w:tcPr>
            <w:tcW w:type="dxa" w:w="2163"/>
          </w:tcPr>
          <w:p>
            <w:pPr>
              <w:spacing w:after="40" w:before="40" w:line="260" w:lineRule="exact"/>
              <w:jc w:val="both"/>
            </w:pPr>
            <w:r/>
            <w:r>
              <w:rPr>
                <w:rFonts w:ascii="Times New Roman" w:hAnsi="Times New Roman"/>
                <w:sz w:val="18"/>
              </w:rPr>
              <w:t>• art. 6.º, inciso XXV, alíneas "b" e "c", da Lei n.º 14.133/2021</w:t>
            </w:r>
          </w:p>
          <w:p>
            <w:pPr>
              <w:spacing w:after="40" w:before="40" w:line="260" w:lineRule="exact"/>
              <w:jc w:val="both"/>
            </w:pPr>
            <w:r>
              <w:rPr>
                <w:rFonts w:ascii="Times New Roman" w:hAnsi="Times New Roman"/>
                <w:sz w:val="18"/>
              </w:rPr>
              <w:t>• art. 6.º, inciso XXIII, alíneas "a" e "e", da Lei n.º 14.133/2021</w:t>
            </w:r>
          </w:p>
          <w:p>
            <w:pPr>
              <w:spacing w:after="40" w:before="40" w:line="260" w:lineRule="exact"/>
              <w:jc w:val="both"/>
            </w:pPr>
            <w:r>
              <w:rPr>
                <w:rFonts w:ascii="Times New Roman" w:hAnsi="Times New Roman"/>
                <w:sz w:val="18"/>
              </w:rPr>
              <w:t>• art. 18, caput e inciso II, da Lei n.º 14.133/2021</w:t>
            </w:r>
          </w:p>
          <w:p>
            <w:pPr>
              <w:spacing w:after="40" w:before="40" w:line="260" w:lineRule="exact"/>
              <w:jc w:val="both"/>
            </w:pPr>
            <w:r>
              <w:rPr>
                <w:rFonts w:ascii="Times New Roman" w:hAnsi="Times New Roman"/>
                <w:sz w:val="18"/>
              </w:rPr>
              <w:t>• art. 25, caput e § 3.º, da Lei n.º 14.133/2021</w:t>
            </w:r>
          </w:p>
          <w:p>
            <w:pPr>
              <w:spacing w:after="40" w:before="40" w:line="260" w:lineRule="exact"/>
              <w:jc w:val="both"/>
            </w:pPr>
            <w:r>
              <w:rPr>
                <w:rFonts w:ascii="Times New Roman" w:hAnsi="Times New Roman"/>
                <w:sz w:val="18"/>
              </w:rPr>
              <w:t>• art. 40, § 1.º, inciso I, da Lei n.º 14.133/2021</w:t>
            </w:r>
          </w:p>
          <w:p>
            <w:pPr>
              <w:spacing w:after="40" w:before="40" w:line="260" w:lineRule="exact"/>
              <w:jc w:val="both"/>
            </w:pPr>
            <w:r>
              <w:rPr>
                <w:rFonts w:ascii="Times New Roman" w:hAnsi="Times New Roman"/>
                <w:sz w:val="18"/>
              </w:rPr>
              <w:t>• art. 92, incisos I e V, da Lei n.º 14.133/2021</w:t>
            </w:r>
          </w:p>
          <w:p>
            <w:pPr>
              <w:spacing w:after="40" w:before="40" w:line="260" w:lineRule="exact"/>
              <w:jc w:val="both"/>
            </w:pPr>
            <w:r>
              <w:rPr>
                <w:rFonts w:ascii="Times New Roman" w:hAnsi="Times New Roman"/>
                <w:sz w:val="18"/>
              </w:rPr>
              <w:t>• art. 5.º da Lei n.º 14.133/2021</w:t>
            </w:r>
          </w:p>
          <w:p>
            <w:pPr>
              <w:spacing w:after="40" w:before="40" w:line="260" w:lineRule="exact"/>
              <w:jc w:val="both"/>
            </w:pPr>
            <w:r>
              <w:rPr>
                <w:rFonts w:ascii="Times New Roman" w:hAnsi="Times New Roman"/>
                <w:sz w:val="18"/>
              </w:rPr>
              <w:t>• art. 164, parágrafo único, da Lei n.º 14.133/2021</w:t>
            </w:r>
          </w:p>
          <w:p>
            <w:pPr>
              <w:spacing w:after="40" w:before="40" w:line="260" w:lineRule="exact"/>
              <w:jc w:val="both"/>
            </w:pPr>
            <w:r>
              <w:rPr>
                <w:rFonts w:ascii="Times New Roman" w:hAnsi="Times New Roman"/>
                <w:sz w:val="18"/>
              </w:rPr>
              <w:t>• art. 10 da Lei n.º 6.938/1981, na redação da LC n.º 140/2011</w:t>
            </w:r>
          </w:p>
          <w:p>
            <w:pPr>
              <w:spacing w:after="40" w:before="40" w:line="260" w:lineRule="exact"/>
              <w:jc w:val="both"/>
            </w:pPr>
            <w:r>
              <w:rPr>
                <w:rFonts w:ascii="Times New Roman" w:hAnsi="Times New Roman"/>
                <w:sz w:val="18"/>
              </w:rPr>
              <w:t>• art. 2.º, caput e § 1.º, e art. 8.º, incisos I e II, da Resolução CONAMA n.º 237/1997 [verificar redação]</w:t>
            </w:r>
          </w:p>
          <w:p>
            <w:pPr>
              <w:spacing w:after="40" w:before="40" w:line="260" w:lineRule="exact"/>
              <w:jc w:val="both"/>
            </w:pPr>
            <w:r>
              <w:rPr>
                <w:rFonts w:ascii="Times New Roman" w:hAnsi="Times New Roman"/>
                <w:sz w:val="18"/>
              </w:rPr>
              <w:t>• art. 60 da Lei n.º 9.605/1998, com a redação da Lei n.º 15.190/2025</w:t>
            </w:r>
          </w:p>
          <w:p>
            <w:pPr>
              <w:spacing w:after="40" w:before="40" w:line="260" w:lineRule="exact"/>
              <w:jc w:val="both"/>
            </w:pPr>
            <w:r>
              <w:rPr>
                <w:rFonts w:ascii="Times New Roman" w:hAnsi="Times New Roman"/>
                <w:sz w:val="18"/>
              </w:rPr>
              <w:t>• (TJPR, Processo n.º 0000709-18.2023.8.16.0128, Rel. Giovana Ehlers Fabro Esmanhotto, 4.ª Turma Recursal, publ. 29/03/2025) `</w:t>
            </w:r>
            <w:r>
              <w:rPr>
                <w:rFonts w:ascii="Times New Roman" w:hAnsi="Times New Roman"/>
                <w:b/>
                <w:color w:val="CC0000"/>
                <w:sz w:val="18"/>
              </w:rPr>
              <w:t>[VIT]</w:t>
            </w:r>
            <w:r>
              <w:rPr>
                <w:rFonts w:ascii="Times New Roman" w:hAnsi="Times New Roman"/>
                <w:sz w:val="18"/>
              </w:rPr>
              <w:t>`</w:t>
            </w:r>
          </w:p>
          <w:p>
            <w:pPr>
              <w:spacing w:after="40" w:before="40" w:line="260" w:lineRule="exact"/>
              <w:jc w:val="both"/>
            </w:pPr>
            <w:r>
              <w:rPr>
                <w:rFonts w:ascii="Times New Roman" w:hAnsi="Times New Roman"/>
                <w:sz w:val="18"/>
              </w:rPr>
              <w:t xml:space="preserve">• Sobre a deficiência do projeto básico como vício do certame, </w:t>
            </w:r>
            <w:r>
              <w:rPr>
                <w:rFonts w:ascii="Times New Roman" w:hAnsi="Times New Roman"/>
                <w:b/>
                <w:sz w:val="18"/>
              </w:rPr>
              <w:t>não localizei precedente judicial específico para esta tese</w:t>
            </w:r>
            <w:r>
              <w:rPr>
                <w:rFonts w:ascii="Times New Roman" w:hAnsi="Times New Roman"/>
                <w:sz w:val="18"/>
              </w:rPr>
              <w:t xml:space="preserve"> na base consultada</w:t>
            </w:r>
          </w:p>
          <w:p>
            <w:pPr>
              <w:spacing w:after="40" w:before="40" w:line="260" w:lineRule="exact"/>
              <w:jc w:val="both"/>
            </w:pPr>
            <w:r>
              <w:rPr>
                <w:rFonts w:ascii="Times New Roman" w:hAnsi="Times New Roman"/>
                <w:sz w:val="18"/>
              </w:rPr>
              <w:t xml:space="preserve">Doutrina: - HELY LOPES MEIRELLES. *Direito Administrativo Brasileiro*. 23.ª ed. Malheiros, p. 136-137: "Licitação sem caracterização de seu objeto é nula, porque dificulta a apresentação das propostas e compromete a lisura do julgamento e a execução do contrato subsequente"; a definição do objeto "é condição </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xml:space="preserve">• Acórdão 2158/2015-TCU-Plenário, Rel. Marcos Bemquerer, sessão de 26/08/2015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63/2024-TCU-Plenário, Rel. Vital do Rêgo, sessão de 24/01/2024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872/2016-TCU-Plenário, Rel. Marcos Bemquerer, sessão de 13/04/2016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2504/2010-TCU-Plenário, Rel. Marcos Bemquerer, sessão de 22/09/2010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3062/2011-TCU-Plenário, Rel. Valmir Campelo, sessão de 23/11/2011 </w:t>
            </w:r>
            <w:r>
              <w:rPr>
                <w:rFonts w:ascii="Times New Roman" w:hAnsi="Times New Roman"/>
                <w:b/>
                <w:color w:val="CC0000"/>
                <w:sz w:val="18"/>
              </w:rPr>
              <w:t>[VIT]</w:t>
            </w:r>
            <w:r>
              <w:rPr>
                <w:rFonts w:ascii="Times New Roman" w:hAnsi="Times New Roman"/>
                <w:sz w:val="18"/>
              </w:rPr>
            </w:r>
          </w:p>
        </w:tc>
        <w:tc>
          <w:tcPr>
            <w:tcW w:type="dxa" w:w="2163"/>
          </w:tcPr>
          <w:p>
            <w:pPr>
              <w:spacing w:after="40" w:before="40" w:line="260" w:lineRule="exact"/>
              <w:jc w:val="center"/>
            </w:pPr>
            <w:r/>
            <w:r>
              <w:rPr>
                <w:rFonts w:ascii="Times New Roman" w:hAnsi="Times New Roman"/>
                <w:b w:val="0"/>
                <w:sz w:val="18"/>
              </w:rPr>
              <w:t>Sim</w:t>
            </w:r>
          </w:p>
        </w:tc>
        <w:tc>
          <w:tcPr>
            <w:tcW w:type="dxa" w:w="2163"/>
          </w:tcPr>
          <w:p>
            <w:pPr>
              <w:spacing w:after="40" w:before="40" w:line="260" w:lineRule="exact"/>
              <w:jc w:val="center"/>
            </w:pPr>
            <w:r/>
            <w:r>
              <w:rPr>
                <w:rFonts w:ascii="Times New Roman" w:hAnsi="Times New Roman"/>
                <w:b w:val="0"/>
                <w:sz w:val="18"/>
              </w:rPr>
              <w:t>IMPUGNACAO</w:t>
              <w:br/>
              <w:t>(Administração)</w:t>
            </w:r>
          </w:p>
        </w:tc>
      </w:tr>
      <w:tr>
        <w:tc>
          <w:tcPr>
            <w:tcW w:type="dxa" w:w="2163"/>
            <w:shd w:fill="F2F2F2" w:val="clear"/>
          </w:tcPr>
          <w:p>
            <w:pPr>
              <w:spacing w:after="40" w:before="40" w:line="260" w:lineRule="exact"/>
              <w:jc w:val="center"/>
            </w:pPr>
            <w:r/>
            <w:r>
              <w:rPr>
                <w:rFonts w:ascii="Times New Roman" w:hAnsi="Times New Roman"/>
                <w:b w:val="0"/>
                <w:sz w:val="18"/>
              </w:rPr>
              <w:t>T8</w:t>
            </w:r>
          </w:p>
        </w:tc>
        <w:tc>
          <w:tcPr>
            <w:tcW w:type="dxa" w:w="2163"/>
            <w:shd w:fill="F2F2F2" w:val="clear"/>
          </w:tcPr>
          <w:p>
            <w:pPr>
              <w:spacing w:after="40" w:before="40" w:line="260" w:lineRule="exact"/>
            </w:pPr>
            <w:r/>
            <w:r>
              <w:rPr>
                <w:rFonts w:ascii="Times New Roman" w:hAnsi="Times New Roman"/>
                <w:b w:val="0"/>
                <w:sz w:val="18"/>
              </w:rPr>
              <w:t>Objeto e escopo</w:t>
            </w:r>
          </w:p>
        </w:tc>
        <w:tc>
          <w:tcPr>
            <w:tcW w:type="dxa" w:w="2163"/>
            <w:shd w:fill="F2F2F2" w:val="clear"/>
          </w:tcPr>
          <w:p>
            <w:pPr>
              <w:spacing w:after="40" w:before="40" w:line="260" w:lineRule="exact"/>
              <w:jc w:val="both"/>
            </w:pPr>
            <w:r/>
            <w:r>
              <w:rPr>
                <w:rFonts w:ascii="Times New Roman" w:hAnsi="Times New Roman"/>
                <w:sz w:val="18"/>
              </w:rPr>
              <w:t>Dimensionamento operacional inconsistente</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shd w:fill="F2F2F2" w:val="clear"/>
          </w:tcPr>
          <w:p>
            <w:pPr>
              <w:spacing w:after="40" w:before="40" w:line="260" w:lineRule="exact"/>
              <w:jc w:val="both"/>
            </w:pPr>
            <w:r/>
            <w:r>
              <w:rPr>
                <w:rFonts w:ascii="Times New Roman" w:hAnsi="Times New Roman"/>
                <w:sz w:val="18"/>
              </w:rPr>
              <w:t>A premissa normativa é una: a fase preparatória deve definir o objeto e as condições de execução com precisão suficiente para que as propostas sejam formuladas sobre a mesma base objetiva (arts. 6.º, inciso XXIII, alíneas "a", "e" e "g", 18, caput e § 1.º, incisos IV e VI, 25, caput, e 40, caput, incisos III e V, da Lei n.º 14.133/2021), e o contrato deve estipular obrigações compatíveis entre si (art. 92, incisos I e XIV). O TR reaberto descumpre essa premissa em seis frentes que, somadas, impedem a estimativa objetiva dos custos do Lote 1:</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r>
            <w:r>
              <w:rPr>
                <w:rFonts w:ascii="Times New Roman" w:hAnsi="Times New Roman"/>
                <w:b/>
                <w:sz w:val="18"/>
              </w:rPr>
              <w:t>Conclusão.</w:t>
            </w:r>
            <w:r>
              <w:rPr>
                <w:rFonts w:ascii="Times New Roman" w:hAnsi="Times New Roman"/>
                <w:sz w:val="18"/>
              </w:rPr>
              <w:t xml:space="preserve"> Cada lacuna, isoladamente, obrigaria o licitante a arbitrar premissas; o conjunto — intervalos sancionados inconciliáveis com o calendário, janela de descarga incompatível com a rota, centro de custo do Item 2 sem equipamentos definidos, cenário logístico alternativo sem dimensionamento, itinerários contraditórios e quilometragem relevante não estimada — retira das propostas a base comum de comparação exigida pelos arts. 6.º, XXIII, 18, § 1.º, e 25, caput, da Lei n.º 14.133/2021, transferindo à precificação um risco não mensurável que onera a proposta prudente e favorece o lance temerário.</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r>
            <w:r>
              <w:rPr>
                <w:rFonts w:ascii="Times New Roman" w:hAnsi="Times New Roman"/>
                <w:b/>
                <w:sz w:val="18"/>
              </w:rPr>
              <w:t>Contra-argumento provável:</w:t>
            </w:r>
            <w:r>
              <w:rPr>
                <w:rFonts w:ascii="Times New Roman" w:hAnsi="Times New Roman"/>
                <w:sz w:val="18"/>
              </w:rPr>
              <w:t xml:space="preserve"> - </w:t>
            </w:r>
            <w:r>
              <w:rPr>
                <w:rFonts w:ascii="Times New Roman" w:hAnsi="Times New Roman"/>
                <w:b/>
                <w:sz w:val="18"/>
              </w:rPr>
              <w:t>"O intervalo de 48h é regra geral e o plano alternado é regra especial; não há conflito."</w:t>
            </w:r>
            <w:r>
              <w:rPr>
                <w:rFonts w:ascii="Times New Roman" w:hAnsi="Times New Roman"/>
                <w:sz w:val="18"/>
              </w:rPr>
              <w:t xml:space="preserve"> Defesa provável: a vedação de 48h aplicar-se-ia apenas a atrasos em relação ao calendário. Réplica: o texto não faz a ressalva; o KPI comina glosa + multa por "dia de atraso" sem excepcionar os intervalos…</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AN_bloco3.md, T8]</w:t>
            </w:r>
          </w:p>
        </w:tc>
        <w:tc>
          <w:tcPr>
            <w:tcW w:type="dxa" w:w="2163"/>
            <w:shd w:fill="F2F2F2" w:val="clear"/>
          </w:tcPr>
          <w:p>
            <w:pPr>
              <w:spacing w:after="40" w:before="40" w:line="260" w:lineRule="exact"/>
              <w:jc w:val="both"/>
            </w:pPr>
            <w:r/>
            <w:r>
              <w:rPr>
                <w:rFonts w:ascii="Times New Roman" w:hAnsi="Times New Roman"/>
                <w:sz w:val="18"/>
              </w:rPr>
              <w:t>• art. 6.º, inciso XXIII, alíneas "a", "e" e "g", da Lei n.º 14.133/2021</w:t>
            </w:r>
          </w:p>
          <w:p>
            <w:pPr>
              <w:spacing w:after="40" w:before="40" w:line="260" w:lineRule="exact"/>
              <w:jc w:val="both"/>
            </w:pPr>
            <w:r>
              <w:rPr>
                <w:rFonts w:ascii="Times New Roman" w:hAnsi="Times New Roman"/>
                <w:sz w:val="18"/>
              </w:rPr>
              <w:t>• art. 18, caput e § 1.º, incisos IV e VI, da Lei n.º 14.133/2021</w:t>
            </w:r>
          </w:p>
          <w:p>
            <w:pPr>
              <w:spacing w:after="40" w:before="40" w:line="260" w:lineRule="exact"/>
              <w:jc w:val="both"/>
            </w:pPr>
            <w:r>
              <w:rPr>
                <w:rFonts w:ascii="Times New Roman" w:hAnsi="Times New Roman"/>
                <w:sz w:val="18"/>
              </w:rPr>
              <w:t>• art. 25, caput, da Lei n.º 14.133/2021</w:t>
            </w:r>
          </w:p>
          <w:p>
            <w:pPr>
              <w:spacing w:after="40" w:before="40" w:line="260" w:lineRule="exact"/>
              <w:jc w:val="both"/>
            </w:pPr>
            <w:r>
              <w:rPr>
                <w:rFonts w:ascii="Times New Roman" w:hAnsi="Times New Roman"/>
                <w:sz w:val="18"/>
              </w:rPr>
              <w:t>• art. 40, caput, incisos III e V, alínea "a", e § 1.º, inciso I, da Lei n.º 14.133/2021</w:t>
            </w:r>
          </w:p>
          <w:p>
            <w:pPr>
              <w:spacing w:after="40" w:before="40" w:line="260" w:lineRule="exact"/>
              <w:jc w:val="both"/>
            </w:pPr>
            <w:r>
              <w:rPr>
                <w:rFonts w:ascii="Times New Roman" w:hAnsi="Times New Roman"/>
                <w:sz w:val="18"/>
              </w:rPr>
              <w:t>• art. 92, incisos I, IV, VI e XIV, da Lei n.º 14.133/2021</w:t>
            </w:r>
          </w:p>
          <w:p>
            <w:pPr>
              <w:spacing w:after="40" w:before="40" w:line="260" w:lineRule="exact"/>
              <w:jc w:val="both"/>
            </w:pPr>
            <w:r>
              <w:rPr>
                <w:rFonts w:ascii="Times New Roman" w:hAnsi="Times New Roman"/>
                <w:sz w:val="18"/>
              </w:rPr>
              <w:t>• art. 5.º da Lei n.º 14.133/2021</w:t>
            </w:r>
          </w:p>
          <w:p>
            <w:pPr>
              <w:spacing w:after="40" w:before="40" w:line="260" w:lineRule="exact"/>
              <w:jc w:val="both"/>
            </w:pPr>
            <w:r>
              <w:rPr>
                <w:rFonts w:ascii="Times New Roman" w:hAnsi="Times New Roman"/>
                <w:sz w:val="18"/>
              </w:rPr>
              <w:t>• art. 73 da CLT</w:t>
            </w:r>
          </w:p>
          <w:p>
            <w:pPr>
              <w:spacing w:after="40" w:before="40" w:line="260" w:lineRule="exact"/>
              <w:jc w:val="both"/>
            </w:pPr>
            <w:r>
              <w:rPr>
                <w:rFonts w:ascii="Times New Roman" w:hAnsi="Times New Roman"/>
                <w:sz w:val="18"/>
              </w:rPr>
              <w:t xml:space="preserve">• </w:t>
            </w:r>
            <w:r>
              <w:rPr>
                <w:rFonts w:ascii="Times New Roman" w:hAnsi="Times New Roman"/>
                <w:b/>
                <w:sz w:val="18"/>
              </w:rPr>
              <w:t>Não localizei precedente judicial específico para esta tese</w:t>
            </w:r>
            <w:r>
              <w:rPr>
                <w:rFonts w:ascii="Times New Roman" w:hAnsi="Times New Roman"/>
                <w:sz w:val="18"/>
              </w:rPr>
            </w:r>
          </w:p>
          <w:p>
            <w:pPr>
              <w:spacing w:after="40" w:before="40" w:line="260" w:lineRule="exact"/>
              <w:jc w:val="both"/>
            </w:pPr>
            <w:r>
              <w:rPr>
                <w:rFonts w:ascii="Times New Roman" w:hAnsi="Times New Roman"/>
                <w:sz w:val="18"/>
              </w:rPr>
              <w:t>Doutrina: - HELY LOPES MEIRELLES. *Direito Administrativo Brasileiro*. 23.ª ed. Malheiros, p. 136-137: nulidade da licitação sem caracterização do objeto, por dificultar a apresentação das propostas e comprometer a lisura do julgamento; p. 144: prazos e condições de execução "devem ser estabelecidos com clare</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xml:space="preserve">• Acórdão 2600/2015-TCU-Plenário, Rel. Vital do Rêgo, sessão de 21/10/2015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2504/2010-TCU-Plenário, Rel. Marcos Bemquerer, sessão de 22/09/2010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Acórdão TCE-SP, sessão de 08/08/2014, TC-3706/989/14 [VIT</w:t>
            </w:r>
          </w:p>
        </w:tc>
        <w:tc>
          <w:tcPr>
            <w:tcW w:type="dxa" w:w="2163"/>
            <w:shd w:fill="F2F2F2" w:val="clear"/>
          </w:tcPr>
          <w:p>
            <w:pPr>
              <w:spacing w:after="40" w:before="40" w:line="260" w:lineRule="exact"/>
              <w:jc w:val="center"/>
            </w:pPr>
            <w:r/>
            <w:r>
              <w:rPr>
                <w:rFonts w:ascii="Times New Roman" w:hAnsi="Times New Roman"/>
                <w:b w:val="0"/>
                <w:sz w:val="18"/>
              </w:rPr>
              <w:t>Sim</w:t>
            </w:r>
          </w:p>
        </w:tc>
        <w:tc>
          <w:tcPr>
            <w:tcW w:type="dxa" w:w="2163"/>
            <w:shd w:fill="F2F2F2" w:val="clear"/>
          </w:tcPr>
          <w:p>
            <w:pPr>
              <w:spacing w:after="40" w:before="40" w:line="260" w:lineRule="exact"/>
              <w:jc w:val="center"/>
            </w:pPr>
            <w:r/>
            <w:r>
              <w:rPr>
                <w:rFonts w:ascii="Times New Roman" w:hAnsi="Times New Roman"/>
                <w:b w:val="0"/>
                <w:sz w:val="18"/>
              </w:rPr>
              <w:t>ESCLARECIMENTO dirigido como canal principal</w:t>
              <w:br/>
              <w:t>(ADMINISTRACAO **[PENDENTE: busca TCU/TCE via Lei na Mão antes do protocolo)</w:t>
            </w:r>
          </w:p>
        </w:tc>
      </w:tr>
      <w:tr>
        <w:tc>
          <w:tcPr>
            <w:tcW w:type="dxa" w:w="2163"/>
          </w:tcPr>
          <w:p>
            <w:pPr>
              <w:spacing w:after="40" w:before="40" w:line="260" w:lineRule="exact"/>
              <w:jc w:val="center"/>
            </w:pPr>
            <w:r/>
            <w:r>
              <w:rPr>
                <w:rFonts w:ascii="Times New Roman" w:hAnsi="Times New Roman"/>
                <w:b w:val="0"/>
                <w:sz w:val="18"/>
              </w:rPr>
              <w:t>T9</w:t>
            </w:r>
          </w:p>
        </w:tc>
        <w:tc>
          <w:tcPr>
            <w:tcW w:type="dxa" w:w="2163"/>
          </w:tcPr>
          <w:p>
            <w:pPr>
              <w:spacing w:after="40" w:before="40" w:line="260" w:lineRule="exact"/>
            </w:pPr>
            <w:r/>
            <w:r>
              <w:rPr>
                <w:rFonts w:ascii="Times New Roman" w:hAnsi="Times New Roman"/>
                <w:b w:val="0"/>
                <w:sz w:val="18"/>
              </w:rPr>
              <w:t>Objeto e escopo</w:t>
            </w:r>
          </w:p>
        </w:tc>
        <w:tc>
          <w:tcPr>
            <w:tcW w:type="dxa" w:w="2163"/>
          </w:tcPr>
          <w:p>
            <w:pPr>
              <w:spacing w:after="40" w:before="40" w:line="260" w:lineRule="exact"/>
              <w:jc w:val="both"/>
            </w:pPr>
            <w:r/>
            <w:r>
              <w:rPr>
                <w:rFonts w:ascii="Times New Roman" w:hAnsi="Times New Roman"/>
                <w:sz w:val="18"/>
              </w:rPr>
              <w:t>Aterro municipal</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tcPr>
          <w:p>
            <w:pPr>
              <w:spacing w:after="40" w:before="40" w:line="260" w:lineRule="exact"/>
              <w:jc w:val="both"/>
            </w:pPr>
            <w:r/>
            <w:r>
              <w:rPr>
                <w:rFonts w:ascii="Times New Roman" w:hAnsi="Times New Roman"/>
                <w:sz w:val="18"/>
              </w:rPr>
            </w:r>
            <w:r>
              <w:rPr>
                <w:rFonts w:ascii="Times New Roman" w:hAnsi="Times New Roman"/>
                <w:b/>
                <w:sz w:val="18"/>
              </w:rPr>
              <w:t>(i) Dados essenciais retidos — segunda promessa descumprida.</w:t>
            </w:r>
            <w:r>
              <w:rPr>
                <w:rFonts w:ascii="Times New Roman" w:hAnsi="Times New Roman"/>
                <w:sz w:val="18"/>
              </w:rPr>
              <w:t xml:space="preserve"> Premissa normativa: todos os elementos do edital, "incluídos minuta de contrato, termos de referência, anteprojeto, projetos e outros anexos", devem ser divulgados em sítio eletrônico oficial na mesma data do edital, sem registro para acesso (art. 25, § 3.º, da Lei n.º 14.133/2021); as estimativas de quantidades e de valor devem vir "acompanhadas das memórias de cálculo e dos documentos que lhes dão suporte" (art. 18, § 1.º, incisos IV e VI — elementos obrigatórios do ETP, § 2.º); e a licitação se rege pela publicidade, transparência e isonomia (art. 5.º da Lei n.º 14.133/2021; art. 37, caput, e art. 5.º, inciso XXXIII, da CF/1988; Lei n.º 12.527/2011 — transparência ativa e passiva, arts. 7.º e 8.º [verificar redação]). O fato: para licitar a "operação integral do Aterro Sanitário" (5.5.16) e a precificação da transição Item 2→Item 3, os licitantes precisam de levantamento topográfico, capacidade volumétrica remanescente da Vala 05, relatórios de monitoramento, condicionantes ativas e histórico de pesagens. Nada disso foi anexado. Na resposta à 6.ª impugnação a Administração prometeu: "serão disponibilizados os documentos técnicos objetivos de que dispõe a Administração, notadamente a Licença de Operação CETESB e condicionantes, o histórico de pesagens, os dados de geração de chorume". O edital reaberto entregou apenas dois dados pontuais inseridos no corpo do TR: vida útil da Vala 05 "estimada para o primeiro…</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AN_bloco3.md, T9]</w:t>
            </w:r>
          </w:p>
        </w:tc>
        <w:tc>
          <w:tcPr>
            <w:tcW w:type="dxa" w:w="2163"/>
          </w:tcPr>
          <w:p>
            <w:pPr>
              <w:spacing w:after="40" w:before="40" w:line="260" w:lineRule="exact"/>
              <w:jc w:val="both"/>
            </w:pPr>
            <w:r/>
            <w:r>
              <w:rPr>
                <w:rFonts w:ascii="Times New Roman" w:hAnsi="Times New Roman"/>
                <w:sz w:val="18"/>
              </w:rPr>
              <w:t>• art. 25, § 3.º, da Lei n.º 14.133/2021</w:t>
            </w:r>
          </w:p>
          <w:p>
            <w:pPr>
              <w:spacing w:after="40" w:before="40" w:line="260" w:lineRule="exact"/>
              <w:jc w:val="both"/>
            </w:pPr>
            <w:r>
              <w:rPr>
                <w:rFonts w:ascii="Times New Roman" w:hAnsi="Times New Roman"/>
                <w:sz w:val="18"/>
              </w:rPr>
              <w:t>• art. 18, caput e § 1.º, incisos IV, VI, VII e XII, c/c § 2.º, da Lei n.º 14.133/2021</w:t>
            </w:r>
          </w:p>
          <w:p>
            <w:pPr>
              <w:spacing w:after="40" w:before="40" w:line="260" w:lineRule="exact"/>
              <w:jc w:val="both"/>
            </w:pPr>
            <w:r>
              <w:rPr>
                <w:rFonts w:ascii="Times New Roman" w:hAnsi="Times New Roman"/>
                <w:sz w:val="18"/>
              </w:rPr>
              <w:t>• art. 6.º, inciso XXIII, alíneas "a" e "i", da Lei n.º 14.133/2021</w:t>
            </w:r>
          </w:p>
          <w:p>
            <w:pPr>
              <w:spacing w:after="40" w:before="40" w:line="260" w:lineRule="exact"/>
              <w:jc w:val="both"/>
            </w:pPr>
            <w:r>
              <w:rPr>
                <w:rFonts w:ascii="Times New Roman" w:hAnsi="Times New Roman"/>
                <w:sz w:val="18"/>
              </w:rPr>
              <w:t>• art. 5.º da Lei n.º 14.133/2021</w:t>
            </w:r>
          </w:p>
          <w:p>
            <w:pPr>
              <w:spacing w:after="40" w:before="40" w:line="260" w:lineRule="exact"/>
              <w:jc w:val="both"/>
            </w:pPr>
            <w:r>
              <w:rPr>
                <w:rFonts w:ascii="Times New Roman" w:hAnsi="Times New Roman"/>
                <w:sz w:val="18"/>
              </w:rPr>
              <w:t>• art. 164, caput e parágrafo único, da Lei n.º 14.133/2021</w:t>
            </w:r>
          </w:p>
          <w:p>
            <w:pPr>
              <w:spacing w:after="40" w:before="40" w:line="260" w:lineRule="exact"/>
              <w:jc w:val="both"/>
            </w:pPr>
            <w:r>
              <w:rPr>
                <w:rFonts w:ascii="Times New Roman" w:hAnsi="Times New Roman"/>
                <w:sz w:val="18"/>
              </w:rPr>
              <w:t>• art. 92, incisos I e XIV, da Lei n.º 14.133/2021</w:t>
            </w:r>
          </w:p>
          <w:p>
            <w:pPr>
              <w:spacing w:after="40" w:before="40" w:line="260" w:lineRule="exact"/>
              <w:jc w:val="both"/>
            </w:pPr>
            <w:r>
              <w:rPr>
                <w:rFonts w:ascii="Times New Roman" w:hAnsi="Times New Roman"/>
                <w:sz w:val="18"/>
              </w:rPr>
              <w:t>• art. 5.º, inciso XXXIII, e art. 37, caput, da CF/1988</w:t>
            </w:r>
          </w:p>
          <w:p>
            <w:pPr>
              <w:spacing w:after="40" w:before="40" w:line="260" w:lineRule="exact"/>
              <w:jc w:val="both"/>
            </w:pPr>
            <w:r>
              <w:rPr>
                <w:rFonts w:ascii="Times New Roman" w:hAnsi="Times New Roman"/>
                <w:sz w:val="18"/>
              </w:rPr>
              <w:t>• Lei n.º 12.527/2011, arts. 7.º e 8.º</w:t>
            </w:r>
          </w:p>
          <w:p>
            <w:pPr>
              <w:spacing w:after="40" w:before="40" w:line="260" w:lineRule="exact"/>
              <w:jc w:val="both"/>
            </w:pPr>
            <w:r>
              <w:rPr>
                <w:rFonts w:ascii="Times New Roman" w:hAnsi="Times New Roman"/>
                <w:sz w:val="18"/>
              </w:rPr>
              <w:t>• art. 10 da Lei n.º 6.938/1981, na redação da LC n.º 140/2011</w:t>
            </w:r>
          </w:p>
          <w:p>
            <w:pPr>
              <w:spacing w:after="40" w:before="40" w:line="260" w:lineRule="exact"/>
              <w:jc w:val="both"/>
            </w:pPr>
            <w:r>
              <w:rPr>
                <w:rFonts w:ascii="Times New Roman" w:hAnsi="Times New Roman"/>
                <w:sz w:val="18"/>
              </w:rPr>
              <w:t>• art. 60 da Lei n.º 9.605/1998, com a redação da Lei n.º 15.190/2025</w:t>
            </w:r>
          </w:p>
          <w:p>
            <w:pPr>
              <w:spacing w:after="40" w:before="40" w:line="260" w:lineRule="exact"/>
              <w:jc w:val="both"/>
            </w:pPr>
            <w:r>
              <w:rPr>
                <w:rFonts w:ascii="Times New Roman" w:hAnsi="Times New Roman"/>
                <w:sz w:val="18"/>
              </w:rPr>
              <w:t>• Resolução CONAMA n.º 237/1997 e Resolução CONAMA n.º 499/2020</w:t>
            </w:r>
          </w:p>
          <w:p>
            <w:pPr>
              <w:spacing w:after="40" w:before="40" w:line="260" w:lineRule="exact"/>
              <w:jc w:val="both"/>
            </w:pPr>
            <w:r>
              <w:rPr>
                <w:rFonts w:ascii="Times New Roman" w:hAnsi="Times New Roman"/>
                <w:sz w:val="18"/>
              </w:rPr>
              <w:t>• (TJSP, Processo n.º 1002566-86.2023.8.26.0360, Rel. Ana Liarte, 4.ª Câmara de Direito Público, j. 02/04/2025, publ. 02/04/2025) `</w:t>
            </w:r>
            <w:r>
              <w:rPr>
                <w:rFonts w:ascii="Times New Roman" w:hAnsi="Times New Roman"/>
                <w:b/>
                <w:color w:val="CC0000"/>
                <w:sz w:val="18"/>
              </w:rPr>
              <w:t>[VIT]</w:t>
            </w:r>
            <w:r>
              <w:rPr>
                <w:rFonts w:ascii="Times New Roman" w:hAnsi="Times New Roman"/>
                <w:sz w:val="18"/>
              </w:rPr>
              <w:t>`</w:t>
            </w:r>
          </w:p>
          <w:p>
            <w:pPr>
              <w:spacing w:after="40" w:before="40" w:line="260" w:lineRule="exact"/>
              <w:jc w:val="both"/>
            </w:pPr>
            <w:r>
              <w:rPr>
                <w:rFonts w:ascii="Times New Roman" w:hAnsi="Times New Roman"/>
                <w:sz w:val="18"/>
              </w:rPr>
              <w:t>• (TJPR, Processo n.º 0040136-88.2024.8.16.0030, Rel. Ramon de Medeiros Nogueira, 5.ª Câmara Cível, publ. 24/04/2025) `</w:t>
            </w:r>
            <w:r>
              <w:rPr>
                <w:rFonts w:ascii="Times New Roman" w:hAnsi="Times New Roman"/>
                <w:b/>
                <w:color w:val="CC0000"/>
                <w:sz w:val="18"/>
              </w:rPr>
              <w:t>[VIT]</w:t>
            </w:r>
            <w:r>
              <w:rPr>
                <w:rFonts w:ascii="Times New Roman" w:hAnsi="Times New Roman"/>
                <w:sz w:val="18"/>
              </w:rPr>
              <w:t>`</w:t>
            </w:r>
          </w:p>
          <w:p>
            <w:pPr>
              <w:spacing w:after="40" w:before="40" w:line="260" w:lineRule="exact"/>
              <w:jc w:val="both"/>
            </w:pPr>
            <w:r>
              <w:rPr>
                <w:rFonts w:ascii="Times New Roman" w:hAnsi="Times New Roman"/>
                <w:sz w:val="18"/>
              </w:rPr>
              <w:t xml:space="preserve">• </w:t>
            </w:r>
            <w:r>
              <w:rPr>
                <w:rFonts w:ascii="Times New Roman" w:hAnsi="Times New Roman"/>
                <w:b/>
                <w:sz w:val="18"/>
              </w:rPr>
              <w:t>[PENDENTE: busca TCU/TCE via Lei na Mão antes do protocolo</w:t>
            </w:r>
            <w:r>
              <w:rPr>
                <w:rFonts w:ascii="Times New Roman" w:hAnsi="Times New Roman"/>
                <w:sz w:val="18"/>
              </w:rPr>
            </w:r>
          </w:p>
          <w:p>
            <w:pPr>
              <w:spacing w:after="40" w:before="40" w:line="260" w:lineRule="exact"/>
              <w:jc w:val="both"/>
            </w:pPr>
            <w:r>
              <w:rPr>
                <w:rFonts w:ascii="Times New Roman" w:hAnsi="Times New Roman"/>
                <w:sz w:val="18"/>
              </w:rPr>
              <w:t xml:space="preserve">Doutrina: - HELY LOPES MEIRELLES. *Direito Administrativo Brasileiro*. 23.ª ed. Malheiros, p. 144: o edital completo e seus elementos definidores (projetos, memoriais, especificações, planilhas) devem ser fornecidos aos interessados, "não podendo ser dificultados ou </w:t>
            </w:r>
            <w:r>
              <w:rPr>
                <w:rFonts w:ascii="Times New Roman" w:hAnsi="Times New Roman"/>
                <w:b/>
                <w:sz w:val="18"/>
              </w:rPr>
              <w:t>sonegados</w:t>
            </w:r>
            <w:r>
              <w:rPr>
                <w:rFonts w:ascii="Times New Roman" w:hAnsi="Times New Roman"/>
                <w:sz w:val="18"/>
              </w:rPr>
              <w:t xml:space="preserve"> a nenhum interessado"; p. 136</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Acórdão 14077/2023-TCU-Primeira Câmara, Rel. Weder de Oliveira, sessão de 05/12/2023 [VIT</w:t>
            </w:r>
          </w:p>
          <w:p>
            <w:pPr>
              <w:spacing w:after="40" w:before="40" w:line="260" w:lineRule="exact"/>
              <w:jc w:val="both"/>
            </w:pPr>
            <w:r>
              <w:rPr>
                <w:rFonts w:ascii="Times New Roman" w:hAnsi="Times New Roman"/>
                <w:sz w:val="18"/>
              </w:rPr>
              <w:t>• Entendimento TCU-Plenário, sessão de 26/03/2014 (Jurisprudência Selecionada 20537) [VIT</w:t>
            </w:r>
          </w:p>
        </w:tc>
        <w:tc>
          <w:tcPr>
            <w:tcW w:type="dxa" w:w="2163"/>
          </w:tcPr>
          <w:p>
            <w:pPr>
              <w:spacing w:after="40" w:before="40" w:line="260" w:lineRule="exact"/>
              <w:jc w:val="center"/>
            </w:pPr>
            <w:r/>
            <w:r>
              <w:rPr>
                <w:rFonts w:ascii="Times New Roman" w:hAnsi="Times New Roman"/>
                <w:b w:val="0"/>
                <w:sz w:val="18"/>
              </w:rPr>
              <w:t>Sim</w:t>
            </w:r>
          </w:p>
        </w:tc>
        <w:tc>
          <w:tcPr>
            <w:tcW w:type="dxa" w:w="2163"/>
          </w:tcPr>
          <w:p>
            <w:pPr>
              <w:spacing w:after="40" w:before="40" w:line="260" w:lineRule="exact"/>
              <w:jc w:val="center"/>
            </w:pPr>
            <w:r/>
            <w:r>
              <w:rPr>
                <w:rFonts w:ascii="Times New Roman" w:hAnsi="Times New Roman"/>
                <w:b w:val="0"/>
                <w:sz w:val="18"/>
              </w:rPr>
              <w:t>ESCLARECIMENTO dirigido</w:t>
              <w:br/>
              <w:t>(Administração)</w:t>
            </w:r>
          </w:p>
        </w:tc>
      </w:tr>
      <w:tr>
        <w:tc>
          <w:tcPr>
            <w:tcW w:type="dxa" w:w="2163"/>
            <w:shd w:fill="F2F2F2" w:val="clear"/>
          </w:tcPr>
          <w:p>
            <w:pPr>
              <w:spacing w:after="40" w:before="40" w:line="260" w:lineRule="exact"/>
              <w:jc w:val="center"/>
            </w:pPr>
            <w:r/>
            <w:r>
              <w:rPr>
                <w:rFonts w:ascii="Times New Roman" w:hAnsi="Times New Roman"/>
                <w:b w:val="0"/>
                <w:sz w:val="18"/>
              </w:rPr>
              <w:t>T10</w:t>
            </w:r>
          </w:p>
        </w:tc>
        <w:tc>
          <w:tcPr>
            <w:tcW w:type="dxa" w:w="2163"/>
            <w:shd w:fill="F2F2F2" w:val="clear"/>
          </w:tcPr>
          <w:p>
            <w:pPr>
              <w:spacing w:after="40" w:before="40" w:line="260" w:lineRule="exact"/>
            </w:pPr>
            <w:r/>
            <w:r>
              <w:rPr>
                <w:rFonts w:ascii="Times New Roman" w:hAnsi="Times New Roman"/>
                <w:b w:val="0"/>
                <w:sz w:val="18"/>
              </w:rPr>
              <w:t>Riscos e garantias</w:t>
            </w:r>
          </w:p>
        </w:tc>
        <w:tc>
          <w:tcPr>
            <w:tcW w:type="dxa" w:w="2163"/>
            <w:shd w:fill="F2F2F2" w:val="clear"/>
          </w:tcPr>
          <w:p>
            <w:pPr>
              <w:spacing w:after="40" w:before="40" w:line="260" w:lineRule="exact"/>
              <w:jc w:val="both"/>
            </w:pPr>
            <w:r/>
            <w:r>
              <w:rPr>
                <w:rFonts w:ascii="Times New Roman" w:hAnsi="Times New Roman"/>
                <w:sz w:val="18"/>
              </w:rPr>
              <w:t>Garantia contratual</w:t>
            </w:r>
          </w:p>
        </w:tc>
        <w:tc>
          <w:tcPr>
            <w:tcW w:type="dxa" w:w="2163"/>
            <w:shd w:fill="F2F2F2" w:val="clear"/>
          </w:tcPr>
          <w:p>
            <w:pPr>
              <w:spacing w:after="40" w:before="40" w:line="260" w:lineRule="exact"/>
              <w:jc w:val="both"/>
            </w:pPr>
            <w:r/>
            <w:r>
              <w:rPr>
                <w:rFonts w:ascii="Times New Roman" w:hAnsi="Times New Roman"/>
                <w:sz w:val="18"/>
              </w:rPr>
            </w:r>
            <w:r>
              <w:rPr>
                <w:rFonts w:ascii="Times New Roman" w:hAnsi="Times New Roman"/>
                <w:b/>
                <w:sz w:val="18"/>
              </w:rPr>
              <w:t>Premissa normativa.</w:t>
            </w:r>
            <w:r>
              <w:rPr>
                <w:rFonts w:ascii="Times New Roman" w:hAnsi="Times New Roman"/>
                <w:sz w:val="18"/>
              </w:rPr>
              <w:t xml:space="preserve"> O regime de garantia da contratação na Lei n.º 14.133/2021 assenta em quatro comandos: (i) a exigência de garantia é faculdade da autoridade, mediante previsão no edital (art. 96, caput); (ii) exigida a garantia, </w:t>
            </w:r>
            <w:r>
              <w:rPr>
                <w:rFonts w:ascii="Times New Roman" w:hAnsi="Times New Roman"/>
                <w:b/>
                <w:sz w:val="18"/>
              </w:rPr>
              <w:t>a escolha da modalidade cabe ao contratado</w:t>
            </w:r>
            <w:r>
              <w:rPr>
                <w:rFonts w:ascii="Times New Roman" w:hAnsi="Times New Roman"/>
                <w:sz w:val="18"/>
              </w:rPr>
              <w:t xml:space="preserve"> — caução em dinheiro ou títulos da dívida pública, seguro-garantia, fiança bancária ou título de capitalização (art. 96, § 1.º, incisos I a IV, este último incluído pela Lei n.º 14.770/2023); (iii) quando a opção do contratado recair sobre o seguro-garantia, </w:t>
            </w:r>
            <w:r>
              <w:rPr>
                <w:rFonts w:ascii="Times New Roman" w:hAnsi="Times New Roman"/>
                <w:b/>
                <w:sz w:val="18"/>
              </w:rPr>
              <w:t>o edital fixará prazo mínimo de 1 (um) mês, contado da data de homologação da licitação e anterior à assinatura do contrato</w:t>
            </w:r>
            <w:r>
              <w:rPr>
                <w:rFonts w:ascii="Times New Roman" w:hAnsi="Times New Roman"/>
                <w:sz w:val="18"/>
              </w:rPr>
              <w:t xml:space="preserve">, para a prestação da garantia (art. 96, § 3.º); (iv) a imposição da modalidade seguro-garantia pela Administração é reservada, pelo desenho legal, à contratação de </w:t>
            </w:r>
            <w:r>
              <w:rPr>
                <w:rFonts w:ascii="Times New Roman" w:hAnsi="Times New Roman"/>
                <w:b/>
                <w:sz w:val="18"/>
              </w:rPr>
              <w:t>obras e serviços de engenharia</w:t>
            </w:r>
            <w:r>
              <w:rPr>
                <w:rFonts w:ascii="Times New Roman" w:hAnsi="Times New Roman"/>
                <w:sz w:val="18"/>
              </w:rPr>
              <w:t>, na sistemática do seguro com cláusula de retomada (art. 102, caput, na redação dada pela Lei n.º 14.770/2023; art. 99 para as de grande vulto, com percentual de até 30%). Fora dessas hipóteses, subtrair do contratado a opção do § 1.º carece de fundamento legal. As garantias são, ademais, matéria de cláusula necessária do contrato (art. 92, inciso XII), e o edital deve veicular regras claras e unívocas às quais Administração e licitantes ficam vinculados (art. 25, caput).</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r>
            <w:r>
              <w:rPr>
                <w:rFonts w:ascii="Times New Roman" w:hAnsi="Times New Roman"/>
                <w:b/>
                <w:sz w:val="18"/>
              </w:rPr>
              <w:t>Conclusão.</w:t>
            </w:r>
            <w:r>
              <w:rPr>
                <w:rFonts w:ascii="Times New Roman" w:hAnsi="Times New Roman"/>
                <w:sz w:val="18"/>
              </w:rPr>
              <w:t xml:space="preserve"> A disciplina da garantia contratual é indeterminada quanto ao ponto essencial (qual das duas redações do item 8.1 vigerá), ilegal em…</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AN_bloco4.md, T10]</w:t>
            </w:r>
          </w:p>
        </w:tc>
        <w:tc>
          <w:tcPr>
            <w:tcW w:type="dxa" w:w="2163"/>
            <w:shd w:fill="F2F2F2" w:val="clear"/>
          </w:tcPr>
          <w:p>
            <w:pPr>
              <w:spacing w:after="40" w:before="40" w:line="260" w:lineRule="exact"/>
              <w:jc w:val="both"/>
            </w:pPr>
            <w:r/>
            <w:r>
              <w:rPr>
                <w:rFonts w:ascii="Times New Roman" w:hAnsi="Times New Roman"/>
                <w:sz w:val="18"/>
              </w:rPr>
              <w:t>• art. 96, caput, e § 1.º, incisos I a IV, da Lei n.º 14.133/2021</w:t>
            </w:r>
          </w:p>
          <w:p>
            <w:pPr>
              <w:spacing w:after="40" w:before="40" w:line="260" w:lineRule="exact"/>
              <w:jc w:val="both"/>
            </w:pPr>
            <w:r>
              <w:rPr>
                <w:rFonts w:ascii="Times New Roman" w:hAnsi="Times New Roman"/>
                <w:sz w:val="18"/>
              </w:rPr>
              <w:t>• art. 96, § 3.º, da Lei n.º 14.133/2021</w:t>
            </w:r>
          </w:p>
          <w:p>
            <w:pPr>
              <w:spacing w:after="40" w:before="40" w:line="260" w:lineRule="exact"/>
              <w:jc w:val="both"/>
            </w:pPr>
            <w:r>
              <w:rPr>
                <w:rFonts w:ascii="Times New Roman" w:hAnsi="Times New Roman"/>
                <w:sz w:val="18"/>
              </w:rPr>
              <w:t>• art. 97, caput, da Lei n.º 14.133/2021</w:t>
            </w:r>
          </w:p>
          <w:p>
            <w:pPr>
              <w:spacing w:after="40" w:before="40" w:line="260" w:lineRule="exact"/>
              <w:jc w:val="both"/>
            </w:pPr>
            <w:r>
              <w:rPr>
                <w:rFonts w:ascii="Times New Roman" w:hAnsi="Times New Roman"/>
                <w:sz w:val="18"/>
              </w:rPr>
              <w:t>• art. 98, caput e parágrafo único, da Lei n.º 14.133/2021</w:t>
            </w:r>
          </w:p>
          <w:p>
            <w:pPr>
              <w:spacing w:after="40" w:before="40" w:line="260" w:lineRule="exact"/>
              <w:jc w:val="both"/>
            </w:pPr>
            <w:r>
              <w:rPr>
                <w:rFonts w:ascii="Times New Roman" w:hAnsi="Times New Roman"/>
                <w:sz w:val="18"/>
              </w:rPr>
              <w:t>• art. 99 e art. 102, caput, da Lei n.º 14.133/2021</w:t>
            </w:r>
          </w:p>
          <w:p>
            <w:pPr>
              <w:spacing w:after="40" w:before="40" w:line="260" w:lineRule="exact"/>
              <w:jc w:val="both"/>
            </w:pPr>
            <w:r>
              <w:rPr>
                <w:rFonts w:ascii="Times New Roman" w:hAnsi="Times New Roman"/>
                <w:sz w:val="18"/>
              </w:rPr>
              <w:t>• art. 92, inciso XII, da Lei n.º 14.133/2021</w:t>
            </w:r>
          </w:p>
          <w:p>
            <w:pPr>
              <w:spacing w:after="40" w:before="40" w:line="260" w:lineRule="exact"/>
              <w:jc w:val="both"/>
            </w:pPr>
            <w:r>
              <w:rPr>
                <w:rFonts w:ascii="Times New Roman" w:hAnsi="Times New Roman"/>
                <w:sz w:val="18"/>
              </w:rPr>
              <w:t>• art. 25, caput, da Lei n.º 14.133/2021</w:t>
            </w:r>
          </w:p>
          <w:p>
            <w:pPr>
              <w:spacing w:after="40" w:before="40" w:line="260" w:lineRule="exact"/>
              <w:jc w:val="both"/>
            </w:pPr>
            <w:r>
              <w:rPr>
                <w:rFonts w:ascii="Times New Roman" w:hAnsi="Times New Roman"/>
                <w:sz w:val="18"/>
              </w:rPr>
              <w:t xml:space="preserve">• Jurisprudência: </w:t>
            </w:r>
            <w:r>
              <w:rPr>
                <w:rFonts w:ascii="Times New Roman" w:hAnsi="Times New Roman"/>
                <w:b/>
                <w:sz w:val="18"/>
              </w:rPr>
              <w:t>não localizei, na base Jus IA, precedente judicial específico sobre imposição ou supressão editalícia de modalidade de garantia em detrimento da opção do contratado.</w:t>
            </w:r>
            <w:r>
              <w:rPr>
                <w:rFonts w:ascii="Times New Roman" w:hAnsi="Times New Roman"/>
                <w:sz w:val="18"/>
              </w:rPr>
              <w:t xml:space="preserve"> `[PENDENTE: busca TCU/TCE via Lei na Mão antes do protocolo</w:t>
            </w:r>
          </w:p>
          <w:p>
            <w:pPr>
              <w:spacing w:after="40" w:before="40" w:line="260" w:lineRule="exact"/>
              <w:jc w:val="both"/>
            </w:pPr>
            <w:r>
              <w:rPr>
                <w:rFonts w:ascii="Times New Roman" w:hAnsi="Times New Roman"/>
                <w:sz w:val="18"/>
              </w:rPr>
              <w:t>Doutrina: - HELY LOPES MEIRELLES, *Direito Administrativo Brasileiro*, 23.ª ed., Malheiros, p. 109 ("A escolha da garantia fica a critério do contratado, dentre as modalidades enumeradas na lei") — formulada sob a Lei n.º 8.666/1993, cujo desenho o art. 96, § 1.º, da Lei n.º 14.133/2021 reproduz e explicita (</w:t>
            </w:r>
          </w:p>
          <w:p>
            <w:pPr>
              <w:spacing w:after="40" w:before="40" w:line="260" w:lineRule="exact"/>
              <w:jc w:val="both"/>
            </w:pPr>
            <w:r>
              <w:rPr>
                <w:rFonts w:ascii="Times New Roman" w:hAnsi="Times New Roman"/>
                <w:sz w:val="18"/>
              </w:rPr>
              <w:t>— Jurisprudência STJ/TJ + doutrina (Jus IA) —</w:t>
            </w:r>
          </w:p>
          <w:p>
            <w:pPr>
              <w:spacing w:after="40" w:before="40" w:line="260" w:lineRule="exact"/>
              <w:jc w:val="both"/>
            </w:pPr>
            <w:r>
              <w:rPr>
                <w:rFonts w:ascii="Times New Roman" w:hAnsi="Times New Roman"/>
                <w:sz w:val="18"/>
              </w:rPr>
              <w:t xml:space="preserve">• TJSP, Proc. 1060635-62.2023.8.26.0053, Rel. Maria Fernanda de Toledo Rodovalho, 2a Camara de Direito Publico, j. 03/12/2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TJSP, Proc. 1000509-59.2024.8.26.0587, Rel. Cynthia Thome, 2a Camara de Direito Publico, j. 03/06/2025** </w:t>
            </w:r>
            <w:r>
              <w:rPr>
                <w:rFonts w:ascii="Times New Roman" w:hAnsi="Times New Roman"/>
                <w:b/>
                <w:color w:val="CC0000"/>
                <w:sz w:val="18"/>
              </w:rPr>
              <w:t>[VIT]</w:t>
            </w:r>
            <w:r>
              <w:rPr>
                <w:rFonts w:ascii="Times New Roman" w:hAnsi="Times New Roman"/>
                <w:sz w:val="18"/>
              </w:rPr>
            </w:r>
          </w:p>
        </w:tc>
        <w:tc>
          <w:tcPr>
            <w:tcW w:type="dxa" w:w="2163"/>
            <w:shd w:fill="F2F2F2" w:val="clear"/>
          </w:tcPr>
          <w:p>
            <w:pPr>
              <w:spacing w:after="40" w:before="40" w:line="260" w:lineRule="exact"/>
              <w:jc w:val="center"/>
            </w:pPr>
            <w:r/>
            <w:r>
              <w:rPr>
                <w:rFonts w:ascii="Times New Roman" w:hAnsi="Times New Roman"/>
                <w:b w:val="0"/>
                <w:sz w:val="18"/>
              </w:rPr>
              <w:t>Sim</w:t>
            </w:r>
          </w:p>
        </w:tc>
        <w:tc>
          <w:tcPr>
            <w:tcW w:type="dxa" w:w="2163"/>
            <w:shd w:fill="F2F2F2" w:val="clear"/>
          </w:tcPr>
          <w:p>
            <w:pPr>
              <w:spacing w:after="40" w:before="40" w:line="260" w:lineRule="exact"/>
              <w:jc w:val="center"/>
            </w:pPr>
            <w:r/>
            <w:r>
              <w:rPr>
                <w:rFonts w:ascii="Times New Roman" w:hAnsi="Times New Roman"/>
                <w:b w:val="0"/>
                <w:sz w:val="18"/>
              </w:rPr>
              <w:t>IMPUGNACAO</w:t>
              <w:br/>
              <w:t>(Administração)</w:t>
            </w:r>
          </w:p>
        </w:tc>
      </w:tr>
      <w:tr>
        <w:tc>
          <w:tcPr>
            <w:tcW w:type="dxa" w:w="2163"/>
          </w:tcPr>
          <w:p>
            <w:pPr>
              <w:spacing w:after="40" w:before="40" w:line="260" w:lineRule="exact"/>
              <w:jc w:val="center"/>
            </w:pPr>
            <w:r/>
            <w:r>
              <w:rPr>
                <w:rFonts w:ascii="Times New Roman" w:hAnsi="Times New Roman"/>
                <w:b w:val="0"/>
                <w:sz w:val="18"/>
              </w:rPr>
              <w:t>T11</w:t>
            </w:r>
          </w:p>
        </w:tc>
        <w:tc>
          <w:tcPr>
            <w:tcW w:type="dxa" w:w="2163"/>
          </w:tcPr>
          <w:p>
            <w:pPr>
              <w:spacing w:after="40" w:before="40" w:line="260" w:lineRule="exact"/>
            </w:pPr>
            <w:r/>
            <w:r>
              <w:rPr>
                <w:rFonts w:ascii="Times New Roman" w:hAnsi="Times New Roman"/>
                <w:b w:val="0"/>
                <w:sz w:val="18"/>
              </w:rPr>
              <w:t>Regulação e fiscalização</w:t>
            </w:r>
          </w:p>
        </w:tc>
        <w:tc>
          <w:tcPr>
            <w:tcW w:type="dxa" w:w="2163"/>
          </w:tcPr>
          <w:p>
            <w:pPr>
              <w:spacing w:after="40" w:before="40" w:line="260" w:lineRule="exact"/>
              <w:jc w:val="both"/>
            </w:pPr>
            <w:r/>
            <w:r>
              <w:rPr>
                <w:rFonts w:ascii="Times New Roman" w:hAnsi="Times New Roman"/>
                <w:sz w:val="18"/>
              </w:rPr>
              <w:t>Regime sancionatório</w:t>
            </w:r>
          </w:p>
        </w:tc>
        <w:tc>
          <w:tcPr>
            <w:tcW w:type="dxa" w:w="2163"/>
          </w:tcPr>
          <w:p>
            <w:pPr>
              <w:spacing w:after="40" w:before="40" w:line="260" w:lineRule="exact"/>
              <w:jc w:val="both"/>
            </w:pPr>
            <w:r/>
            <w:r>
              <w:rPr>
                <w:rFonts w:ascii="Times New Roman" w:hAnsi="Times New Roman"/>
                <w:sz w:val="18"/>
              </w:rPr>
            </w:r>
            <w:r>
              <w:rPr>
                <w:rFonts w:ascii="Times New Roman" w:hAnsi="Times New Roman"/>
                <w:b/>
                <w:sz w:val="18"/>
              </w:rPr>
              <w:t>Premissa normativa.</w:t>
            </w:r>
            <w:r>
              <w:rPr>
                <w:rFonts w:ascii="Times New Roman" w:hAnsi="Times New Roman"/>
                <w:sz w:val="18"/>
              </w:rPr>
              <w:t xml:space="preserve"> O poder sancionatório contratual da Administração é estritamente legal e processualizado: (i) as infrações são as tipificadas no art. 155 da Lei n.º 14.133/2021; (ii) a multa, "calculada </w:t>
            </w:r>
            <w:r>
              <w:rPr>
                <w:rFonts w:ascii="Times New Roman" w:hAnsi="Times New Roman"/>
                <w:b/>
                <w:sz w:val="18"/>
              </w:rPr>
              <w:t>na forma do edital ou do contrato</w:t>
            </w:r>
            <w:r>
              <w:rPr>
                <w:rFonts w:ascii="Times New Roman" w:hAnsi="Times New Roman"/>
                <w:sz w:val="18"/>
              </w:rPr>
              <w:t xml:space="preserve">", observa a moldura de 0,5% a 30% do valor do contrato licitado (art. 156, § 3.º) — a lei remete ao edital a definição da forma de cálculo, e o art. 92, inciso XIV, erige em </w:t>
            </w:r>
            <w:r>
              <w:rPr>
                <w:rFonts w:ascii="Times New Roman" w:hAnsi="Times New Roman"/>
                <w:b/>
                <w:sz w:val="18"/>
              </w:rPr>
              <w:t>cláusula necessária</w:t>
            </w:r>
            <w:r>
              <w:rPr>
                <w:rFonts w:ascii="Times New Roman" w:hAnsi="Times New Roman"/>
                <w:sz w:val="18"/>
              </w:rPr>
              <w:t xml:space="preserve"> "as penalidades cabíveis e </w:t>
            </w:r>
            <w:r>
              <w:rPr>
                <w:rFonts w:ascii="Times New Roman" w:hAnsi="Times New Roman"/>
                <w:b/>
                <w:sz w:val="18"/>
              </w:rPr>
              <w:t>os valores das multas e suas bases de cálculo</w:t>
            </w:r>
            <w:r>
              <w:rPr>
                <w:rFonts w:ascii="Times New Roman" w:hAnsi="Times New Roman"/>
                <w:sz w:val="18"/>
              </w:rPr>
              <w:t xml:space="preserve">"; (iii) a dosimetria observa os critérios do art. 156, § 1.º; (iv) a aplicação de multa exige defesa prévia em 15 dias úteis (art. 157) e as sanções de impedimento e inidoneidade exigem processo de responsabilização conduzido por comissão (art. 158), tudo sob o pálio do devido processo legal, contraditório e ampla defesa (art. 5.º, incisos LIV e LV, da CF/1988); (v) a cumulação admitida pela lei é a das sanções dos incisos I, III e IV do art. 156 </w:t>
            </w:r>
            <w:r>
              <w:rPr>
                <w:rFonts w:ascii="Times New Roman" w:hAnsi="Times New Roman"/>
                <w:b/>
                <w:sz w:val="18"/>
              </w:rPr>
              <w:t>com</w:t>
            </w:r>
            <w:r>
              <w:rPr>
                <w:rFonts w:ascii="Times New Roman" w:hAnsi="Times New Roman"/>
                <w:sz w:val="18"/>
              </w:rPr>
              <w:t xml:space="preserve"> a multa (art. 156, § 7.º) — não a de duas sanções pecuniárias pelo mesmo fato; (vi) a perda de garantia de proposta pressupõe que a garantia tenha sido exigida no edital, recolhida "no momento da apresentação da proposta, como requisito de pré-habilitação" (art. 58, caput e § 3.º). Distinta da sanção é a </w:t>
            </w:r>
            <w:r>
              <w:rPr>
                <w:rFonts w:ascii="Times New Roman" w:hAnsi="Times New Roman"/>
                <w:b/>
                <w:sz w:val="18"/>
              </w:rPr>
              <w:t>glosa</w:t>
            </w:r>
            <w:r>
              <w:rPr>
                <w:rFonts w:ascii="Times New Roman" w:hAnsi="Times New Roman"/>
                <w:sz w:val="18"/>
              </w:rPr>
              <w:t>: ajuste do pagamento à parcela do serviço efetivamente não executada, que não pune, mas apenas impede o pagamento sem causa — e que por isso deve guardar correlação estrita com a inexecução…</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AN_bloco4.md, T11]</w:t>
            </w:r>
          </w:p>
        </w:tc>
        <w:tc>
          <w:tcPr>
            <w:tcW w:type="dxa" w:w="2163"/>
          </w:tcPr>
          <w:p>
            <w:pPr>
              <w:spacing w:after="40" w:before="40" w:line="260" w:lineRule="exact"/>
              <w:jc w:val="both"/>
            </w:pPr>
            <w:r/>
            <w:r>
              <w:rPr>
                <w:rFonts w:ascii="Times New Roman" w:hAnsi="Times New Roman"/>
                <w:sz w:val="18"/>
              </w:rPr>
              <w:t>• art. 92, inciso XIV, da Lei n.º 14.133/2021</w:t>
            </w:r>
          </w:p>
          <w:p>
            <w:pPr>
              <w:spacing w:after="40" w:before="40" w:line="260" w:lineRule="exact"/>
              <w:jc w:val="both"/>
            </w:pPr>
            <w:r>
              <w:rPr>
                <w:rFonts w:ascii="Times New Roman" w:hAnsi="Times New Roman"/>
                <w:sz w:val="18"/>
              </w:rPr>
              <w:t>• art. 155, caput e incisos, da Lei n.º 14.133/2021</w:t>
            </w:r>
          </w:p>
          <w:p>
            <w:pPr>
              <w:spacing w:after="40" w:before="40" w:line="260" w:lineRule="exact"/>
              <w:jc w:val="both"/>
            </w:pPr>
            <w:r>
              <w:rPr>
                <w:rFonts w:ascii="Times New Roman" w:hAnsi="Times New Roman"/>
                <w:sz w:val="18"/>
              </w:rPr>
              <w:t>• art. 156, caput e §§ 1.º, 3.º, 5.º e 7.º, da Lei n.º 14.133/2021</w:t>
            </w:r>
          </w:p>
          <w:p>
            <w:pPr>
              <w:spacing w:after="40" w:before="40" w:line="260" w:lineRule="exact"/>
              <w:jc w:val="both"/>
            </w:pPr>
            <w:r>
              <w:rPr>
                <w:rFonts w:ascii="Times New Roman" w:hAnsi="Times New Roman"/>
                <w:sz w:val="18"/>
              </w:rPr>
              <w:t>• art. 157 da Lei n.º 14.133/2021</w:t>
            </w:r>
          </w:p>
          <w:p>
            <w:pPr>
              <w:spacing w:after="40" w:before="40" w:line="260" w:lineRule="exact"/>
              <w:jc w:val="both"/>
            </w:pPr>
            <w:r>
              <w:rPr>
                <w:rFonts w:ascii="Times New Roman" w:hAnsi="Times New Roman"/>
                <w:sz w:val="18"/>
              </w:rPr>
              <w:t>• art. 158, caput, da Lei n.º 14.133/2021</w:t>
            </w:r>
          </w:p>
          <w:p>
            <w:pPr>
              <w:spacing w:after="40" w:before="40" w:line="260" w:lineRule="exact"/>
              <w:jc w:val="both"/>
            </w:pPr>
            <w:r>
              <w:rPr>
                <w:rFonts w:ascii="Times New Roman" w:hAnsi="Times New Roman"/>
                <w:sz w:val="18"/>
              </w:rPr>
              <w:t>• art. 58, caput e § 3.º, da Lei n.º 14.133/2021</w:t>
            </w:r>
          </w:p>
          <w:p>
            <w:pPr>
              <w:spacing w:after="40" w:before="40" w:line="260" w:lineRule="exact"/>
              <w:jc w:val="both"/>
            </w:pPr>
            <w:r>
              <w:rPr>
                <w:rFonts w:ascii="Times New Roman" w:hAnsi="Times New Roman"/>
                <w:sz w:val="18"/>
              </w:rPr>
              <w:t>• art. 25, caput, da Lei n.º 14.133/2021</w:t>
            </w:r>
          </w:p>
          <w:p>
            <w:pPr>
              <w:spacing w:after="40" w:before="40" w:line="260" w:lineRule="exact"/>
              <w:jc w:val="both"/>
            </w:pPr>
            <w:r>
              <w:rPr>
                <w:rFonts w:ascii="Times New Roman" w:hAnsi="Times New Roman"/>
                <w:sz w:val="18"/>
              </w:rPr>
              <w:t>• art. 5.º, incisos LIV e LV, da CF/1988</w:t>
            </w:r>
          </w:p>
          <w:p>
            <w:pPr>
              <w:spacing w:after="40" w:before="40" w:line="260" w:lineRule="exact"/>
              <w:jc w:val="both"/>
            </w:pPr>
            <w:r>
              <w:rPr>
                <w:rFonts w:ascii="Times New Roman" w:hAnsi="Times New Roman"/>
                <w:sz w:val="18"/>
              </w:rPr>
              <w:t>• TJPR, Processo n.º 0118287-61.2024.8.16.0000, Rel. Leonel Cunha, 5.ª Câmara Cível, publ. 31/03/2025 `</w:t>
            </w:r>
            <w:r>
              <w:rPr>
                <w:rFonts w:ascii="Times New Roman" w:hAnsi="Times New Roman"/>
                <w:b/>
                <w:color w:val="CC0000"/>
                <w:sz w:val="18"/>
              </w:rPr>
              <w:t>[VIT]</w:t>
            </w:r>
            <w:r>
              <w:rPr>
                <w:rFonts w:ascii="Times New Roman" w:hAnsi="Times New Roman"/>
                <w:sz w:val="18"/>
              </w:rPr>
              <w:t>`</w:t>
            </w:r>
          </w:p>
          <w:p>
            <w:pPr>
              <w:spacing w:after="40" w:before="40" w:line="260" w:lineRule="exact"/>
              <w:jc w:val="both"/>
            </w:pPr>
            <w:r>
              <w:rPr>
                <w:rFonts w:ascii="Times New Roman" w:hAnsi="Times New Roman"/>
                <w:sz w:val="18"/>
              </w:rPr>
              <w:t>• `[PENDENTE: busca TCU/TCE via Lei na Mão antes do protocolo</w:t>
            </w:r>
          </w:p>
          <w:p>
            <w:pPr>
              <w:spacing w:after="40" w:before="40" w:line="260" w:lineRule="exact"/>
              <w:jc w:val="both"/>
            </w:pPr>
            <w:r>
              <w:rPr>
                <w:rFonts w:ascii="Times New Roman" w:hAnsi="Times New Roman"/>
                <w:sz w:val="18"/>
              </w:rPr>
              <w:t xml:space="preserve">Doutrina: - MARCELO ALEXANDRINO; VICENTE PAULO, *Direito Administrativo Descomplicado*, 25.ª ed., Método, 2017, p. 654-655: a Administração "tem o poder-dever de aplicar ao contratado sanções administrativas na lei previstas, **desde que lhe assegure o exercício do contraditório e da ampla defesa prévios, no </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xml:space="preserve">• Acórdão 1836/2011-TCU-Primeira Câmara, Rel. Ubiratan Aguiar, sessão de 29/03/2011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881/2024-TCU-Plenário, Rel. Aroldo Cedraz, sessão de 08/05/2024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311/2026-TCU-Primeira Câmara, Rel. Jhonatan de Jesus, sessão de 27/01/2026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 Jurisprudência STJ/TJ + doutrina (Jus IA) —</w:t>
            </w:r>
          </w:p>
          <w:p>
            <w:pPr>
              <w:spacing w:after="40" w:before="40" w:line="260" w:lineRule="exact"/>
              <w:jc w:val="both"/>
            </w:pPr>
            <w:r>
              <w:rPr>
                <w:rFonts w:ascii="Times New Roman" w:hAnsi="Times New Roman"/>
                <w:sz w:val="18"/>
              </w:rPr>
              <w:t xml:space="preserve">• TJSP, Proc. 2245094-16.2024.8.26.0000, Rel. Ricardo Anafe, 13a Camara de Direito Publico, j. 15/10/2024**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TJSP, Proc. 1059471-61.2023.8.26.0506, Rel. Gustavo Santini Teodoro, 5a Turma Recursal de Fazenda Publica, j. 09/01/2025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TJSP, Proc. 2295774-05.2024.8.26.0000, Rel. Ricardo Anafe, 13a Camara de Direito Publico, j. 27/11/2024** </w:t>
            </w:r>
            <w:r>
              <w:rPr>
                <w:rFonts w:ascii="Times New Roman" w:hAnsi="Times New Roman"/>
                <w:b/>
                <w:color w:val="CC0000"/>
                <w:sz w:val="18"/>
              </w:rPr>
              <w:t>[VIT]</w:t>
            </w:r>
            <w:r>
              <w:rPr>
                <w:rFonts w:ascii="Times New Roman" w:hAnsi="Times New Roman"/>
                <w:sz w:val="18"/>
              </w:rPr>
            </w:r>
          </w:p>
        </w:tc>
        <w:tc>
          <w:tcPr>
            <w:tcW w:type="dxa" w:w="2163"/>
          </w:tcPr>
          <w:p>
            <w:pPr>
              <w:spacing w:after="40" w:before="40" w:line="260" w:lineRule="exact"/>
              <w:jc w:val="center"/>
            </w:pPr>
            <w:r/>
            <w:r>
              <w:rPr>
                <w:rFonts w:ascii="Times New Roman" w:hAnsi="Times New Roman"/>
                <w:b w:val="0"/>
                <w:sz w:val="18"/>
              </w:rPr>
              <w:t>Sim</w:t>
            </w:r>
          </w:p>
        </w:tc>
        <w:tc>
          <w:tcPr>
            <w:tcW w:type="dxa" w:w="2163"/>
          </w:tcPr>
          <w:p>
            <w:pPr>
              <w:spacing w:after="40" w:before="40" w:line="260" w:lineRule="exact"/>
              <w:jc w:val="center"/>
            </w:pPr>
            <w:r/>
            <w:r>
              <w:rPr>
                <w:rFonts w:ascii="Times New Roman" w:hAnsi="Times New Roman"/>
                <w:b w:val="0"/>
                <w:sz w:val="18"/>
              </w:rPr>
              <w:t>IMPUGNACAO</w:t>
              <w:br/>
              <w:t>(Administração)</w:t>
            </w:r>
          </w:p>
        </w:tc>
      </w:tr>
      <w:tr>
        <w:tc>
          <w:tcPr>
            <w:tcW w:type="dxa" w:w="2163"/>
            <w:shd w:fill="F2F2F2" w:val="clear"/>
          </w:tcPr>
          <w:p>
            <w:pPr>
              <w:spacing w:after="40" w:before="40" w:line="260" w:lineRule="exact"/>
              <w:jc w:val="center"/>
            </w:pPr>
            <w:r/>
            <w:r>
              <w:rPr>
                <w:rFonts w:ascii="Times New Roman" w:hAnsi="Times New Roman"/>
                <w:b w:val="0"/>
                <w:sz w:val="18"/>
              </w:rPr>
              <w:t>T12</w:t>
            </w:r>
          </w:p>
        </w:tc>
        <w:tc>
          <w:tcPr>
            <w:tcW w:type="dxa" w:w="2163"/>
            <w:shd w:fill="F2F2F2" w:val="clear"/>
          </w:tcPr>
          <w:p>
            <w:pPr>
              <w:spacing w:after="40" w:before="40" w:line="260" w:lineRule="exact"/>
            </w:pPr>
            <w:r/>
            <w:r>
              <w:rPr>
                <w:rFonts w:ascii="Times New Roman" w:hAnsi="Times New Roman"/>
                <w:b w:val="0"/>
                <w:sz w:val="18"/>
              </w:rPr>
              <w:t>Remuneração e reajuste</w:t>
            </w:r>
          </w:p>
        </w:tc>
        <w:tc>
          <w:tcPr>
            <w:tcW w:type="dxa" w:w="2163"/>
            <w:shd w:fill="F2F2F2" w:val="clear"/>
          </w:tcPr>
          <w:p>
            <w:pPr>
              <w:spacing w:after="40" w:before="40" w:line="260" w:lineRule="exact"/>
              <w:jc w:val="both"/>
            </w:pPr>
            <w:r/>
            <w:r>
              <w:rPr>
                <w:rFonts w:ascii="Times New Roman" w:hAnsi="Times New Roman"/>
                <w:sz w:val="18"/>
              </w:rPr>
              <w:t>Medição e pagamento</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shd w:fill="F2F2F2" w:val="clear"/>
          </w:tcPr>
          <w:p>
            <w:pPr>
              <w:spacing w:after="40" w:before="40" w:line="260" w:lineRule="exact"/>
              <w:jc w:val="both"/>
            </w:pPr>
            <w:r/>
            <w:r>
              <w:rPr>
                <w:rFonts w:ascii="Times New Roman" w:hAnsi="Times New Roman"/>
                <w:sz w:val="18"/>
              </w:rPr>
            </w:r>
            <w:r>
              <w:rPr>
                <w:rFonts w:ascii="Times New Roman" w:hAnsi="Times New Roman"/>
                <w:b/>
                <w:sz w:val="18"/>
              </w:rPr>
              <w:t>Premissa normativa.</w:t>
            </w:r>
            <w:r>
              <w:rPr>
                <w:rFonts w:ascii="Times New Roman" w:hAnsi="Times New Roman"/>
                <w:sz w:val="18"/>
              </w:rPr>
              <w:t xml:space="preserve"> São cláusulas necessárias do contrato "o preço e as condições de pagamento" (art. 92, inciso V) e "os critérios e a periodicidade da medição, quando for o caso, e o prazo para liquidação e para pagamento" (art. 92, inciso VI); o dever de pagamento observa a ordem cronológica de exigibilidade (art. 141); e, "no caso de controvérsia sobre a execução do objeto, quanto a dimensão, qualidade e quantidade, </w:t>
            </w:r>
            <w:r>
              <w:rPr>
                <w:rFonts w:ascii="Times New Roman" w:hAnsi="Times New Roman"/>
                <w:b/>
                <w:sz w:val="18"/>
              </w:rPr>
              <w:t>a parcela incontroversa deverá ser liberada no prazo previsto para pagamento</w:t>
            </w:r>
            <w:r>
              <w:rPr>
                <w:rFonts w:ascii="Times New Roman" w:hAnsi="Times New Roman"/>
                <w:sz w:val="18"/>
              </w:rPr>
              <w:t xml:space="preserve">" (art. 143 — redação vigente confirmada). A medição que lastreia o pagamento é ato de fiscalização da Administração (art. 117), e a definição precisa do objeto e de seus critérios de medição integra o dever de planejamento (art. 6.º, inciso XXIII). Quanto ao asseguramento de verbas trabalhistas em serviços contínuos com dedicação exclusiva de mão de obra, a base legal vigente das medidas — inclusive conta vinculada — é o </w:t>
            </w:r>
            <w:r>
              <w:rPr>
                <w:rFonts w:ascii="Times New Roman" w:hAnsi="Times New Roman"/>
                <w:b/>
                <w:sz w:val="18"/>
              </w:rPr>
              <w:t>art. 121, § 3.º, incisos I a V, da Lei n.º 14.133/2021</w:t>
            </w:r>
            <w:r>
              <w:rPr>
                <w:rFonts w:ascii="Times New Roman" w:hAnsi="Times New Roman"/>
                <w:sz w:val="18"/>
              </w:rPr>
              <w:t xml:space="preserve"> (conta vinculada: inciso III).</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r>
            <w:r>
              <w:rPr>
                <w:rFonts w:ascii="Times New Roman" w:hAnsi="Times New Roman"/>
                <w:b/>
                <w:sz w:val="18"/>
              </w:rPr>
              <w:t>Conclusão.</w:t>
            </w:r>
            <w:r>
              <w:rPr>
                <w:rFonts w:ascii="Times New Roman" w:hAnsi="Times New Roman"/>
                <w:sz w:val="18"/>
              </w:rPr>
              <w:t xml:space="preserve"> O regime de medição e pagamento não define, com o grau de precisão exigido pelo art. 92, incisos V e VI, da Lei n.º 14.133/2021: o ponto e o procedimento de pesagem que lastreiam o faturamento de cada fase (itens 1, 2 e 3), a independência da medição em relação ao credor, o ciclo de medição/faturamento (quinzenal ou mensal) e o prazo total de pagamento. As cláusulas 4.4.5 e 10.2 instituem retenção integral de pagamento por serviços já prestados, em…</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AN_bloco4.md, T12]</w:t>
            </w:r>
          </w:p>
        </w:tc>
        <w:tc>
          <w:tcPr>
            <w:tcW w:type="dxa" w:w="2163"/>
            <w:shd w:fill="F2F2F2" w:val="clear"/>
          </w:tcPr>
          <w:p>
            <w:pPr>
              <w:spacing w:after="40" w:before="40" w:line="260" w:lineRule="exact"/>
              <w:jc w:val="both"/>
            </w:pPr>
            <w:r/>
            <w:r>
              <w:rPr>
                <w:rFonts w:ascii="Times New Roman" w:hAnsi="Times New Roman"/>
                <w:sz w:val="18"/>
              </w:rPr>
              <w:t>• art. 92, incisos V e VI, da Lei n.º 14.133/2021</w:t>
            </w:r>
          </w:p>
          <w:p>
            <w:pPr>
              <w:spacing w:after="40" w:before="40" w:line="260" w:lineRule="exact"/>
              <w:jc w:val="both"/>
            </w:pPr>
            <w:r>
              <w:rPr>
                <w:rFonts w:ascii="Times New Roman" w:hAnsi="Times New Roman"/>
                <w:sz w:val="18"/>
              </w:rPr>
              <w:t>• art. 143 da Lei n.º 14.133/2021</w:t>
            </w:r>
          </w:p>
          <w:p>
            <w:pPr>
              <w:spacing w:after="40" w:before="40" w:line="260" w:lineRule="exact"/>
              <w:jc w:val="both"/>
            </w:pPr>
            <w:r>
              <w:rPr>
                <w:rFonts w:ascii="Times New Roman" w:hAnsi="Times New Roman"/>
                <w:sz w:val="18"/>
              </w:rPr>
              <w:t>• art. 141, caput, da Lei n.º 14.133/2021</w:t>
            </w:r>
          </w:p>
          <w:p>
            <w:pPr>
              <w:spacing w:after="40" w:before="40" w:line="260" w:lineRule="exact"/>
              <w:jc w:val="both"/>
            </w:pPr>
            <w:r>
              <w:rPr>
                <w:rFonts w:ascii="Times New Roman" w:hAnsi="Times New Roman"/>
                <w:sz w:val="18"/>
              </w:rPr>
              <w:t>• art. 117, caput, da Lei n.º 14.133/2021</w:t>
            </w:r>
          </w:p>
          <w:p>
            <w:pPr>
              <w:spacing w:after="40" w:before="40" w:line="260" w:lineRule="exact"/>
              <w:jc w:val="both"/>
            </w:pPr>
            <w:r>
              <w:rPr>
                <w:rFonts w:ascii="Times New Roman" w:hAnsi="Times New Roman"/>
                <w:sz w:val="18"/>
              </w:rPr>
              <w:t>• art. 6.º, inciso XXIII, da Lei n.º 14.133/2021</w:t>
            </w:r>
          </w:p>
          <w:p>
            <w:pPr>
              <w:spacing w:after="40" w:before="40" w:line="260" w:lineRule="exact"/>
              <w:jc w:val="both"/>
            </w:pPr>
            <w:r>
              <w:rPr>
                <w:rFonts w:ascii="Times New Roman" w:hAnsi="Times New Roman"/>
                <w:sz w:val="18"/>
              </w:rPr>
              <w:t>• art. 121, § 3.º, incisos I a V</w:t>
            </w:r>
          </w:p>
          <w:p>
            <w:pPr>
              <w:spacing w:after="40" w:before="40" w:line="260" w:lineRule="exact"/>
              <w:jc w:val="both"/>
            </w:pPr>
            <w:r>
              <w:rPr>
                <w:rFonts w:ascii="Times New Roman" w:hAnsi="Times New Roman"/>
                <w:sz w:val="18"/>
              </w:rPr>
              <w:t>• IN SEGES/MP n.º 5/2017</w:t>
            </w:r>
          </w:p>
          <w:p>
            <w:pPr>
              <w:spacing w:after="40" w:before="40" w:line="260" w:lineRule="exact"/>
              <w:jc w:val="both"/>
            </w:pPr>
            <w:r>
              <w:rPr>
                <w:rFonts w:ascii="Times New Roman" w:hAnsi="Times New Roman"/>
                <w:sz w:val="18"/>
              </w:rPr>
              <w:t>• Lei n.º 9.933/1999</w:t>
            </w:r>
          </w:p>
          <w:p>
            <w:pPr>
              <w:spacing w:after="40" w:before="40" w:line="260" w:lineRule="exact"/>
              <w:jc w:val="both"/>
            </w:pPr>
            <w:r>
              <w:rPr>
                <w:rFonts w:ascii="Times New Roman" w:hAnsi="Times New Roman"/>
                <w:sz w:val="18"/>
              </w:rPr>
              <w:t>• art. 29 da Lei n.º 11.445/2007</w:t>
            </w:r>
          </w:p>
          <w:p>
            <w:pPr>
              <w:spacing w:after="40" w:before="40" w:line="260" w:lineRule="exact"/>
              <w:jc w:val="both"/>
            </w:pPr>
            <w:r>
              <w:rPr>
                <w:rFonts w:ascii="Times New Roman" w:hAnsi="Times New Roman"/>
                <w:sz w:val="18"/>
              </w:rPr>
              <w:t>• TJSP, Apelação Cível n.º 1043925-30.2024.8.26.0053, Rel. Osvaldo Magalhães, 4.ª Câmara de Direito Público, j. 18/08/2025 `</w:t>
            </w:r>
            <w:r>
              <w:rPr>
                <w:rFonts w:ascii="Times New Roman" w:hAnsi="Times New Roman"/>
                <w:b/>
                <w:color w:val="CC0000"/>
                <w:sz w:val="18"/>
              </w:rPr>
              <w:t>[VIT]</w:t>
            </w:r>
            <w:r>
              <w:rPr>
                <w:rFonts w:ascii="Times New Roman" w:hAnsi="Times New Roman"/>
                <w:sz w:val="18"/>
              </w:rPr>
              <w:t>`</w:t>
            </w:r>
          </w:p>
          <w:p>
            <w:pPr>
              <w:spacing w:after="40" w:before="40" w:line="260" w:lineRule="exact"/>
              <w:jc w:val="both"/>
            </w:pPr>
            <w:r>
              <w:rPr>
                <w:rFonts w:ascii="Times New Roman" w:hAnsi="Times New Roman"/>
                <w:sz w:val="18"/>
              </w:rPr>
              <w:t>• `[PENDENTE: busca TCU/TCE via Lei na Mão antes do protocolo</w:t>
            </w:r>
          </w:p>
          <w:p>
            <w:pPr>
              <w:spacing w:after="40" w:before="40" w:line="260" w:lineRule="exact"/>
              <w:jc w:val="both"/>
            </w:pPr>
            <w:r>
              <w:rPr>
                <w:rFonts w:ascii="Times New Roman" w:hAnsi="Times New Roman"/>
                <w:sz w:val="18"/>
              </w:rPr>
              <w:t>Doutrina: - HELY LOPES MEIRELLES, *Direito Administrativo Brasileiro*, 23.ª ed., Malheiros, p. 110-111: "O principal direito do contratado é o de receber o preço (...) na forma e no prazo convencionados" — núcleo do sinalagma que as cláusulas 4.4.5/10.2 desequilibram.; - MARCELO ALEXANDRINO; VICENTE PAULO, *D</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Entendimento TCU-Segunda Câmara, sessão de 06/06/2023 (Jurisprudência Selecionada 152280) [VIT</w:t>
            </w:r>
          </w:p>
          <w:p>
            <w:pPr>
              <w:spacing w:after="40" w:before="40" w:line="260" w:lineRule="exact"/>
              <w:jc w:val="both"/>
            </w:pPr>
            <w:r>
              <w:rPr>
                <w:rFonts w:ascii="Times New Roman" w:hAnsi="Times New Roman"/>
                <w:sz w:val="18"/>
              </w:rPr>
              <w:t>• Entendimento TCU-Plenário, sessão de 05/08/2009 (Jurisprudência Selecionada 21110) [VIT</w:t>
            </w:r>
          </w:p>
          <w:p>
            <w:pPr>
              <w:spacing w:after="40" w:before="40" w:line="260" w:lineRule="exact"/>
              <w:jc w:val="both"/>
            </w:pPr>
            <w:r>
              <w:rPr>
                <w:rFonts w:ascii="Times New Roman" w:hAnsi="Times New Roman"/>
                <w:sz w:val="18"/>
              </w:rPr>
              <w:t>• Entendimento TCU-Plenário, sessão de 10/09/2008 (Jurisprudência Selecionada 31114) [VIT</w:t>
            </w:r>
          </w:p>
          <w:p>
            <w:pPr>
              <w:spacing w:after="40" w:before="40" w:line="260" w:lineRule="exact"/>
              <w:jc w:val="both"/>
            </w:pPr>
            <w:r>
              <w:rPr>
                <w:rFonts w:ascii="Times New Roman" w:hAnsi="Times New Roman"/>
                <w:sz w:val="18"/>
              </w:rPr>
              <w:t>• Entendimento TCU-Plenário, sessão de 20/02/2013 (Jurisprudência Selecionada 21174) [VIT</w:t>
            </w:r>
          </w:p>
        </w:tc>
        <w:tc>
          <w:tcPr>
            <w:tcW w:type="dxa" w:w="2163"/>
            <w:shd w:fill="F2F2F2" w:val="clear"/>
          </w:tcPr>
          <w:p>
            <w:pPr>
              <w:spacing w:after="40" w:before="40" w:line="260" w:lineRule="exact"/>
              <w:jc w:val="center"/>
            </w:pPr>
            <w:r/>
            <w:r>
              <w:rPr>
                <w:rFonts w:ascii="Times New Roman" w:hAnsi="Times New Roman"/>
                <w:b w:val="0"/>
                <w:sz w:val="18"/>
              </w:rPr>
              <w:t>Sim</w:t>
            </w:r>
          </w:p>
        </w:tc>
        <w:tc>
          <w:tcPr>
            <w:tcW w:type="dxa" w:w="2163"/>
            <w:shd w:fill="F2F2F2" w:val="clear"/>
          </w:tcPr>
          <w:p>
            <w:pPr>
              <w:spacing w:after="40" w:before="40" w:line="260" w:lineRule="exact"/>
              <w:jc w:val="center"/>
            </w:pPr>
            <w:r/>
            <w:r>
              <w:rPr>
                <w:rFonts w:ascii="Times New Roman" w:hAnsi="Times New Roman"/>
                <w:b w:val="0"/>
                <w:sz w:val="18"/>
              </w:rPr>
              <w:t>IMPUGNACAO</w:t>
              <w:br/>
              <w:t>(Administração)</w:t>
            </w:r>
          </w:p>
        </w:tc>
      </w:tr>
      <w:tr>
        <w:tc>
          <w:tcPr>
            <w:tcW w:type="dxa" w:w="2163"/>
          </w:tcPr>
          <w:p>
            <w:pPr>
              <w:spacing w:after="40" w:before="40" w:line="260" w:lineRule="exact"/>
              <w:jc w:val="center"/>
            </w:pPr>
            <w:r/>
            <w:r>
              <w:rPr>
                <w:rFonts w:ascii="Times New Roman" w:hAnsi="Times New Roman"/>
                <w:b w:val="0"/>
                <w:sz w:val="18"/>
              </w:rPr>
              <w:t>T13</w:t>
            </w:r>
          </w:p>
        </w:tc>
        <w:tc>
          <w:tcPr>
            <w:tcW w:type="dxa" w:w="2163"/>
          </w:tcPr>
          <w:p>
            <w:pPr>
              <w:spacing w:after="40" w:before="40" w:line="260" w:lineRule="exact"/>
            </w:pPr>
            <w:r/>
            <w:r>
              <w:rPr>
                <w:rFonts w:ascii="Times New Roman" w:hAnsi="Times New Roman"/>
                <w:b w:val="0"/>
                <w:sz w:val="18"/>
              </w:rPr>
              <w:t>Habilitação</w:t>
            </w:r>
          </w:p>
        </w:tc>
        <w:tc>
          <w:tcPr>
            <w:tcW w:type="dxa" w:w="2163"/>
          </w:tcPr>
          <w:p>
            <w:pPr>
              <w:spacing w:after="40" w:before="40" w:line="260" w:lineRule="exact"/>
              <w:jc w:val="both"/>
            </w:pPr>
            <w:r/>
            <w:r>
              <w:rPr>
                <w:rFonts w:ascii="Times New Roman" w:hAnsi="Times New Roman"/>
                <w:sz w:val="18"/>
              </w:rPr>
              <w:t>Habilitação técnica</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tcPr>
          <w:p>
            <w:pPr>
              <w:spacing w:after="40" w:before="40" w:line="260" w:lineRule="exact"/>
              <w:jc w:val="both"/>
            </w:pPr>
            <w:r/>
            <w:r>
              <w:rPr>
                <w:rFonts w:ascii="Times New Roman" w:hAnsi="Times New Roman"/>
                <w:sz w:val="18"/>
              </w:rPr>
            </w:r>
            <w:r>
              <w:rPr>
                <w:rFonts w:ascii="Times New Roman" w:hAnsi="Times New Roman"/>
                <w:b/>
                <w:sz w:val="18"/>
              </w:rPr>
              <w:t>T13.a — Quantitativo mínimo (520 t/mês) vinculado à capacitação técnico-profissional (CAT).</w:t>
            </w:r>
            <w:r>
              <w:rPr>
                <w:rFonts w:ascii="Times New Roman" w:hAnsi="Times New Roman"/>
                <w:sz w:val="18"/>
              </w:rPr>
              <w:t xml:space="preserve"> Premissa normativa: o art. 67, inciso I, da Lei n.º 14.133/2021 restringe a qualificação técnico-profissional à "apresentação de profissional, devidamente registrado no conselho profissional competente, quando for o caso, detentor de atestado de responsabilidade técnica por execução de obra ou serviço </w:t>
            </w:r>
            <w:r>
              <w:rPr>
                <w:rFonts w:ascii="Times New Roman" w:hAnsi="Times New Roman"/>
                <w:b/>
                <w:sz w:val="18"/>
              </w:rPr>
              <w:t>de características semelhantes</w:t>
            </w:r>
            <w:r>
              <w:rPr>
                <w:rFonts w:ascii="Times New Roman" w:hAnsi="Times New Roman"/>
                <w:sz w:val="18"/>
              </w:rPr>
              <w:t xml:space="preserve">" — o critério legal é qualitativo (características), não quantitativo. A exigência de "quantidades mínimas de até 50%" autorizada pelo art. 67, § 2º, reporta-se aos "atestados de que trata o § 1º", isto é, aos atestados relativos às parcelas de maior relevância exigidos da </w:t>
            </w:r>
            <w:r>
              <w:rPr>
                <w:rFonts w:ascii="Times New Roman" w:hAnsi="Times New Roman"/>
                <w:b/>
                <w:sz w:val="18"/>
              </w:rPr>
              <w:t>empresa</w:t>
            </w:r>
            <w:r>
              <w:rPr>
                <w:rFonts w:ascii="Times New Roman" w:hAnsi="Times New Roman"/>
                <w:sz w:val="18"/>
              </w:rPr>
              <w:t xml:space="preserve"> (capacitação técnico-operacional, art. 67, II). No mesmo sentido, a Súmula n.º 23 do TCE-SP — </w:t>
            </w:r>
            <w:r>
              <w:rPr>
                <w:rFonts w:ascii="Times New Roman" w:hAnsi="Times New Roman"/>
                <w:b/>
                <w:sz w:val="18"/>
              </w:rPr>
              <w:t>invocada pelo próprio edital no item 1.3.4</w:t>
            </w:r>
            <w:r>
              <w:rPr>
                <w:rFonts w:ascii="Times New Roman" w:hAnsi="Times New Roman"/>
                <w:sz w:val="18"/>
              </w:rPr>
              <w:t xml:space="preserve"> — enuncia que a comprovação da capacidade técnico-profissional se aperfeiçoa mediante a apresentação da CAT, devendo o edital fixar as parcelas de maior relevância, </w:t>
            </w:r>
            <w:r>
              <w:rPr>
                <w:rFonts w:ascii="Times New Roman" w:hAnsi="Times New Roman"/>
                <w:b/>
                <w:sz w:val="18"/>
              </w:rPr>
              <w:t>vedada a imposição de quantitativos mínimos ou prazos máximos</w:t>
            </w:r>
            <w:r>
              <w:rPr>
                <w:rFonts w:ascii="Times New Roman" w:hAnsi="Times New Roman"/>
                <w:sz w:val="18"/>
              </w:rPr>
              <w:t xml:space="preserve">. Fato editalício: o item 1.3.4 do Anexo II exige "Atestado(s) ou Certidão(ões) de Capacitação técnica </w:t>
            </w:r>
            <w:r>
              <w:rPr>
                <w:rFonts w:ascii="Times New Roman" w:hAnsi="Times New Roman"/>
                <w:b/>
                <w:sz w:val="18"/>
              </w:rPr>
              <w:t>em nome do profissional</w:t>
            </w:r>
            <w:r>
              <w:rPr>
                <w:rFonts w:ascii="Times New Roman" w:hAnsi="Times New Roman"/>
                <w:sz w:val="18"/>
              </w:rPr>
              <w:t xml:space="preserve"> [...] acompanhando(s) da(s) Certidão(ões) de Acervo(s) Técnico(s) (CAT) [...] que façam explícita referência às parcelas de maior relevância, abaixo explicitadas (Súmula 23 do TCESP): Itens de maior relevância: a) Coleta e transporte de resíduos sólidos urbanos (Classe IIA) –…</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AN_bloco5.md, T13]</w:t>
            </w:r>
          </w:p>
        </w:tc>
        <w:tc>
          <w:tcPr>
            <w:tcW w:type="dxa" w:w="2163"/>
          </w:tcPr>
          <w:p>
            <w:pPr>
              <w:spacing w:after="40" w:before="40" w:line="260" w:lineRule="exact"/>
              <w:jc w:val="both"/>
            </w:pPr>
            <w:r/>
            <w:r>
              <w:rPr>
                <w:rFonts w:ascii="Times New Roman" w:hAnsi="Times New Roman"/>
                <w:sz w:val="18"/>
              </w:rPr>
              <w:t>• art. 37, inciso XXI, da CF/1988</w:t>
            </w:r>
          </w:p>
          <w:p>
            <w:pPr>
              <w:spacing w:after="40" w:before="40" w:line="260" w:lineRule="exact"/>
              <w:jc w:val="both"/>
            </w:pPr>
            <w:r>
              <w:rPr>
                <w:rFonts w:ascii="Times New Roman" w:hAnsi="Times New Roman"/>
                <w:sz w:val="18"/>
              </w:rPr>
              <w:t>• art. 67, incisos I, II e V, e §§ 1º, 2º, 3º, 5º, 6º e 9º, da Lei n.º 14.133/2021</w:t>
            </w:r>
          </w:p>
          <w:p>
            <w:pPr>
              <w:spacing w:after="40" w:before="40" w:line="260" w:lineRule="exact"/>
              <w:jc w:val="both"/>
            </w:pPr>
            <w:r>
              <w:rPr>
                <w:rFonts w:ascii="Times New Roman" w:hAnsi="Times New Roman"/>
                <w:sz w:val="18"/>
              </w:rPr>
              <w:t>• art. 9º, inciso I, alíneas "a" e "c", da Lei n.º 14.133/2021</w:t>
            </w:r>
          </w:p>
          <w:p>
            <w:pPr>
              <w:spacing w:after="40" w:before="40" w:line="260" w:lineRule="exact"/>
              <w:jc w:val="both"/>
            </w:pPr>
            <w:r>
              <w:rPr>
                <w:rFonts w:ascii="Times New Roman" w:hAnsi="Times New Roman"/>
                <w:sz w:val="18"/>
              </w:rPr>
              <w:t>• art. 25, caput, da Lei n.º 14.133/2021</w:t>
            </w:r>
          </w:p>
          <w:p>
            <w:pPr>
              <w:spacing w:after="40" w:before="40" w:line="260" w:lineRule="exact"/>
              <w:jc w:val="both"/>
            </w:pPr>
            <w:r>
              <w:rPr>
                <w:rFonts w:ascii="Times New Roman" w:hAnsi="Times New Roman"/>
                <w:sz w:val="18"/>
              </w:rPr>
              <w:t>• art. 15, inciso III, da Lei n.º 14.133/2021</w:t>
            </w:r>
          </w:p>
          <w:p>
            <w:pPr>
              <w:spacing w:after="40" w:before="40" w:line="260" w:lineRule="exact"/>
              <w:jc w:val="both"/>
            </w:pPr>
            <w:r>
              <w:rPr>
                <w:rFonts w:ascii="Times New Roman" w:hAnsi="Times New Roman"/>
                <w:sz w:val="18"/>
              </w:rPr>
              <w:t>• art. 59, § 4º, da Lei n.º 14.133/2021</w:t>
            </w:r>
          </w:p>
          <w:p>
            <w:pPr>
              <w:spacing w:after="40" w:before="40" w:line="260" w:lineRule="exact"/>
              <w:jc w:val="both"/>
            </w:pPr>
            <w:r>
              <w:rPr>
                <w:rFonts w:ascii="Times New Roman" w:hAnsi="Times New Roman"/>
                <w:sz w:val="18"/>
              </w:rPr>
              <w:t>• Súmula n.º 23 do TCE-SP</w:t>
            </w:r>
          </w:p>
          <w:p>
            <w:pPr>
              <w:spacing w:after="40" w:before="40" w:line="260" w:lineRule="exact"/>
              <w:jc w:val="both"/>
            </w:pPr>
            <w:r>
              <w:rPr>
                <w:rFonts w:ascii="Times New Roman" w:hAnsi="Times New Roman"/>
                <w:sz w:val="18"/>
              </w:rPr>
              <w:t>• Súmula n.º 24 do TCE-SP</w:t>
            </w:r>
          </w:p>
          <w:p>
            <w:pPr>
              <w:spacing w:after="40" w:before="40" w:line="260" w:lineRule="exact"/>
              <w:jc w:val="both"/>
            </w:pPr>
            <w:r>
              <w:rPr>
                <w:rFonts w:ascii="Times New Roman" w:hAnsi="Times New Roman"/>
                <w:sz w:val="18"/>
              </w:rPr>
              <w:t>• **[PENDENTE: busca TCU/TCE via Lei na Mão antes do protocolo</w:t>
            </w:r>
          </w:p>
          <w:p>
            <w:pPr>
              <w:spacing w:after="40" w:before="40" w:line="260" w:lineRule="exact"/>
              <w:jc w:val="both"/>
            </w:pPr>
            <w:r>
              <w:rPr>
                <w:rFonts w:ascii="Times New Roman" w:hAnsi="Times New Roman"/>
                <w:sz w:val="18"/>
              </w:rPr>
              <w:t>• Não localizei, na base judicial consultada, precedente específico sobre</w:t>
            </w:r>
          </w:p>
          <w:p>
            <w:pPr>
              <w:spacing w:after="40" w:before="40" w:line="260" w:lineRule="exact"/>
              <w:jc w:val="both"/>
            </w:pPr>
            <w:r>
              <w:rPr>
                <w:rFonts w:ascii="Times New Roman" w:hAnsi="Times New Roman"/>
                <w:sz w:val="18"/>
              </w:rPr>
              <w:t>Doutrina: - HELY LOPES MEIRELLES, *Direito Administrativo Brasileiro*, 23ª ed., Malheiros, p. 261: a comprovação da capacidade técnico-profissional se faz pela demonstração de profissional detentor de atestado de responsabilidade técnica, "</w:t>
            </w:r>
            <w:r>
              <w:rPr>
                <w:rFonts w:ascii="Times New Roman" w:hAnsi="Times New Roman"/>
                <w:b/>
                <w:sz w:val="18"/>
              </w:rPr>
              <w:t>vedadas as exigências de quantidades mínimas ou prazos máximos</w:t>
            </w:r>
            <w:r>
              <w:rPr>
                <w:rFonts w:ascii="Times New Roman" w:hAnsi="Times New Roman"/>
                <w:sz w:val="18"/>
              </w:rPr>
              <w:t>"; e</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Entendimento TCU-Plenário, sessão de 01/02/2012 (Jurisprudência Selecionada 22141) [VIT</w:t>
            </w:r>
          </w:p>
          <w:p>
            <w:pPr>
              <w:spacing w:after="40" w:before="40" w:line="260" w:lineRule="exact"/>
              <w:jc w:val="both"/>
            </w:pPr>
            <w:r>
              <w:rPr>
                <w:rFonts w:ascii="Times New Roman" w:hAnsi="Times New Roman"/>
                <w:sz w:val="18"/>
              </w:rPr>
              <w:t>• Entendimento TCU-Plenário, sessão de 16/10/2019 (Jurisprudência Selecionada 80316) [VIT</w:t>
            </w:r>
          </w:p>
          <w:p>
            <w:pPr>
              <w:spacing w:after="40" w:before="40" w:line="260" w:lineRule="exact"/>
              <w:jc w:val="both"/>
            </w:pPr>
            <w:r>
              <w:rPr>
                <w:rFonts w:ascii="Times New Roman" w:hAnsi="Times New Roman"/>
                <w:sz w:val="18"/>
              </w:rPr>
              <w:t>• Entendimento TCU-Plenário, sessão de 16/03/2022 (Jurisprudência Selecionada 128556) [VIT</w:t>
            </w:r>
          </w:p>
          <w:p>
            <w:pPr>
              <w:spacing w:after="40" w:before="40" w:line="260" w:lineRule="exact"/>
              <w:jc w:val="both"/>
            </w:pPr>
            <w:r>
              <w:rPr>
                <w:rFonts w:ascii="Times New Roman" w:hAnsi="Times New Roman"/>
                <w:sz w:val="18"/>
              </w:rPr>
              <w:t xml:space="preserve">• Acórdão 165/2012-TCU-Plenário, Rel. Aroldo Cedraz, sessão de 01/02/2012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Entendimento TCU-Primeira Câmara, sessão de 26/03/2019 (Jurisprudência Selecionada 70421) [VIT</w:t>
            </w:r>
          </w:p>
          <w:p>
            <w:pPr>
              <w:spacing w:after="40" w:before="40" w:line="260" w:lineRule="exact"/>
              <w:jc w:val="both"/>
            </w:pPr>
            <w:r>
              <w:rPr>
                <w:rFonts w:ascii="Times New Roman" w:hAnsi="Times New Roman"/>
                <w:sz w:val="18"/>
              </w:rPr>
              <w:t>• Entendimento TCU-Plenário, sessão de 15/12/2004 (Jurisprudência Selecionada 34242) [VIT</w:t>
            </w:r>
          </w:p>
          <w:p>
            <w:pPr>
              <w:spacing w:after="40" w:before="40" w:line="260" w:lineRule="exact"/>
              <w:jc w:val="both"/>
            </w:pPr>
            <w:r>
              <w:rPr>
                <w:rFonts w:ascii="Times New Roman" w:hAnsi="Times New Roman"/>
                <w:sz w:val="18"/>
              </w:rPr>
              <w:t>• Entendimento TCU-Plenário, sessão de 09/12/2009 (Jurisprudência Selecionada 25483) [VIT</w:t>
            </w:r>
          </w:p>
          <w:p>
            <w:pPr>
              <w:spacing w:after="40" w:before="40" w:line="260" w:lineRule="exact"/>
              <w:jc w:val="both"/>
            </w:pPr>
            <w:r>
              <w:rPr>
                <w:rFonts w:ascii="Times New Roman" w:hAnsi="Times New Roman"/>
                <w:sz w:val="18"/>
              </w:rPr>
              <w:t>• Entendimento TCU-Plenário, sessão de 26/11/2014 (Jurisprudência Selecionada 21881) [VIT</w:t>
            </w:r>
          </w:p>
          <w:p>
            <w:pPr>
              <w:spacing w:after="40" w:before="40" w:line="260" w:lineRule="exact"/>
              <w:jc w:val="both"/>
            </w:pPr>
            <w:r>
              <w:rPr>
                <w:rFonts w:ascii="Times New Roman" w:hAnsi="Times New Roman"/>
                <w:sz w:val="18"/>
              </w:rPr>
              <w:t>• Entendimento TCU-Primeira Câmara, sessão de 26/05/2015 (Jurisprudência Selecionada 21832) [VIT</w:t>
            </w:r>
          </w:p>
          <w:p>
            <w:pPr>
              <w:spacing w:after="40" w:before="40" w:line="260" w:lineRule="exact"/>
              <w:jc w:val="both"/>
            </w:pPr>
            <w:r>
              <w:rPr>
                <w:rFonts w:ascii="Times New Roman" w:hAnsi="Times New Roman"/>
                <w:sz w:val="18"/>
              </w:rPr>
              <w:t>• Entendimento TCU-Plenário, sessão de 27/01/2010 (Jurisprudência Selecionada 25394) [VIT</w:t>
            </w:r>
          </w:p>
          <w:p>
            <w:pPr>
              <w:spacing w:after="40" w:before="40" w:line="260" w:lineRule="exact"/>
              <w:jc w:val="both"/>
            </w:pPr>
            <w:r>
              <w:rPr>
                <w:rFonts w:ascii="Times New Roman" w:hAnsi="Times New Roman"/>
                <w:sz w:val="18"/>
              </w:rPr>
              <w:t>• Entendimento TCU-Plenário, sessão de 04/03/2015 (Jurisprudência Selecionada 25230) [VIT</w:t>
            </w:r>
          </w:p>
          <w:p>
            <w:pPr>
              <w:spacing w:after="40" w:before="40" w:line="260" w:lineRule="exact"/>
              <w:jc w:val="both"/>
            </w:pPr>
            <w:r>
              <w:rPr>
                <w:rFonts w:ascii="Times New Roman" w:hAnsi="Times New Roman"/>
                <w:sz w:val="18"/>
              </w:rPr>
              <w:t xml:space="preserve">• Acórdão 141/2008-TCU-Plenário, Rel. Ubiratan Aguiar, sessão de 13/02/2008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 Jurisprudência STJ/TJ + doutrina (Jus IA) —</w:t>
            </w:r>
          </w:p>
          <w:p>
            <w:pPr>
              <w:spacing w:after="40" w:before="40" w:line="260" w:lineRule="exact"/>
              <w:jc w:val="both"/>
            </w:pPr>
            <w:r>
              <w:rPr>
                <w:rFonts w:ascii="Times New Roman" w:hAnsi="Times New Roman"/>
                <w:sz w:val="18"/>
              </w:rPr>
              <w:t xml:space="preserve">• TJSP, Proc. 2276345-52.2024.8.26.0000, Rel. Jayme de Oliveira, 4a Camara de Direito Publico, j. 07/11/2024**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TJSP, Proc. 2287746-48.2024.8.26.0000, Rel. Martin Vargas, 10a Camara de Direito Publico, j. 09/12/2024**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TJSP, Proc. 0029731-70.2025.8.26.0000, Rel. Luis Fernando Nishi, Orgao Especial, j. 17/12/2025** </w:t>
            </w:r>
            <w:r>
              <w:rPr>
                <w:rFonts w:ascii="Times New Roman" w:hAnsi="Times New Roman"/>
                <w:b/>
                <w:color w:val="CC0000"/>
                <w:sz w:val="18"/>
              </w:rPr>
              <w:t>[VIT]</w:t>
            </w:r>
            <w:r>
              <w:rPr>
                <w:rFonts w:ascii="Times New Roman" w:hAnsi="Times New Roman"/>
                <w:sz w:val="18"/>
              </w:rPr>
            </w:r>
          </w:p>
        </w:tc>
        <w:tc>
          <w:tcPr>
            <w:tcW w:type="dxa" w:w="2163"/>
          </w:tcPr>
          <w:p>
            <w:pPr>
              <w:spacing w:after="40" w:before="40" w:line="260" w:lineRule="exact"/>
              <w:jc w:val="center"/>
            </w:pPr>
            <w:r/>
            <w:r>
              <w:rPr>
                <w:rFonts w:ascii="Times New Roman" w:hAnsi="Times New Roman"/>
                <w:b w:val="0"/>
                <w:sz w:val="18"/>
              </w:rPr>
              <w:t>Sim</w:t>
            </w:r>
          </w:p>
        </w:tc>
        <w:tc>
          <w:tcPr>
            <w:tcW w:type="dxa" w:w="2163"/>
          </w:tcPr>
          <w:p>
            <w:pPr>
              <w:spacing w:after="40" w:before="40" w:line="260" w:lineRule="exact"/>
              <w:jc w:val="center"/>
            </w:pPr>
            <w:r/>
            <w:r>
              <w:rPr>
                <w:rFonts w:ascii="Times New Roman" w:hAnsi="Times New Roman"/>
                <w:b w:val="0"/>
                <w:sz w:val="18"/>
              </w:rPr>
              <w:t>**DECISAO_COMERCIAL**</w:t>
              <w:br/>
              <w:t>(Administração)</w:t>
            </w:r>
          </w:p>
        </w:tc>
      </w:tr>
      <w:tr>
        <w:tc>
          <w:tcPr>
            <w:tcW w:type="dxa" w:w="2163"/>
            <w:shd w:fill="F2F2F2" w:val="clear"/>
          </w:tcPr>
          <w:p>
            <w:pPr>
              <w:spacing w:after="40" w:before="40" w:line="260" w:lineRule="exact"/>
              <w:jc w:val="center"/>
            </w:pPr>
            <w:r/>
            <w:r>
              <w:rPr>
                <w:rFonts w:ascii="Times New Roman" w:hAnsi="Times New Roman"/>
                <w:b w:val="0"/>
                <w:sz w:val="18"/>
              </w:rPr>
              <w:t>T14</w:t>
            </w:r>
          </w:p>
        </w:tc>
        <w:tc>
          <w:tcPr>
            <w:tcW w:type="dxa" w:w="2163"/>
            <w:shd w:fill="F2F2F2" w:val="clear"/>
          </w:tcPr>
          <w:p>
            <w:pPr>
              <w:spacing w:after="40" w:before="40" w:line="260" w:lineRule="exact"/>
            </w:pPr>
            <w:r/>
            <w:r>
              <w:rPr>
                <w:rFonts w:ascii="Times New Roman" w:hAnsi="Times New Roman"/>
                <w:b w:val="0"/>
                <w:sz w:val="18"/>
              </w:rPr>
              <w:t>Habilitação</w:t>
            </w:r>
          </w:p>
        </w:tc>
        <w:tc>
          <w:tcPr>
            <w:tcW w:type="dxa" w:w="2163"/>
            <w:shd w:fill="F2F2F2" w:val="clear"/>
          </w:tcPr>
          <w:p>
            <w:pPr>
              <w:spacing w:after="40" w:before="40" w:line="260" w:lineRule="exact"/>
              <w:jc w:val="both"/>
            </w:pPr>
            <w:r/>
            <w:r>
              <w:rPr>
                <w:rFonts w:ascii="Times New Roman" w:hAnsi="Times New Roman"/>
                <w:sz w:val="18"/>
              </w:rPr>
              <w:t>Habilitação econômico-financeira</w:t>
            </w:r>
          </w:p>
        </w:tc>
        <w:tc>
          <w:tcPr>
            <w:tcW w:type="dxa" w:w="2163"/>
            <w:shd w:fill="F2F2F2" w:val="clear"/>
          </w:tcPr>
          <w:p>
            <w:pPr>
              <w:spacing w:after="40" w:before="40" w:line="260" w:lineRule="exact"/>
              <w:jc w:val="both"/>
            </w:pPr>
            <w:r/>
            <w:r>
              <w:rPr>
                <w:rFonts w:ascii="Times New Roman" w:hAnsi="Times New Roman"/>
                <w:sz w:val="18"/>
              </w:rPr>
            </w:r>
            <w:r>
              <w:rPr>
                <w:rFonts w:ascii="Times New Roman" w:hAnsi="Times New Roman"/>
                <w:b/>
                <w:sz w:val="18"/>
              </w:rPr>
              <w:t>T14.a — Cumulação de capital social mínimo + índices LG/SG/LC ≥ 1 + patrimônio líquido mínimo.</w:t>
            </w:r>
            <w:r>
              <w:rPr>
                <w:rFonts w:ascii="Times New Roman" w:hAnsi="Times New Roman"/>
                <w:sz w:val="18"/>
              </w:rPr>
              <w:t xml:space="preserve"> Premissa normativa: o art. 69, caput, da Lei n.º 14.133/2021 estabelece que a habilitação econômico-financeira "será </w:t>
            </w:r>
            <w:r>
              <w:rPr>
                <w:rFonts w:ascii="Times New Roman" w:hAnsi="Times New Roman"/>
                <w:b/>
                <w:sz w:val="18"/>
              </w:rPr>
              <w:t>restrita</w:t>
            </w:r>
            <w:r>
              <w:rPr>
                <w:rFonts w:ascii="Times New Roman" w:hAnsi="Times New Roman"/>
                <w:sz w:val="18"/>
              </w:rPr>
              <w:t xml:space="preserve">" ao balanço/demonstrações (inciso I) e à certidão negativa de feitos sobre falência (inciso II), avaliados "por coeficientes e índices econômicos previstos no edital, </w:t>
            </w:r>
            <w:r>
              <w:rPr>
                <w:rFonts w:ascii="Times New Roman" w:hAnsi="Times New Roman"/>
                <w:b/>
                <w:sz w:val="18"/>
              </w:rPr>
              <w:t>devidamente justificados no processo licitatório</w:t>
            </w:r>
            <w:r>
              <w:rPr>
                <w:rFonts w:ascii="Times New Roman" w:hAnsi="Times New Roman"/>
                <w:sz w:val="18"/>
              </w:rPr>
              <w:t xml:space="preserve">"; o § 4º autoriza, para obras e serviços, "a exigência de </w:t>
            </w:r>
            <w:r>
              <w:rPr>
                <w:rFonts w:ascii="Times New Roman" w:hAnsi="Times New Roman"/>
                <w:b/>
                <w:sz w:val="18"/>
              </w:rPr>
              <w:t>capital mínimo ou de patrimônio líquido mínimo</w:t>
            </w:r>
            <w:r>
              <w:rPr>
                <w:rFonts w:ascii="Times New Roman" w:hAnsi="Times New Roman"/>
                <w:sz w:val="18"/>
              </w:rPr>
              <w:t xml:space="preserve"> equivalente a até 10% (dez por cento) do valor estimado da contratação" — conjunção alternativa "</w:t>
            </w:r>
            <w:r>
              <w:rPr>
                <w:rFonts w:ascii="Times New Roman" w:hAnsi="Times New Roman"/>
                <w:b/>
                <w:sz w:val="18"/>
              </w:rPr>
              <w:t>ou</w:t>
            </w:r>
            <w:r>
              <w:rPr>
                <w:rFonts w:ascii="Times New Roman" w:hAnsi="Times New Roman"/>
                <w:sz w:val="18"/>
              </w:rPr>
              <w:t xml:space="preserve">", não aditiva; o § 3º admite a exigência da </w:t>
            </w:r>
            <w:r>
              <w:rPr>
                <w:rFonts w:ascii="Times New Roman" w:hAnsi="Times New Roman"/>
                <w:b/>
                <w:sz w:val="18"/>
              </w:rPr>
              <w:t>relação</w:t>
            </w:r>
            <w:r>
              <w:rPr>
                <w:rFonts w:ascii="Times New Roman" w:hAnsi="Times New Roman"/>
                <w:sz w:val="18"/>
              </w:rPr>
              <w:t xml:space="preserve"> dos compromissos assumidos que importem diminuição da capacidade econômico-financeira — instrumento de análise, não requisito autônomo; e o § 5º veda "índices e valores não usualmente adotados". Fato editalício: o Anexo II cumula </w:t>
            </w:r>
            <w:r>
              <w:rPr>
                <w:rFonts w:ascii="Times New Roman" w:hAnsi="Times New Roman"/>
                <w:b/>
                <w:sz w:val="18"/>
              </w:rPr>
              <w:t>três</w:t>
            </w:r>
            <w:r>
              <w:rPr>
                <w:rFonts w:ascii="Times New Roman" w:hAnsi="Times New Roman"/>
                <w:sz w:val="18"/>
              </w:rPr>
              <w:t xml:space="preserve"> camadas: (i) item 1.4.2 — capital mínimo de R$ 708.760,32 (10% do "valor máximo anual efetivamente executável": soma dos itens 1, 3 e 4); (ii) item 1.4.3, "c" — índices LG, SG e LC ≥ 1; e (iii) item 1.4.3, "c", parte final — "Patrimônio Líquido (PL) </w:t>
            </w:r>
            <w:r>
              <w:rPr>
                <w:rFonts w:ascii="Times New Roman" w:hAnsi="Times New Roman"/>
                <w:b/>
                <w:sz w:val="18"/>
              </w:rPr>
              <w:t>superior a 1/12</w:t>
            </w:r>
            <w:r>
              <w:rPr>
                <w:rFonts w:ascii="Times New Roman" w:hAnsi="Times New Roman"/>
                <w:sz w:val="18"/>
              </w:rPr>
              <w:t xml:space="preserve"> (um doze avos) do valor total dos contratos firmados com a Administração Pública e com a iniciativa privada", com fórmula grafada de modo defeituoso ("PL = VALOR DO PATRIMÔNIO LÍQUIDO x 12 &gt; 1 / VALOR TOTAL DOS CONTRATOS"). Conclusão: a exigência simultânea de capital…</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AN_bloco5.md, T14]</w:t>
            </w:r>
          </w:p>
        </w:tc>
        <w:tc>
          <w:tcPr>
            <w:tcW w:type="dxa" w:w="2163"/>
            <w:shd w:fill="F2F2F2" w:val="clear"/>
          </w:tcPr>
          <w:p>
            <w:pPr>
              <w:spacing w:after="40" w:before="40" w:line="260" w:lineRule="exact"/>
              <w:jc w:val="both"/>
            </w:pPr>
            <w:r/>
            <w:r>
              <w:rPr>
                <w:rFonts w:ascii="Times New Roman" w:hAnsi="Times New Roman"/>
                <w:sz w:val="18"/>
              </w:rPr>
              <w:t>• art. 69, caput e incisos I e II, e §§ 3º, 4º e 5º, da Lei n.º 14.133/2021</w:t>
            </w:r>
          </w:p>
          <w:p>
            <w:pPr>
              <w:spacing w:after="40" w:before="40" w:line="260" w:lineRule="exact"/>
              <w:jc w:val="both"/>
            </w:pPr>
            <w:r>
              <w:rPr>
                <w:rFonts w:ascii="Times New Roman" w:hAnsi="Times New Roman"/>
                <w:sz w:val="18"/>
              </w:rPr>
              <w:t>• art. 37, inciso XXI, da CF/1988</w:t>
            </w:r>
          </w:p>
          <w:p>
            <w:pPr>
              <w:spacing w:after="40" w:before="40" w:line="260" w:lineRule="exact"/>
              <w:jc w:val="both"/>
            </w:pPr>
            <w:r>
              <w:rPr>
                <w:rFonts w:ascii="Times New Roman" w:hAnsi="Times New Roman"/>
                <w:sz w:val="18"/>
              </w:rPr>
              <w:t>• art. 9º, inciso I, alínea "a", da Lei n.º 14.133/2021</w:t>
            </w:r>
          </w:p>
          <w:p>
            <w:pPr>
              <w:spacing w:after="40" w:before="40" w:line="260" w:lineRule="exact"/>
              <w:jc w:val="both"/>
            </w:pPr>
            <w:r>
              <w:rPr>
                <w:rFonts w:ascii="Times New Roman" w:hAnsi="Times New Roman"/>
                <w:sz w:val="18"/>
              </w:rPr>
              <w:t>• art. 15, § 1º, da Lei n.º 14.133/2021</w:t>
            </w:r>
          </w:p>
          <w:p>
            <w:pPr>
              <w:spacing w:after="40" w:before="40" w:line="260" w:lineRule="exact"/>
              <w:jc w:val="both"/>
            </w:pPr>
            <w:r>
              <w:rPr>
                <w:rFonts w:ascii="Times New Roman" w:hAnsi="Times New Roman"/>
                <w:sz w:val="18"/>
              </w:rPr>
              <w:t>• art. 25, caput, e art. 55, § 1º, da Lei n.º 14.133/2021</w:t>
            </w:r>
          </w:p>
          <w:p>
            <w:pPr>
              <w:spacing w:after="40" w:before="40" w:line="260" w:lineRule="exact"/>
              <w:jc w:val="both"/>
            </w:pPr>
            <w:r>
              <w:rPr>
                <w:rFonts w:ascii="Times New Roman" w:hAnsi="Times New Roman"/>
                <w:sz w:val="18"/>
              </w:rPr>
              <w:t>• art. 47 da Lei n.º 11.101/2005</w:t>
            </w:r>
          </w:p>
          <w:p>
            <w:pPr>
              <w:spacing w:after="40" w:before="40" w:line="260" w:lineRule="exact"/>
              <w:jc w:val="both"/>
            </w:pPr>
            <w:r>
              <w:rPr>
                <w:rFonts w:ascii="Times New Roman" w:hAnsi="Times New Roman"/>
                <w:sz w:val="18"/>
              </w:rPr>
              <w:t>• TJPR, AI n.º 0066649-86.2024.8.16.0000, 5ª Câmara Cível, Rel. Des. Rogério Etzel, publ. 19/11/2024</w:t>
            </w:r>
          </w:p>
          <w:p>
            <w:pPr>
              <w:spacing w:after="40" w:before="40" w:line="260" w:lineRule="exact"/>
              <w:jc w:val="both"/>
            </w:pPr>
            <w:r>
              <w:rPr>
                <w:rFonts w:ascii="Times New Roman" w:hAnsi="Times New Roman"/>
                <w:sz w:val="18"/>
              </w:rPr>
              <w:t>• Não localizei, na base judicial consultada, precedente específico sobre a vedação de cumulação capital + PL sob o art. 69, § 4º</w:t>
            </w:r>
          </w:p>
          <w:p>
            <w:pPr>
              <w:spacing w:after="40" w:before="40" w:line="260" w:lineRule="exact"/>
              <w:jc w:val="both"/>
            </w:pPr>
            <w:r>
              <w:rPr>
                <w:rFonts w:ascii="Times New Roman" w:hAnsi="Times New Roman"/>
                <w:sz w:val="18"/>
              </w:rPr>
              <w:t>Doutrina: - HELY LOPES MEIRELLES, *Direito Administrativo Brasileiro*, 23ª ed., Malheiros, p. 262: a Administração pode fixar capital mínimo de até 10%, mas "não estabeleça exigências descabidas na espécie, nem fixe mínimos de idoneidade financeira desproporcionais ao objeto do certame, a fim de não afastar o</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xml:space="preserve">• Acórdão 2743/2016-TCU-Plenário, Rel. Marcos Bemquerer, sessão de 26/10/2016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Entendimento TCU-Plenário, sessão de 04/04/2018 (Jurisprudência Selecionada 54764) [VIT</w:t>
            </w:r>
          </w:p>
          <w:p>
            <w:pPr>
              <w:spacing w:after="40" w:before="40" w:line="260" w:lineRule="exact"/>
              <w:jc w:val="both"/>
            </w:pPr>
            <w:r>
              <w:rPr>
                <w:rFonts w:ascii="Times New Roman" w:hAnsi="Times New Roman"/>
                <w:sz w:val="18"/>
              </w:rPr>
              <w:t>• Entendimento TCU-Plenário, sessão de 07/02/2024 (Jurisprudência Selecionada 163642) [VIT</w:t>
            </w:r>
          </w:p>
          <w:p>
            <w:pPr>
              <w:spacing w:after="40" w:before="40" w:line="260" w:lineRule="exact"/>
              <w:jc w:val="both"/>
            </w:pPr>
            <w:r>
              <w:rPr>
                <w:rFonts w:ascii="Times New Roman" w:hAnsi="Times New Roman"/>
                <w:sz w:val="18"/>
              </w:rPr>
              <w:t xml:space="preserve">• Acórdão 932/2013-TCU-Plenário, Rel. Ana Arraes, sessão de 17/04/2013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Entendimento TCU-Plenário, sessão de 16/08/2023 (Jurisprudência Selecionada 156300) [VIT</w:t>
            </w:r>
          </w:p>
          <w:p>
            <w:pPr>
              <w:spacing w:after="40" w:before="40" w:line="260" w:lineRule="exact"/>
              <w:jc w:val="both"/>
            </w:pPr>
            <w:r>
              <w:rPr>
                <w:rFonts w:ascii="Times New Roman" w:hAnsi="Times New Roman"/>
                <w:sz w:val="18"/>
              </w:rPr>
              <w:t>• Entendimento TCU-Plenário, sessão de 13/05/2020 (Jurisprudência Selecionada 90902) [VIT</w:t>
            </w:r>
          </w:p>
          <w:p>
            <w:pPr>
              <w:spacing w:after="40" w:before="40" w:line="260" w:lineRule="exact"/>
              <w:jc w:val="both"/>
            </w:pPr>
            <w:r>
              <w:rPr>
                <w:rFonts w:ascii="Times New Roman" w:hAnsi="Times New Roman"/>
                <w:sz w:val="18"/>
              </w:rPr>
              <w:t xml:space="preserve">• Acórdão 1697/2023-TCU-Plenário, Rel. Jorge Oliveira, sessão de 16/08/2023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Entendimento TCU-Plenário, sessão de 15/10/2008 (Jurisprudência Selecionada 31675) [VIT</w:t>
            </w:r>
          </w:p>
          <w:p>
            <w:pPr>
              <w:spacing w:after="40" w:before="40" w:line="260" w:lineRule="exact"/>
              <w:jc w:val="both"/>
            </w:pPr>
            <w:r>
              <w:rPr>
                <w:rFonts w:ascii="Times New Roman" w:hAnsi="Times New Roman"/>
                <w:sz w:val="18"/>
              </w:rPr>
              <w:t xml:space="preserve">• Acórdão 1467/2026-TCU-Plenário, Rel. Antonio Anastasia, sessão de 10/06/2026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 Jurisprudência STJ/TJ + doutrina (Jus IA) —</w:t>
            </w:r>
          </w:p>
          <w:p>
            <w:pPr>
              <w:spacing w:after="40" w:before="40" w:line="260" w:lineRule="exact"/>
              <w:jc w:val="both"/>
            </w:pPr>
            <w:r>
              <w:rPr>
                <w:rFonts w:ascii="Times New Roman" w:hAnsi="Times New Roman"/>
                <w:sz w:val="18"/>
              </w:rPr>
              <w:t xml:space="preserve">• TJSP, Proc. 1023925-55.2024.8.26.0361, Rel. Tania Ahualli, 6a Camara de Direito Publico, j. 23/04/2025**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TJSP, Proc. 1002001-76.2024.8.26.0073, Rel. Martin Vargas, 10a Camara de Direito Publico, j. 15/05/2025** </w:t>
            </w:r>
            <w:r>
              <w:rPr>
                <w:rFonts w:ascii="Times New Roman" w:hAnsi="Times New Roman"/>
                <w:b/>
                <w:color w:val="CC0000"/>
                <w:sz w:val="18"/>
              </w:rPr>
              <w:t>[VIT]</w:t>
            </w:r>
            <w:r>
              <w:rPr>
                <w:rFonts w:ascii="Times New Roman" w:hAnsi="Times New Roman"/>
                <w:sz w:val="18"/>
              </w:rPr>
            </w:r>
          </w:p>
        </w:tc>
        <w:tc>
          <w:tcPr>
            <w:tcW w:type="dxa" w:w="2163"/>
            <w:shd w:fill="F2F2F2" w:val="clear"/>
          </w:tcPr>
          <w:p>
            <w:pPr>
              <w:spacing w:after="40" w:before="40" w:line="260" w:lineRule="exact"/>
              <w:jc w:val="center"/>
            </w:pPr>
            <w:r/>
            <w:r>
              <w:rPr>
                <w:rFonts w:ascii="Times New Roman" w:hAnsi="Times New Roman"/>
                <w:b w:val="0"/>
                <w:sz w:val="18"/>
              </w:rPr>
              <w:t>Sim</w:t>
            </w:r>
          </w:p>
        </w:tc>
        <w:tc>
          <w:tcPr>
            <w:tcW w:type="dxa" w:w="2163"/>
            <w:shd w:fill="F2F2F2" w:val="clear"/>
          </w:tcPr>
          <w:p>
            <w:pPr>
              <w:spacing w:after="40" w:before="40" w:line="260" w:lineRule="exact"/>
              <w:jc w:val="center"/>
            </w:pPr>
            <w:r/>
            <w:r>
              <w:rPr>
                <w:rFonts w:ascii="Times New Roman" w:hAnsi="Times New Roman"/>
                <w:b w:val="0"/>
                <w:sz w:val="18"/>
              </w:rPr>
              <w:t>**DECISAO_COMERCIAL**</w:t>
              <w:br/>
              <w:t>(ADMINISTRACAO; para T14.a)</w:t>
            </w:r>
          </w:p>
        </w:tc>
      </w:tr>
      <w:tr>
        <w:tc>
          <w:tcPr>
            <w:tcW w:type="dxa" w:w="2163"/>
          </w:tcPr>
          <w:p>
            <w:pPr>
              <w:spacing w:after="40" w:before="40" w:line="260" w:lineRule="exact"/>
              <w:jc w:val="center"/>
            </w:pPr>
            <w:r/>
            <w:r>
              <w:rPr>
                <w:rFonts w:ascii="Times New Roman" w:hAnsi="Times New Roman"/>
                <w:b w:val="0"/>
                <w:sz w:val="18"/>
              </w:rPr>
              <w:t>T15</w:t>
            </w:r>
          </w:p>
        </w:tc>
        <w:tc>
          <w:tcPr>
            <w:tcW w:type="dxa" w:w="2163"/>
          </w:tcPr>
          <w:p>
            <w:pPr>
              <w:spacing w:after="40" w:before="40" w:line="260" w:lineRule="exact"/>
            </w:pPr>
            <w:r/>
            <w:r>
              <w:rPr>
                <w:rFonts w:ascii="Times New Roman" w:hAnsi="Times New Roman"/>
                <w:b w:val="0"/>
                <w:sz w:val="18"/>
              </w:rPr>
              <w:t>Questões formais</w:t>
            </w:r>
          </w:p>
        </w:tc>
        <w:tc>
          <w:tcPr>
            <w:tcW w:type="dxa" w:w="2163"/>
          </w:tcPr>
          <w:p>
            <w:pPr>
              <w:spacing w:after="40" w:before="40" w:line="260" w:lineRule="exact"/>
              <w:jc w:val="both"/>
            </w:pPr>
            <w:r/>
            <w:r>
              <w:rPr>
                <w:rFonts w:ascii="Times New Roman" w:hAnsi="Times New Roman"/>
                <w:sz w:val="18"/>
              </w:rPr>
              <w:t>Regras concedidas em respostas às impugnações e não incorporadas ao edital reaberto</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tcPr>
          <w:p>
            <w:pPr>
              <w:spacing w:after="40" w:before="40" w:line="260" w:lineRule="exact"/>
              <w:jc w:val="both"/>
            </w:pPr>
            <w:r/>
            <w:r>
              <w:rPr>
                <w:rFonts w:ascii="Times New Roman" w:hAnsi="Times New Roman"/>
                <w:sz w:val="18"/>
              </w:rPr>
              <w:t xml:space="preserve">Premissa normativa: (i) o edital deve conter "o objeto da licitação e as regras relativas à convocação, ao julgamento, à habilitação, aos recursos e às penalidades" (art. 25, caput, da Lei n.º 14.133/2021) — as regras do certame residem no instrumento convocatório e seus anexos, não em atos avulsos; (ii) "eventuais modificações no edital implicarão nova divulgação na mesma forma de sua divulgação inicial", com devolução de prazos, "exceto quando a alteração não comprometer a formulação das propostas" (art. 55, § 1º); (iii) a resposta à impugnação/esclarecimento deve ser divulgada em sítio eletrônico oficial (art. 164, parágrafo único) — anote-se que, </w:t>
            </w:r>
            <w:r>
              <w:rPr>
                <w:rFonts w:ascii="Times New Roman" w:hAnsi="Times New Roman"/>
                <w:b/>
                <w:sz w:val="18"/>
              </w:rPr>
              <w:t>na redação vigente, o dispositivo não contém cláusula expressa de vinculação</w:t>
            </w:r>
            <w:r>
              <w:rPr>
                <w:rFonts w:ascii="Times New Roman" w:hAnsi="Times New Roman"/>
                <w:sz w:val="18"/>
              </w:rPr>
              <w:t>, de modo que a eficácia normativa da resposta se sustenta nos princípios do art. 5º (vinculação ao edital, publicidade, transparência, segurança jurídica, proteção da confiança, boa-fé) e na vedação do comportamento contraditório; (iv) especificamente quanto à qualificação por subcontratado, o art. 67, § 9º, condiciona o mecanismo a previsão editalícia expressa ("</w:t>
            </w:r>
            <w:r>
              <w:rPr>
                <w:rFonts w:ascii="Times New Roman" w:hAnsi="Times New Roman"/>
                <w:b/>
                <w:sz w:val="18"/>
              </w:rPr>
              <w:t>O edital poderá prever</w:t>
            </w:r>
            <w:r>
              <w:rPr>
                <w:rFonts w:ascii="Times New Roman" w:hAnsi="Times New Roman"/>
                <w:sz w:val="18"/>
              </w:rPr>
              <w:t>"); e quanto a consórcios, o art. 15, III, fixa o regime legal de somatório.</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Conclusão: a coexistência de duas fontes normativas divergentes (texto reaberto vs. respostas) sobre habilitação de consórcio, subcontratação, garantia, documento de terceiro (ETE), escopo (educação ambiental, transbordo) e vistoria compromete a formulação das propostas — hipótese central…</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AN_bloco5.md, T15]</w:t>
            </w:r>
          </w:p>
        </w:tc>
        <w:tc>
          <w:tcPr>
            <w:tcW w:type="dxa" w:w="2163"/>
          </w:tcPr>
          <w:p>
            <w:pPr>
              <w:spacing w:after="40" w:before="40" w:line="260" w:lineRule="exact"/>
              <w:jc w:val="both"/>
            </w:pPr>
            <w:r/>
            <w:r>
              <w:rPr>
                <w:rFonts w:ascii="Times New Roman" w:hAnsi="Times New Roman"/>
                <w:sz w:val="18"/>
              </w:rPr>
              <w:t>• art. 5º da Lei n.º 14.133/2021</w:t>
            </w:r>
          </w:p>
          <w:p>
            <w:pPr>
              <w:spacing w:after="40" w:before="40" w:line="260" w:lineRule="exact"/>
              <w:jc w:val="both"/>
            </w:pPr>
            <w:r>
              <w:rPr>
                <w:rFonts w:ascii="Times New Roman" w:hAnsi="Times New Roman"/>
                <w:sz w:val="18"/>
              </w:rPr>
              <w:t>• art. 25, caput, da Lei n.º 14.133/2021</w:t>
            </w:r>
          </w:p>
          <w:p>
            <w:pPr>
              <w:spacing w:after="40" w:before="40" w:line="260" w:lineRule="exact"/>
              <w:jc w:val="both"/>
            </w:pPr>
            <w:r>
              <w:rPr>
                <w:rFonts w:ascii="Times New Roman" w:hAnsi="Times New Roman"/>
                <w:sz w:val="18"/>
              </w:rPr>
              <w:t>• art. 55, § 1º, da Lei n.º 14.133/2021</w:t>
            </w:r>
          </w:p>
          <w:p>
            <w:pPr>
              <w:spacing w:after="40" w:before="40" w:line="260" w:lineRule="exact"/>
              <w:jc w:val="both"/>
            </w:pPr>
            <w:r>
              <w:rPr>
                <w:rFonts w:ascii="Times New Roman" w:hAnsi="Times New Roman"/>
                <w:sz w:val="18"/>
              </w:rPr>
              <w:t>• art. 164, parágrafo único, da Lei n.º 14.133/2021</w:t>
            </w:r>
          </w:p>
          <w:p>
            <w:pPr>
              <w:spacing w:after="40" w:before="40" w:line="260" w:lineRule="exact"/>
              <w:jc w:val="both"/>
            </w:pPr>
            <w:r>
              <w:rPr>
                <w:rFonts w:ascii="Times New Roman" w:hAnsi="Times New Roman"/>
                <w:sz w:val="18"/>
              </w:rPr>
              <w:t>• art. 67, § 9º, da Lei n.º 14.133/2021</w:t>
            </w:r>
          </w:p>
          <w:p>
            <w:pPr>
              <w:spacing w:after="40" w:before="40" w:line="260" w:lineRule="exact"/>
              <w:jc w:val="both"/>
            </w:pPr>
            <w:r>
              <w:rPr>
                <w:rFonts w:ascii="Times New Roman" w:hAnsi="Times New Roman"/>
                <w:sz w:val="18"/>
              </w:rPr>
              <w:t>• art. 15, incisos I a V, e § 1º, da Lei n.º 14.133/2021</w:t>
            </w:r>
          </w:p>
          <w:p>
            <w:pPr>
              <w:spacing w:after="40" w:before="40" w:line="260" w:lineRule="exact"/>
              <w:jc w:val="both"/>
            </w:pPr>
            <w:r>
              <w:rPr>
                <w:rFonts w:ascii="Times New Roman" w:hAnsi="Times New Roman"/>
                <w:sz w:val="18"/>
              </w:rPr>
              <w:t>• arts. 96 a 98 da Lei n.º 14.133/2021</w:t>
            </w:r>
          </w:p>
          <w:p>
            <w:pPr>
              <w:spacing w:after="40" w:before="40" w:line="260" w:lineRule="exact"/>
              <w:jc w:val="both"/>
            </w:pPr>
            <w:r>
              <w:rPr>
                <w:rFonts w:ascii="Times New Roman" w:hAnsi="Times New Roman"/>
                <w:sz w:val="18"/>
              </w:rPr>
              <w:t>• art. 62 e art. 63, §§ 2º e 3º, da Lei n.º 14.133/2021</w:t>
            </w:r>
          </w:p>
          <w:p>
            <w:pPr>
              <w:spacing w:after="40" w:before="40" w:line="260" w:lineRule="exact"/>
              <w:jc w:val="both"/>
            </w:pPr>
            <w:r>
              <w:rPr>
                <w:rFonts w:ascii="Times New Roman" w:hAnsi="Times New Roman"/>
                <w:sz w:val="18"/>
              </w:rPr>
              <w:t>• art. 6º, inciso XXIII, alíneas "a" e "e", da Lei n.º 14.133/2021</w:t>
            </w:r>
          </w:p>
          <w:p>
            <w:pPr>
              <w:spacing w:after="40" w:before="40" w:line="260" w:lineRule="exact"/>
              <w:jc w:val="both"/>
            </w:pPr>
            <w:r>
              <w:rPr>
                <w:rFonts w:ascii="Times New Roman" w:hAnsi="Times New Roman"/>
                <w:sz w:val="18"/>
              </w:rPr>
              <w:t>• Súmula 272 do TCU</w:t>
            </w:r>
          </w:p>
          <w:p>
            <w:pPr>
              <w:spacing w:after="40" w:before="40" w:line="260" w:lineRule="exact"/>
              <w:jc w:val="both"/>
            </w:pPr>
            <w:r>
              <w:rPr>
                <w:rFonts w:ascii="Times New Roman" w:hAnsi="Times New Roman"/>
                <w:sz w:val="18"/>
              </w:rPr>
              <w:t>• Não localizei, na base judicial consultada, precedente específico sobre o efeito integrativo-vinculante de respostas a esclarecimentos sob a Lei n.º 14.133/2021; a linha clássica é de controle externo</w:t>
            </w:r>
          </w:p>
          <w:p>
            <w:pPr>
              <w:spacing w:after="40" w:before="40" w:line="260" w:lineRule="exact"/>
              <w:jc w:val="both"/>
            </w:pPr>
            <w:r>
              <w:rPr>
                <w:rFonts w:ascii="Times New Roman" w:hAnsi="Times New Roman"/>
                <w:sz w:val="18"/>
              </w:rPr>
              <w:t>Doutrina: - HELY LOPES MEIRELLES, *Direito Administrativo Brasileiro*, 23ª ed., Malheiros, p. 135-136 e 240: "O edital é a lei interna da licitação"; estabelecidas as regras, "tornam-se inalteráveis para aquela licitação"; revelando-se falho, "o edital ou convite poderá ser corrigido a tempo através de aditam</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xml:space="preserve">• Acórdão 279/2018-TCU-Plenário, Rel. Bruno Dantas, sessão de 21/02/2018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Entendimento TCU-Plenário, sessão de 26/03/2014 (Jurisprudência Selecionada 20537) [VIT</w:t>
            </w:r>
          </w:p>
          <w:p>
            <w:pPr>
              <w:spacing w:after="40" w:before="40" w:line="260" w:lineRule="exact"/>
              <w:jc w:val="both"/>
            </w:pPr>
            <w:r>
              <w:rPr>
                <w:rFonts w:ascii="Times New Roman" w:hAnsi="Times New Roman"/>
                <w:sz w:val="18"/>
              </w:rPr>
              <w:t xml:space="preserve">• Acórdão 8455/2021-TCU-Primeira Câmara, Rel. Weder de Oliveira, sessão de 25/05/2021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978/2025-TCU-Plenário, Rel. Walton Alencar Rodrigues, sessão de 07/05/2025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Acórdão 141/2023-TCU-Primeira Câmara, Rel. Walton Alencar Rodrigues, sessão de 24/01/2023 [VIT</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 Jurisprudência STJ/TJ + doutrina (Jus IA) —</w:t>
            </w:r>
          </w:p>
          <w:p>
            <w:pPr>
              <w:spacing w:after="40" w:before="40" w:line="260" w:lineRule="exact"/>
              <w:jc w:val="both"/>
            </w:pPr>
            <w:r>
              <w:rPr>
                <w:rFonts w:ascii="Times New Roman" w:hAnsi="Times New Roman"/>
                <w:sz w:val="18"/>
              </w:rPr>
              <w:t xml:space="preserve">• TJSP, Proc. 1030009-62.2023.8.26.0602, Rel. Antonio Celso Faria, 8a Camara de Direito Publico, j. 05/09/2025**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TJSP, Proc. 1001083-22.2024.8.26.0219, Rel. Leonel Costa, 8a Camara de Direito Publico, j. 10/11/2025** </w:t>
            </w:r>
            <w:r>
              <w:rPr>
                <w:rFonts w:ascii="Times New Roman" w:hAnsi="Times New Roman"/>
                <w:b/>
                <w:color w:val="CC0000"/>
                <w:sz w:val="18"/>
              </w:rPr>
              <w:t>[VIT]</w:t>
            </w:r>
            <w:r>
              <w:rPr>
                <w:rFonts w:ascii="Times New Roman" w:hAnsi="Times New Roman"/>
                <w:sz w:val="18"/>
              </w:rPr>
            </w:r>
          </w:p>
        </w:tc>
        <w:tc>
          <w:tcPr>
            <w:tcW w:type="dxa" w:w="2163"/>
          </w:tcPr>
          <w:p>
            <w:pPr>
              <w:spacing w:after="40" w:before="40" w:line="260" w:lineRule="exact"/>
              <w:jc w:val="center"/>
            </w:pPr>
            <w:r/>
            <w:r>
              <w:rPr>
                <w:rFonts w:ascii="Times New Roman" w:hAnsi="Times New Roman"/>
                <w:b w:val="0"/>
                <w:sz w:val="18"/>
              </w:rPr>
              <w:t>Sim</w:t>
            </w:r>
          </w:p>
        </w:tc>
        <w:tc>
          <w:tcPr>
            <w:tcW w:type="dxa" w:w="2163"/>
          </w:tcPr>
          <w:p>
            <w:pPr>
              <w:spacing w:after="40" w:before="40" w:line="260" w:lineRule="exact"/>
              <w:jc w:val="center"/>
            </w:pPr>
            <w:r/>
            <w:r>
              <w:rPr>
                <w:rFonts w:ascii="Times New Roman" w:hAnsi="Times New Roman"/>
                <w:b w:val="0"/>
                <w:sz w:val="18"/>
              </w:rPr>
              <w:t>**IMPUGNACAO**</w:t>
              <w:br/>
              <w:t>(Administração)</w:t>
            </w:r>
          </w:p>
        </w:tc>
      </w:tr>
      <w:tr>
        <w:tc>
          <w:tcPr>
            <w:tcW w:type="dxa" w:w="2163"/>
            <w:shd w:fill="F2F2F2" w:val="clear"/>
          </w:tcPr>
          <w:p>
            <w:pPr>
              <w:spacing w:after="40" w:before="40" w:line="260" w:lineRule="exact"/>
              <w:jc w:val="center"/>
            </w:pPr>
            <w:r/>
            <w:r>
              <w:rPr>
                <w:rFonts w:ascii="Times New Roman" w:hAnsi="Times New Roman"/>
                <w:b w:val="0"/>
                <w:sz w:val="18"/>
              </w:rPr>
              <w:t>T16</w:t>
            </w:r>
          </w:p>
        </w:tc>
        <w:tc>
          <w:tcPr>
            <w:tcW w:type="dxa" w:w="2163"/>
            <w:shd w:fill="F2F2F2" w:val="clear"/>
          </w:tcPr>
          <w:p>
            <w:pPr>
              <w:spacing w:after="40" w:before="40" w:line="260" w:lineRule="exact"/>
            </w:pPr>
            <w:r/>
            <w:r>
              <w:rPr>
                <w:rFonts w:ascii="Times New Roman" w:hAnsi="Times New Roman"/>
                <w:b w:val="0"/>
                <w:sz w:val="18"/>
              </w:rPr>
              <w:t>Regulação e fiscalização</w:t>
            </w:r>
          </w:p>
        </w:tc>
        <w:tc>
          <w:tcPr>
            <w:tcW w:type="dxa" w:w="2163"/>
            <w:shd w:fill="F2F2F2" w:val="clear"/>
          </w:tcPr>
          <w:p>
            <w:pPr>
              <w:spacing w:after="40" w:before="40" w:line="260" w:lineRule="exact"/>
              <w:jc w:val="both"/>
            </w:pPr>
            <w:r/>
            <w:r>
              <w:rPr>
                <w:rFonts w:ascii="Times New Roman" w:hAnsi="Times New Roman"/>
                <w:sz w:val="18"/>
              </w:rPr>
              <w:t>Mobilização e exigências acessórias</w:t>
            </w:r>
          </w:p>
          <w:p>
            <w:pPr>
              <w:spacing w:after="40" w:before="40" w:line="260" w:lineRule="exact"/>
              <w:jc w:val="both"/>
            </w:pPr>
            <w:r>
              <w:rPr>
                <w:rFonts w:ascii="Times New Roman" w:hAnsi="Times New Roman"/>
                <w:sz w:val="18"/>
              </w:rPr>
            </w:r>
            <w:r>
              <w:rPr>
                <w:rFonts w:ascii="Times New Roman" w:hAnsi="Times New Roman"/>
                <w:b/>
                <w:color w:val="CC0000"/>
                <w:sz w:val="18"/>
              </w:rPr>
              <w:t>[VALIDAÇÃO TÉCNICA]</w:t>
            </w:r>
            <w:r>
              <w:rPr>
                <w:rFonts w:ascii="Times New Roman" w:hAnsi="Times New Roman"/>
                <w:sz w:val="18"/>
              </w:rPr>
            </w:r>
          </w:p>
        </w:tc>
        <w:tc>
          <w:tcPr>
            <w:tcW w:type="dxa" w:w="2163"/>
            <w:shd w:fill="F2F2F2" w:val="clear"/>
          </w:tcPr>
          <w:p>
            <w:pPr>
              <w:spacing w:after="40" w:before="40" w:line="260" w:lineRule="exact"/>
              <w:jc w:val="both"/>
            </w:pPr>
            <w:r/>
            <w:r>
              <w:rPr>
                <w:rFonts w:ascii="Times New Roman" w:hAnsi="Times New Roman"/>
                <w:sz w:val="18"/>
              </w:rPr>
            </w:r>
            <w:r>
              <w:rPr>
                <w:rFonts w:ascii="Times New Roman" w:hAnsi="Times New Roman"/>
                <w:b/>
                <w:sz w:val="18"/>
              </w:rPr>
              <w:t>T16.a — Contradição interna: 30 dias da OS vs. assunção total no "Dia 07".</w:t>
            </w:r>
            <w:r>
              <w:rPr>
                <w:rFonts w:ascii="Times New Roman" w:hAnsi="Times New Roman"/>
                <w:sz w:val="18"/>
              </w:rPr>
              <w:t xml:space="preserve"> Premissa normativa: o edital deve veicular regras claras (art. 25, caput) e o contrato deve conter cláusulas com "os prazos de início das etapas de execução" (art. 92, VII, da Lei n.º 14.133/2021). Fato editalício: o item 5.1.5 do TR (reproduzido na cláusula 9.1.5 da minuta) dispõe que "O serviço será iniciado mediante emissão de Ordem de Serviço, devendo ter início das atividades em 30 (trinta) dias"; o Cronograma de Mobilização e Implantação anexo, porém, fixa "Dia 07 — Início da Operação — </w:t>
            </w:r>
            <w:r>
              <w:rPr>
                <w:rFonts w:ascii="Times New Roman" w:hAnsi="Times New Roman"/>
                <w:b/>
                <w:sz w:val="18"/>
              </w:rPr>
              <w:t>Assunção total dos serviços em todos os setores de coleta</w:t>
            </w:r>
            <w:r>
              <w:rPr>
                <w:rFonts w:ascii="Times New Roman" w:hAnsi="Times New Roman"/>
                <w:sz w:val="18"/>
              </w:rPr>
              <w:t>", precedido de "Dia 04 — Comprovação de Pessoal — Apresentação da relação nominal dos funcionários, devidamente uniformizados e com os respectivos comprovantes de EPIs e exames admissionais", "Dia 05 — Vistoria da Frota" e "Dia 06 — Testes de Rota". Conclusão: dois comandos inconciliáveis sobre o marco de assunção (7 vs. 30 dias). Se prevalecer o Dia 07, a mobilização exigida (contratação de ~18 empregados com exames admissionais em 4 dias, frota vistoriada em 5, telemetria em 6) tende a ser materialmente inviável para quem não esteja previamente operando na região, com efeito seletivo em favor do operador atual — situação vedada pelo art. 9º, I, "a", e pelo art. 5º (isonomia) — e onera a precificação de todos os demais. `</w:t>
            </w:r>
            <w:r>
              <w:rPr>
                <w:rFonts w:ascii="Times New Roman" w:hAnsi="Times New Roman"/>
                <w:b/>
                <w:color w:val="CC0000"/>
                <w:sz w:val="18"/>
              </w:rPr>
              <w:t>[VALIDAÇÃO TÉCNICA: viabilidade de mobilização em 7 e em 30 dias — frota, pessoal, instalações]</w:t>
            </w:r>
            <w:r>
              <w:rPr>
                <w:rFonts w:ascii="Times New Roman" w:hAnsi="Times New Roman"/>
                <w:sz w:val="18"/>
              </w:rPr>
              <w:t>`</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**T16.g — Acessórias com…</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AN_bloco5.md, T16]</w:t>
            </w:r>
          </w:p>
        </w:tc>
        <w:tc>
          <w:tcPr>
            <w:tcW w:type="dxa" w:w="2163"/>
            <w:shd w:fill="F2F2F2" w:val="clear"/>
          </w:tcPr>
          <w:p>
            <w:pPr>
              <w:spacing w:after="40" w:before="40" w:line="260" w:lineRule="exact"/>
              <w:jc w:val="both"/>
            </w:pPr>
            <w:r/>
            <w:r>
              <w:rPr>
                <w:rFonts w:ascii="Times New Roman" w:hAnsi="Times New Roman"/>
                <w:sz w:val="18"/>
              </w:rPr>
              <w:t>• art. 5º, art. 9º, inciso I, alíneas "a" e "b", art. 18, caput e inciso I, art. 25, caput, art. 48, inciso VI, art. 63, § 1º, e art. 92, incisos I, V e VII, e § 2º, da Lei n.º 14.133/2021</w:t>
            </w:r>
          </w:p>
          <w:p>
            <w:pPr>
              <w:spacing w:after="40" w:before="40" w:line="260" w:lineRule="exact"/>
              <w:jc w:val="both"/>
            </w:pPr>
            <w:r>
              <w:rPr>
                <w:rFonts w:ascii="Times New Roman" w:hAnsi="Times New Roman"/>
                <w:sz w:val="18"/>
              </w:rPr>
              <w:t>• arts. 6º, incisos I a III, 7º e 11, § 1º, da Lei n.º 13.709/2018</w:t>
            </w:r>
          </w:p>
          <w:p>
            <w:pPr>
              <w:spacing w:after="40" w:before="40" w:line="260" w:lineRule="exact"/>
              <w:jc w:val="both"/>
            </w:pPr>
            <w:r>
              <w:rPr>
                <w:rFonts w:ascii="Times New Roman" w:hAnsi="Times New Roman"/>
                <w:sz w:val="18"/>
              </w:rPr>
              <w:t>• art. 5º, incisos X e LXXIX, da CF/1988</w:t>
            </w:r>
          </w:p>
          <w:p>
            <w:pPr>
              <w:spacing w:after="40" w:before="40" w:line="260" w:lineRule="exact"/>
              <w:jc w:val="both"/>
            </w:pPr>
            <w:r>
              <w:rPr>
                <w:rFonts w:ascii="Times New Roman" w:hAnsi="Times New Roman"/>
                <w:sz w:val="18"/>
              </w:rPr>
              <w:t xml:space="preserve">• STJ, AgInt no AREsp n.º 2.100.717, Primeira Turma, Rel. Min. Paulo Sérgio Domingues, j. 04/12/2023 </w:t>
            </w:r>
            <w:r>
              <w:rPr>
                <w:rFonts w:ascii="Times New Roman" w:hAnsi="Times New Roman"/>
                <w:b/>
                <w:sz w:val="18"/>
              </w:rPr>
              <w:t>[VIT]</w:t>
            </w:r>
            <w:r>
              <w:rPr>
                <w:rFonts w:ascii="Times New Roman" w:hAnsi="Times New Roman"/>
                <w:sz w:val="18"/>
              </w:rPr>
            </w:r>
          </w:p>
          <w:p>
            <w:pPr>
              <w:spacing w:after="40" w:before="40" w:line="260" w:lineRule="exact"/>
              <w:jc w:val="both"/>
            </w:pPr>
            <w:r>
              <w:rPr>
                <w:rFonts w:ascii="Times New Roman" w:hAnsi="Times New Roman"/>
                <w:sz w:val="18"/>
              </w:rPr>
              <w:t>• Não localizei precedente específico sobre exigência editalícia de senha de extrato previdenciário de empregados</w:t>
            </w:r>
          </w:p>
          <w:p>
            <w:pPr>
              <w:spacing w:after="40" w:before="40" w:line="260" w:lineRule="exact"/>
              <w:jc w:val="both"/>
            </w:pPr>
            <w:r>
              <w:rPr>
                <w:rFonts w:ascii="Times New Roman" w:hAnsi="Times New Roman"/>
                <w:sz w:val="18"/>
              </w:rPr>
              <w:t xml:space="preserve">Doutrina: - Lição de MARÇAL JUSTEN FILHO referida no voto do STJ, AgInt no AREsp n.º 2.100.717 </w:t>
            </w:r>
            <w:r>
              <w:rPr>
                <w:rFonts w:ascii="Times New Roman" w:hAnsi="Times New Roman"/>
                <w:b/>
                <w:sz w:val="18"/>
              </w:rPr>
              <w:t>[VIT]</w:t>
            </w:r>
            <w:r>
              <w:rPr>
                <w:rFonts w:ascii="Times New Roman" w:hAnsi="Times New Roman"/>
                <w:sz w:val="18"/>
              </w:rPr>
              <w:t>: "os competidores devem ser tratados com igualdade, o que significa a vedação a benefícios ou encargos reservados a apenas alguns dos licitantes. Mais ainda, não se admitem cláusulas que, previstas para ap</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xml:space="preserve">• Acórdão 1334/2026-TCU-Plenário, Rel. Antonio Anastasia, sessão de 27/05/2026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6923/2025-TCU-Segunda Câmara, Rel. Aroldo Cedraz, sessão de 02/12/2025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1677/2020-TCU-Plenário, Rel. Augusto Sherman, sessão de 01/07/2020 </w:t>
            </w:r>
            <w:r>
              <w:rPr>
                <w:rFonts w:ascii="Times New Roman" w:hAnsi="Times New Roman"/>
                <w:b/>
                <w:color w:val="CC0000"/>
                <w:sz w:val="18"/>
              </w:rPr>
              <w:t>[VIT]</w:t>
            </w:r>
            <w:r>
              <w:rPr>
                <w:rFonts w:ascii="Times New Roman" w:hAnsi="Times New Roman"/>
                <w:sz w:val="18"/>
              </w:rPr>
            </w:r>
          </w:p>
        </w:tc>
        <w:tc>
          <w:tcPr>
            <w:tcW w:type="dxa" w:w="2163"/>
            <w:shd w:fill="F2F2F2" w:val="clear"/>
          </w:tcPr>
          <w:p>
            <w:pPr>
              <w:spacing w:after="40" w:before="40" w:line="260" w:lineRule="exact"/>
              <w:jc w:val="center"/>
            </w:pPr>
            <w:r/>
            <w:r>
              <w:rPr>
                <w:rFonts w:ascii="Times New Roman" w:hAnsi="Times New Roman"/>
                <w:b w:val="0"/>
                <w:sz w:val="18"/>
              </w:rPr>
              <w:t>Sim</w:t>
            </w:r>
          </w:p>
        </w:tc>
        <w:tc>
          <w:tcPr>
            <w:tcW w:type="dxa" w:w="2163"/>
            <w:shd w:fill="F2F2F2" w:val="clear"/>
          </w:tcPr>
          <w:p>
            <w:pPr>
              <w:spacing w:after="40" w:before="40" w:line="260" w:lineRule="exact"/>
              <w:jc w:val="center"/>
            </w:pPr>
            <w:r/>
            <w:r>
              <w:rPr>
                <w:rFonts w:ascii="Times New Roman" w:hAnsi="Times New Roman"/>
                <w:b w:val="0"/>
                <w:sz w:val="18"/>
              </w:rPr>
              <w:t>**IMPUGNACAO**</w:t>
              <w:br/>
              <w:t>(ADMINISTRACAO; para T16.c/T16.d)</w:t>
            </w:r>
          </w:p>
        </w:tc>
      </w:tr>
      <w:tr>
        <w:tc>
          <w:tcPr>
            <w:tcW w:type="dxa" w:w="2163"/>
          </w:tcPr>
          <w:p>
            <w:pPr>
              <w:spacing w:after="40" w:before="40" w:line="260" w:lineRule="exact"/>
              <w:jc w:val="center"/>
            </w:pPr>
            <w:r/>
            <w:r>
              <w:rPr>
                <w:rFonts w:ascii="Times New Roman" w:hAnsi="Times New Roman"/>
                <w:b w:val="0"/>
                <w:sz w:val="18"/>
              </w:rPr>
              <w:t>T17</w:t>
            </w:r>
          </w:p>
        </w:tc>
        <w:tc>
          <w:tcPr>
            <w:tcW w:type="dxa" w:w="2163"/>
          </w:tcPr>
          <w:p>
            <w:pPr>
              <w:spacing w:after="40" w:before="40" w:line="260" w:lineRule="exact"/>
            </w:pPr>
            <w:r/>
            <w:r>
              <w:rPr>
                <w:rFonts w:ascii="Times New Roman" w:hAnsi="Times New Roman"/>
                <w:b w:val="0"/>
                <w:sz w:val="18"/>
              </w:rPr>
              <w:t>Questões formais</w:t>
            </w:r>
          </w:p>
        </w:tc>
        <w:tc>
          <w:tcPr>
            <w:tcW w:type="dxa" w:w="2163"/>
          </w:tcPr>
          <w:p>
            <w:pPr>
              <w:spacing w:after="40" w:before="40" w:line="260" w:lineRule="exact"/>
              <w:jc w:val="both"/>
            </w:pPr>
            <w:r/>
            <w:r>
              <w:rPr>
                <w:rFonts w:ascii="Times New Roman" w:hAnsi="Times New Roman"/>
                <w:sz w:val="18"/>
              </w:rPr>
              <w:t>Vigência e regime</w:t>
            </w:r>
          </w:p>
        </w:tc>
        <w:tc>
          <w:tcPr>
            <w:tcW w:type="dxa" w:w="2163"/>
          </w:tcPr>
          <w:p>
            <w:pPr>
              <w:spacing w:after="40" w:before="40" w:line="260" w:lineRule="exact"/>
              <w:jc w:val="both"/>
            </w:pPr>
            <w:r/>
            <w:r>
              <w:rPr>
                <w:rFonts w:ascii="Times New Roman" w:hAnsi="Times New Roman"/>
                <w:sz w:val="18"/>
              </w:rPr>
            </w:r>
            <w:r>
              <w:rPr>
                <w:rFonts w:ascii="Times New Roman" w:hAnsi="Times New Roman"/>
                <w:b/>
                <w:sz w:val="18"/>
              </w:rPr>
              <w:t>(a) Cláusula de prorrogação que admite leitura de vigência total de 15 anos (C-012).</w:t>
            </w:r>
            <w:r>
              <w:rPr>
                <w:rFonts w:ascii="Times New Roman" w:hAnsi="Times New Roman"/>
                <w:sz w:val="18"/>
              </w:rPr>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*Conclusão.* O certame convoca licitantes para vínculo de 60 meses precificando e orçando apenas 12, sem declarar o valor global estimado da contratação — base sobre a qual se calculam garantia contratual, capital social mínimo e sanções pecuniárias, que ficam referidas a base cinco vezes menor ou simplesmente ambígua (interface com T10/T11/T14) — e sem demonstrar a previsão plurianual exigida pelos arts. 16 e 17 da LC n.º 101/2000 e pelo art. 106, inciso II, da Lei n.º 14.133/2021. A única projeção bienal existente (item 10.1) não resiste à aritmética do próprio edital, o que evidencia que sequer o segundo exercício foi planejado de forma consistente.</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r>
            <w:r>
              <w:rPr>
                <w:rFonts w:ascii="Times New Roman" w:hAnsi="Times New Roman"/>
                <w:b/>
                <w:sz w:val="18"/>
              </w:rPr>
              <w:t>Contra-argumento provável:</w:t>
            </w:r>
            <w:r>
              <w:rPr>
                <w:rFonts w:ascii="Times New Roman" w:hAnsi="Times New Roman"/>
                <w:sz w:val="18"/>
              </w:rPr>
              <w:t xml:space="preserve"> 1. </w:t>
            </w:r>
            <w:r>
              <w:rPr>
                <w:rFonts w:ascii="Times New Roman" w:hAnsi="Times New Roman"/>
                <w:b/>
                <w:sz w:val="18"/>
              </w:rPr>
              <w:t>Quanto à vigência (a):</w:t>
            </w:r>
            <w:r>
              <w:rPr>
                <w:rFonts w:ascii="Times New Roman" w:hAnsi="Times New Roman"/>
                <w:sz w:val="18"/>
              </w:rPr>
              <w:t xml:space="preserve"> a Administração dirá que a cláusula remete expressamente "na forma dos artigos 106 e 107", de modo que qualquer prorrogação observará o teto legal e a leitura de 15 anos seria construída pelo intérprete, não pelo texto. Antecipação: a remissão genérica não desfaz a literalidade "prorrogável </w:t>
            </w:r>
            <w:r>
              <w:rPr>
                <w:rFonts w:ascii="Times New Roman" w:hAnsi="Times New Roman"/>
                <w:b/>
                <w:sz w:val="18"/>
              </w:rPr>
              <w:t>por</w:t>
            </w:r>
            <w:r>
              <w:rPr>
                <w:rFonts w:ascii="Times New Roman" w:hAnsi="Times New Roman"/>
                <w:sz w:val="18"/>
              </w:rPr>
              <w:t xml:space="preserve"> até 10 anos"; em cláusula que regerá decisões administrativas futuras (e sucessivas gestões municipais), a correção tem custo zero e elimina o risco de prorrogação além do teto — hipótese em que o vício só seria atacável anos depois, em sede de controle, com contrato em curso.</w:t>
            </w:r>
          </w:p>
          <w:p>
            <w:pPr>
              <w:spacing w:after="40" w:before="40" w:line="260" w:lineRule="exact"/>
              <w:jc w:val="both"/>
            </w:pPr>
            <w:r>
              <w:rPr>
                <w:rFonts w:ascii="Times New Roman" w:hAnsi="Times New Roman"/>
                <w:sz w:val="18"/>
              </w:rPr>
              <w:t xml:space="preserve">2. </w:t>
            </w:r>
            <w:r>
              <w:rPr>
                <w:rFonts w:ascii="Times New Roman" w:hAnsi="Times New Roman"/>
                <w:b/>
                <w:sz w:val="18"/>
              </w:rPr>
              <w:t>Quanto ao regime (b):</w:t>
            </w:r>
            <w:r>
              <w:rPr>
                <w:rFonts w:ascii="Times New Roman" w:hAnsi="Times New Roman"/>
                <w:sz w:val="18"/>
              </w:rPr>
              <w:t xml:space="preserve"> dirá que o vício é terminológico e sem prejuízo, pois a remuneração unitária…</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AN_bloco6.md, T17]</w:t>
            </w:r>
          </w:p>
        </w:tc>
        <w:tc>
          <w:tcPr>
            <w:tcW w:type="dxa" w:w="2163"/>
          </w:tcPr>
          <w:p>
            <w:pPr>
              <w:spacing w:after="40" w:before="40" w:line="260" w:lineRule="exact"/>
              <w:jc w:val="both"/>
            </w:pPr>
            <w:r/>
            <w:r>
              <w:rPr>
                <w:rFonts w:ascii="Times New Roman" w:hAnsi="Times New Roman"/>
                <w:sz w:val="18"/>
              </w:rPr>
              <w:t>• art. 106, caput e incisos II e III, da Lei n.º 14.133/2021</w:t>
            </w:r>
          </w:p>
          <w:p>
            <w:pPr>
              <w:spacing w:after="40" w:before="40" w:line="260" w:lineRule="exact"/>
              <w:jc w:val="both"/>
            </w:pPr>
            <w:r>
              <w:rPr>
                <w:rFonts w:ascii="Times New Roman" w:hAnsi="Times New Roman"/>
                <w:sz w:val="18"/>
              </w:rPr>
              <w:t>• art. 107 da Lei n.º 14.133/2021</w:t>
            </w:r>
          </w:p>
          <w:p>
            <w:pPr>
              <w:spacing w:after="40" w:before="40" w:line="260" w:lineRule="exact"/>
              <w:jc w:val="both"/>
            </w:pPr>
            <w:r>
              <w:rPr>
                <w:rFonts w:ascii="Times New Roman" w:hAnsi="Times New Roman"/>
                <w:sz w:val="18"/>
              </w:rPr>
              <w:t>• art. 92, inciso IV, da Lei n.º 14.133/2021</w:t>
            </w:r>
          </w:p>
          <w:p>
            <w:pPr>
              <w:spacing w:after="40" w:before="40" w:line="260" w:lineRule="exact"/>
              <w:jc w:val="both"/>
            </w:pPr>
            <w:r>
              <w:rPr>
                <w:rFonts w:ascii="Times New Roman" w:hAnsi="Times New Roman"/>
                <w:sz w:val="18"/>
              </w:rPr>
              <w:t>• art. 92, incisos VI e VIII, da Lei n.º 14.133/2021</w:t>
            </w:r>
          </w:p>
          <w:p>
            <w:pPr>
              <w:spacing w:after="40" w:before="40" w:line="260" w:lineRule="exact"/>
              <w:jc w:val="both"/>
            </w:pPr>
            <w:r>
              <w:rPr>
                <w:rFonts w:ascii="Times New Roman" w:hAnsi="Times New Roman"/>
                <w:sz w:val="18"/>
              </w:rPr>
              <w:t>• art. 6.º, incisos XV e XXVIII, da Lei n.º 14.133/2021</w:t>
            </w:r>
          </w:p>
          <w:p>
            <w:pPr>
              <w:spacing w:after="40" w:before="40" w:line="260" w:lineRule="exact"/>
              <w:jc w:val="both"/>
            </w:pPr>
            <w:r>
              <w:rPr>
                <w:rFonts w:ascii="Times New Roman" w:hAnsi="Times New Roman"/>
                <w:sz w:val="18"/>
              </w:rPr>
              <w:t>• art. 6.º, inciso XXIII, alíneas "a", "i" e "j", e art. 18, § 1.º, inciso VI, da Lei n.º 14.133/2021</w:t>
            </w:r>
          </w:p>
          <w:p>
            <w:pPr>
              <w:spacing w:after="40" w:before="40" w:line="260" w:lineRule="exact"/>
              <w:jc w:val="both"/>
            </w:pPr>
            <w:r>
              <w:rPr>
                <w:rFonts w:ascii="Times New Roman" w:hAnsi="Times New Roman"/>
                <w:sz w:val="18"/>
              </w:rPr>
              <w:t>• art. 23, caput, e art. 25, caput, da Lei n.º 14.133/2021</w:t>
            </w:r>
          </w:p>
          <w:p>
            <w:pPr>
              <w:spacing w:after="40" w:before="40" w:line="260" w:lineRule="exact"/>
              <w:jc w:val="both"/>
            </w:pPr>
            <w:r>
              <w:rPr>
                <w:rFonts w:ascii="Times New Roman" w:hAnsi="Times New Roman"/>
                <w:sz w:val="18"/>
              </w:rPr>
              <w:t>• arts. 15, 16 e 17 da LC n.º 101/2000</w:t>
            </w:r>
          </w:p>
          <w:p>
            <w:pPr>
              <w:spacing w:after="40" w:before="40" w:line="260" w:lineRule="exact"/>
              <w:jc w:val="both"/>
            </w:pPr>
            <w:r>
              <w:rPr>
                <w:rFonts w:ascii="Times New Roman" w:hAnsi="Times New Roman"/>
                <w:sz w:val="18"/>
              </w:rPr>
              <w:t>• STF, ADI 3497, Rel. Min. Dias Toffoli, Tribunal Pleno, j. 13/06/2024 `</w:t>
            </w:r>
            <w:r>
              <w:rPr>
                <w:rFonts w:ascii="Times New Roman" w:hAnsi="Times New Roman"/>
                <w:b/>
                <w:color w:val="CC0000"/>
                <w:sz w:val="18"/>
              </w:rPr>
              <w:t>[VIT]</w:t>
            </w:r>
            <w:r>
              <w:rPr>
                <w:rFonts w:ascii="Times New Roman" w:hAnsi="Times New Roman"/>
                <w:sz w:val="18"/>
              </w:rPr>
              <w:t>`</w:t>
            </w:r>
          </w:p>
          <w:p>
            <w:pPr>
              <w:spacing w:after="40" w:before="40" w:line="260" w:lineRule="exact"/>
              <w:jc w:val="both"/>
            </w:pPr>
            <w:r>
              <w:rPr>
                <w:rFonts w:ascii="Times New Roman" w:hAnsi="Times New Roman"/>
                <w:sz w:val="18"/>
              </w:rPr>
              <w:t>• Não localizei, nas buscas realizadas no Jus IA, precedente judicial específico sobre o cômputo do teto decenal do art. 107 da Lei n.º 14.133/2021</w:t>
            </w:r>
          </w:p>
          <w:p>
            <w:pPr>
              <w:spacing w:after="40" w:before="40" w:line="260" w:lineRule="exact"/>
              <w:jc w:val="both"/>
            </w:pPr>
            <w:r>
              <w:rPr>
                <w:rFonts w:ascii="Times New Roman" w:hAnsi="Times New Roman"/>
                <w:sz w:val="18"/>
              </w:rPr>
              <w:t>Doutrina: - MEIRELLES, Hely Lopes. *Direito Administrativo Brasileiro*. 23. ed. São Paulo: Malheiros, p. 135-136 e 144 — o edital é "a lei interna da licitação"; prazo e condições "devem ser estabelecidos com clareza e precisão técnica e jurídica, para orientação dos interessados na formulação de suas propost</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xml:space="preserve">• Acórdão 3062/2011-TCU-Plenário, Rel. Valmir Campelo, sessão de 23/11/2011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Acórdão TCE-SP, sessão de 07/10/2013, TC-36157/026/13 [VIT</w:t>
            </w:r>
          </w:p>
        </w:tc>
        <w:tc>
          <w:tcPr>
            <w:tcW w:type="dxa" w:w="2163"/>
          </w:tcPr>
          <w:p>
            <w:pPr>
              <w:spacing w:after="40" w:before="40" w:line="260" w:lineRule="exact"/>
              <w:jc w:val="center"/>
            </w:pPr>
            <w:r/>
            <w:r>
              <w:rPr>
                <w:rFonts w:ascii="Times New Roman" w:hAnsi="Times New Roman"/>
                <w:b w:val="0"/>
                <w:sz w:val="18"/>
              </w:rPr>
              <w:t>Não</w:t>
            </w:r>
          </w:p>
        </w:tc>
        <w:tc>
          <w:tcPr>
            <w:tcW w:type="dxa" w:w="2163"/>
          </w:tcPr>
          <w:p>
            <w:pPr>
              <w:spacing w:after="40" w:before="40" w:line="260" w:lineRule="exact"/>
              <w:jc w:val="center"/>
            </w:pPr>
            <w:r/>
            <w:r>
              <w:rPr>
                <w:rFonts w:ascii="Times New Roman" w:hAnsi="Times New Roman"/>
                <w:b w:val="0"/>
                <w:sz w:val="18"/>
              </w:rPr>
            </w:r>
          </w:p>
        </w:tc>
      </w:tr>
      <w:tr>
        <w:tc>
          <w:tcPr>
            <w:tcW w:type="dxa" w:w="2163"/>
            <w:shd w:fill="F2F2F2" w:val="clear"/>
          </w:tcPr>
          <w:p>
            <w:pPr>
              <w:spacing w:after="40" w:before="40" w:line="260" w:lineRule="exact"/>
              <w:jc w:val="center"/>
            </w:pPr>
            <w:r/>
            <w:r>
              <w:rPr>
                <w:rFonts w:ascii="Times New Roman" w:hAnsi="Times New Roman"/>
                <w:b w:val="0"/>
                <w:sz w:val="18"/>
              </w:rPr>
              <w:t>T18</w:t>
            </w:r>
          </w:p>
        </w:tc>
        <w:tc>
          <w:tcPr>
            <w:tcW w:type="dxa" w:w="2163"/>
            <w:shd w:fill="F2F2F2" w:val="clear"/>
          </w:tcPr>
          <w:p>
            <w:pPr>
              <w:spacing w:after="40" w:before="40" w:line="260" w:lineRule="exact"/>
            </w:pPr>
            <w:r/>
            <w:r>
              <w:rPr>
                <w:rFonts w:ascii="Times New Roman" w:hAnsi="Times New Roman"/>
                <w:b w:val="0"/>
                <w:sz w:val="18"/>
              </w:rPr>
              <w:t>Questões formais</w:t>
            </w:r>
          </w:p>
        </w:tc>
        <w:tc>
          <w:tcPr>
            <w:tcW w:type="dxa" w:w="2163"/>
            <w:shd w:fill="F2F2F2" w:val="clear"/>
          </w:tcPr>
          <w:p>
            <w:pPr>
              <w:spacing w:after="40" w:before="40" w:line="260" w:lineRule="exact"/>
              <w:jc w:val="both"/>
            </w:pPr>
            <w:r/>
            <w:r>
              <w:rPr>
                <w:rFonts w:ascii="Times New Roman" w:hAnsi="Times New Roman"/>
                <w:sz w:val="18"/>
              </w:rPr>
              <w:t>Defeitos de edição com efeito normativo</w:t>
            </w:r>
          </w:p>
        </w:tc>
        <w:tc>
          <w:tcPr>
            <w:tcW w:type="dxa" w:w="2163"/>
            <w:shd w:fill="F2F2F2" w:val="clear"/>
          </w:tcPr>
          <w:p>
            <w:pPr>
              <w:spacing w:after="40" w:before="40" w:line="260" w:lineRule="exact"/>
              <w:jc w:val="both"/>
            </w:pPr>
            <w:r/>
            <w:r>
              <w:rPr>
                <w:rFonts w:ascii="Times New Roman" w:hAnsi="Times New Roman"/>
                <w:sz w:val="18"/>
              </w:rPr>
              <w:t>*Premissa normativa comum.* O edital é a lei interna do certame e vincula Administração e licitantes (art. 5.º da Lei n.º 14.133/2021 — vinculação ao edital; art. 25, caput — o edital "deverá conter" as regras da licitação e da contratação). Todos os seus elementos, "incluídos minuta de contrato, termos de referência (...) e outros anexos", devem ser divulgados em sítio eletrônico oficial, "</w:t>
            </w:r>
            <w:r>
              <w:rPr>
                <w:rFonts w:ascii="Times New Roman" w:hAnsi="Times New Roman"/>
                <w:b/>
                <w:sz w:val="18"/>
              </w:rPr>
              <w:t>sem necessidade de registro ou de identificação para acesso</w:t>
            </w:r>
            <w:r>
              <w:rPr>
                <w:rFonts w:ascii="Times New Roman" w:hAnsi="Times New Roman"/>
                <w:sz w:val="18"/>
              </w:rPr>
              <w:t>" (art. 25, § 3.º). "Qualquer pessoa" é parte legítima para impugnar o edital ou pedir esclarecimentos (art. 164, caput). Modificações no edital implicam nova divulgação e devolução de prazos, "exceto quando a alteração não comprometer a formulação das propostas" (art. 55, § 1.º). Texto convocatório que anuncia comandos inexistentes, remete a dispositivos errados ou contradiz seus próprios anexos não cumpre a função normativa que esses dispositivos lhe atribuem — e o edital reaberto, que já é produto de retificação, acumula os defeitos abaixo, cada um com transcrição e efeito próprio.</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*Conclusão geral.* Isoladamente, vários desses achados seriam "erros materiais"; em conjunto — num edital que já é fruto de retificação e reabertura —, comprometem a função normativa do instrumento: obrigações sem conteúdo (a), exigência central agramatical (b), rol de integração documental vazio sob cláusula de prevalência do corpo (c), remissões sancionatórias e procedimentais erradas (d), dois regimes incompatíveis de LC 123 (e), custo certo…</w:t>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[Argumento completo → AN_bloco6.md, T18]</w:t>
            </w:r>
          </w:p>
        </w:tc>
        <w:tc>
          <w:tcPr>
            <w:tcW w:type="dxa" w:w="2163"/>
            <w:shd w:fill="F2F2F2" w:val="clear"/>
          </w:tcPr>
          <w:p>
            <w:pPr>
              <w:spacing w:after="40" w:before="40" w:line="260" w:lineRule="exact"/>
              <w:jc w:val="both"/>
            </w:pPr>
            <w:r/>
            <w:r>
              <w:rPr>
                <w:rFonts w:ascii="Times New Roman" w:hAnsi="Times New Roman"/>
                <w:sz w:val="18"/>
              </w:rPr>
              <w:t>• art. 5.º e art. 25, caput e § 3.º, da Lei n.º 14.133/2021</w:t>
            </w:r>
          </w:p>
          <w:p>
            <w:pPr>
              <w:spacing w:after="40" w:before="40" w:line="260" w:lineRule="exact"/>
              <w:jc w:val="both"/>
            </w:pPr>
            <w:r>
              <w:rPr>
                <w:rFonts w:ascii="Times New Roman" w:hAnsi="Times New Roman"/>
                <w:sz w:val="18"/>
              </w:rPr>
              <w:t>• art. 55, § 1.º, da Lei n.º 14.133/2021</w:t>
            </w:r>
          </w:p>
          <w:p>
            <w:pPr>
              <w:spacing w:after="40" w:before="40" w:line="260" w:lineRule="exact"/>
              <w:jc w:val="both"/>
            </w:pPr>
            <w:r>
              <w:rPr>
                <w:rFonts w:ascii="Times New Roman" w:hAnsi="Times New Roman"/>
                <w:sz w:val="18"/>
              </w:rPr>
              <w:t>• art. 164, caput e parágrafo único, da Lei n.º 14.133/2021</w:t>
            </w:r>
          </w:p>
          <w:p>
            <w:pPr>
              <w:spacing w:after="40" w:before="40" w:line="260" w:lineRule="exact"/>
              <w:jc w:val="both"/>
            </w:pPr>
            <w:r>
              <w:rPr>
                <w:rFonts w:ascii="Times New Roman" w:hAnsi="Times New Roman"/>
                <w:sz w:val="18"/>
              </w:rPr>
              <w:t>• art. 156, § 3.º, da Lei n.º 14.133/2021</w:t>
            </w:r>
          </w:p>
          <w:p>
            <w:pPr>
              <w:spacing w:after="40" w:before="40" w:line="260" w:lineRule="exact"/>
              <w:jc w:val="both"/>
            </w:pPr>
            <w:r>
              <w:rPr>
                <w:rFonts w:ascii="Times New Roman" w:hAnsi="Times New Roman"/>
                <w:sz w:val="18"/>
              </w:rPr>
              <w:t>• art. 89, caput, e art. 92, inciso III, da Lei n.º 14.133/2021</w:t>
            </w:r>
          </w:p>
          <w:p>
            <w:pPr>
              <w:spacing w:after="40" w:before="40" w:line="260" w:lineRule="exact"/>
              <w:jc w:val="both"/>
            </w:pPr>
            <w:r>
              <w:rPr>
                <w:rFonts w:ascii="Times New Roman" w:hAnsi="Times New Roman"/>
                <w:sz w:val="18"/>
              </w:rPr>
              <w:t>• art. 4.º da Lei n.º 14.133/2021 c/c arts. 42 a 49 da LC n.º 123/2006</w:t>
            </w:r>
          </w:p>
          <w:p>
            <w:pPr>
              <w:spacing w:after="40" w:before="40" w:line="260" w:lineRule="exact"/>
              <w:jc w:val="both"/>
            </w:pPr>
            <w:r>
              <w:rPr>
                <w:rFonts w:ascii="Times New Roman" w:hAnsi="Times New Roman"/>
                <w:sz w:val="18"/>
              </w:rPr>
              <w:t>• art. 9.º, inciso I, alínea "a", da Lei n.º 14.133/2021; art. 37, caput, da CF/1988</w:t>
            </w:r>
          </w:p>
          <w:p>
            <w:pPr>
              <w:spacing w:after="40" w:before="40" w:line="260" w:lineRule="exact"/>
              <w:jc w:val="both"/>
            </w:pPr>
            <w:r>
              <w:rPr>
                <w:rFonts w:ascii="Times New Roman" w:hAnsi="Times New Roman"/>
                <w:sz w:val="18"/>
              </w:rPr>
              <w:t>• art. 5.º, inciso XXXIV, alínea "a", da CF/1988</w:t>
            </w:r>
          </w:p>
          <w:p>
            <w:pPr>
              <w:spacing w:after="40" w:before="40" w:line="260" w:lineRule="exact"/>
              <w:jc w:val="both"/>
            </w:pPr>
            <w:r>
              <w:rPr>
                <w:rFonts w:ascii="Times New Roman" w:hAnsi="Times New Roman"/>
                <w:sz w:val="18"/>
              </w:rPr>
              <w:t>• arts. 5.º, inciso XII, 6.º, incisos III, 7.º, incisos II, III e V, e 39 da Lei n.º 13.709/2018</w:t>
            </w:r>
          </w:p>
          <w:p>
            <w:pPr>
              <w:spacing w:after="40" w:before="40" w:line="260" w:lineRule="exact"/>
              <w:jc w:val="both"/>
            </w:pPr>
            <w:r>
              <w:rPr>
                <w:rFonts w:ascii="Times New Roman" w:hAnsi="Times New Roman"/>
                <w:sz w:val="18"/>
              </w:rPr>
              <w:t>• art. 6.º, inciso XXIII, alínea "a", da Lei n.º 14.133/2021</w:t>
            </w:r>
          </w:p>
          <w:p>
            <w:pPr>
              <w:spacing w:after="40" w:before="40" w:line="260" w:lineRule="exact"/>
              <w:jc w:val="both"/>
            </w:pPr>
            <w:r>
              <w:rPr>
                <w:rFonts w:ascii="Times New Roman" w:hAnsi="Times New Roman"/>
                <w:sz w:val="18"/>
              </w:rPr>
              <w:t xml:space="preserve">• Jurisprudência: </w:t>
            </w:r>
            <w:r>
              <w:rPr>
                <w:rFonts w:ascii="Times New Roman" w:hAnsi="Times New Roman"/>
                <w:b/>
                <w:sz w:val="18"/>
              </w:rPr>
              <w:t>não localizei, nas buscas realizadas no Jus IA, precedente específico</w:t>
            </w:r>
            <w:r>
              <w:rPr>
                <w:rFonts w:ascii="Times New Roman" w:hAnsi="Times New Roman"/>
                <w:sz w:val="18"/>
              </w:rPr>
              <w:t xml:space="preserve"> sobre</w:t>
            </w:r>
          </w:p>
          <w:p>
            <w:pPr>
              <w:spacing w:after="40" w:before="40" w:line="260" w:lineRule="exact"/>
              <w:jc w:val="both"/>
            </w:pPr>
            <w:r>
              <w:rPr>
                <w:rFonts w:ascii="Times New Roman" w:hAnsi="Times New Roman"/>
                <w:sz w:val="18"/>
              </w:rPr>
              <w:t>Doutrina: - MEIRELLES, Hely Lopes. *Direito Administrativo Brasileiro*. 23. ed. São Paulo: Malheiros, p. 135-136 — "O edital é a lei interna da licitação"; revelando-se falho, "poderá ser corrigido a tempo através de aditamento ou expedição de um novo, **sempre com republicação e reabertura de prazo, desde qu</w:t>
            </w:r>
          </w:p>
          <w:p>
            <w:pPr>
              <w:spacing w:after="40" w:before="40" w:line="260" w:lineRule="exact"/>
              <w:jc w:val="both"/>
            </w:pPr>
            <w:r>
              <w:rPr>
                <w:rFonts w:ascii="Times New Roman" w:hAnsi="Times New Roman"/>
                <w:sz w:val="18"/>
              </w:rPr>
              <w:t>— Jurisprudência TCU/TCE (Lei na Mão) —</w:t>
            </w:r>
          </w:p>
          <w:p>
            <w:pPr>
              <w:spacing w:after="40" w:before="40" w:line="260" w:lineRule="exact"/>
              <w:jc w:val="both"/>
            </w:pPr>
            <w:r>
              <w:rPr>
                <w:rFonts w:ascii="Times New Roman" w:hAnsi="Times New Roman"/>
                <w:sz w:val="18"/>
              </w:rPr>
              <w:t xml:space="preserve">• Acórdão 978/2025-TCU-Plenário, Rel. Walton Alencar Rodrigues, sessão de 07/05/2025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t xml:space="preserve">• Acórdão 10682/2023-TCU-Primeira Câmara, Rel. Augusto Sherman, sessão de 12/09/2023 </w:t>
            </w:r>
            <w:r>
              <w:rPr>
                <w:rFonts w:ascii="Times New Roman" w:hAnsi="Times New Roman"/>
                <w:b/>
                <w:color w:val="CC0000"/>
                <w:sz w:val="18"/>
              </w:rPr>
              <w:t>[VIT]</w:t>
            </w:r>
            <w:r>
              <w:rPr>
                <w:rFonts w:ascii="Times New Roman" w:hAnsi="Times New Roman"/>
                <w:sz w:val="18"/>
              </w:rPr>
            </w:r>
          </w:p>
          <w:p>
            <w:pPr>
              <w:spacing w:after="40" w:before="40" w:line="260" w:lineRule="exact"/>
              <w:jc w:val="both"/>
            </w:pPr>
            <w:r>
              <w:rPr>
                <w:rFonts w:ascii="Times New Roman" w:hAnsi="Times New Roman"/>
                <w:sz w:val="18"/>
              </w:rPr>
            </w:r>
          </w:p>
          <w:p>
            <w:pPr>
              <w:spacing w:after="40" w:before="40" w:line="260" w:lineRule="exact"/>
              <w:jc w:val="both"/>
            </w:pPr>
            <w:r>
              <w:rPr>
                <w:rFonts w:ascii="Times New Roman" w:hAnsi="Times New Roman"/>
                <w:sz w:val="18"/>
              </w:rPr>
              <w:t>— Jurisprudência STJ/TJ + doutrina (Jus IA) —</w:t>
            </w:r>
          </w:p>
          <w:p>
            <w:pPr>
              <w:spacing w:after="40" w:before="40" w:line="260" w:lineRule="exact"/>
              <w:jc w:val="both"/>
            </w:pPr>
            <w:r>
              <w:rPr>
                <w:rFonts w:ascii="Times New Roman" w:hAnsi="Times New Roman"/>
                <w:sz w:val="18"/>
              </w:rPr>
              <w:t xml:space="preserve">• TJSP, Proc. 1001236-90.2025.8.26.0099, Rel. Des. Ricardo Dip, 11a Camara de Direito Publico, j. 30/09/2025** </w:t>
            </w:r>
            <w:r>
              <w:rPr>
                <w:rFonts w:ascii="Times New Roman" w:hAnsi="Times New Roman"/>
                <w:b/>
                <w:color w:val="CC0000"/>
                <w:sz w:val="18"/>
              </w:rPr>
              <w:t>[VIT]</w:t>
            </w:r>
            <w:r>
              <w:rPr>
                <w:rFonts w:ascii="Times New Roman" w:hAnsi="Times New Roman"/>
                <w:sz w:val="18"/>
              </w:rPr>
            </w:r>
          </w:p>
        </w:tc>
        <w:tc>
          <w:tcPr>
            <w:tcW w:type="dxa" w:w="2163"/>
            <w:shd w:fill="F2F2F2" w:val="clear"/>
          </w:tcPr>
          <w:p>
            <w:pPr>
              <w:spacing w:after="40" w:before="40" w:line="260" w:lineRule="exact"/>
              <w:jc w:val="center"/>
            </w:pPr>
            <w:r/>
            <w:r>
              <w:rPr>
                <w:rFonts w:ascii="Times New Roman" w:hAnsi="Times New Roman"/>
                <w:b w:val="0"/>
                <w:sz w:val="18"/>
              </w:rPr>
              <w:t>Não</w:t>
            </w:r>
          </w:p>
        </w:tc>
        <w:tc>
          <w:tcPr>
            <w:tcW w:type="dxa" w:w="2163"/>
            <w:shd w:fill="F2F2F2" w:val="clear"/>
          </w:tcPr>
          <w:p>
            <w:pPr>
              <w:spacing w:after="40" w:before="40" w:line="260" w:lineRule="exact"/>
              <w:jc w:val="center"/>
            </w:pPr>
            <w:r/>
            <w:r>
              <w:rPr>
                <w:rFonts w:ascii="Times New Roman" w:hAnsi="Times New Roman"/>
                <w:b w:val="0"/>
                <w:sz w:val="18"/>
              </w:rPr>
            </w:r>
          </w:p>
        </w:tc>
      </w:tr>
    </w:tbl>
    <w:p/>
    <w:p>
      <w:pPr>
        <w:jc w:val="center"/>
      </w:pPr>
      <w:r>
        <w:rPr>
          <w:rFonts w:ascii="Times New Roman" w:hAnsi="Times New Roman"/>
          <w:b/>
          <w:color w:val="CC0000"/>
          <w:sz w:val="26"/>
        </w:rPr>
        <w:t>[RESERVA — NÃO PROTOCOLAR]</w:t>
      </w:r>
    </w:p>
    <w:p>
      <w:r>
        <w:rPr>
          <w:rFonts w:ascii="Times New Roman" w:hAnsi="Times New Roman"/>
          <w:i/>
          <w:sz w:val="20"/>
        </w:rPr>
        <w:t>Pontos que funcionam como vantagem competitiva para o grupo. A decisão de levantar ou reservar é exclusiva do advogado.</w:t>
      </w:r>
    </w:p>
    <w:p>
      <w:pPr>
        <w:spacing w:before="160"/>
      </w:pPr>
      <w:r>
        <w:rPr>
          <w:rFonts w:ascii="Times New Roman" w:hAnsi="Times New Roman"/>
          <w:b/>
          <w:sz w:val="22"/>
        </w:rPr>
        <w:t>R1 (C-052) — Frete do item 3 ancorado nos aterros mais próximos, um deles do grupo</w:t>
      </w:r>
    </w:p>
    <w:p>
      <w:pPr>
        <w:jc w:val="both"/>
      </w:pPr>
      <w:r>
        <w:rPr>
          <w:rFonts w:ascii="Times New Roman" w:hAnsi="Times New Roman"/>
          <w:sz w:val="20"/>
        </w:rPr>
        <w:t>**Assimetria/vantagem.** A Tabela de Quilometragem do próprio edital fixa como referências de transbordo: São Carlos Ambiental — **Grupo Solvi — 67 km**; Aterro Casa Branca (Seleta) — 67 km; CGR Guatapará (Estre) — 86 km; Orizon Paulínia — 123 km; CTR Essencial Rio das Pedras — 140 km, "principais destinos considerados, sem prejuízo de outras opções". Quem é dono do aterro a 67 km precifica o item 3 (transporte + disposição) com custo interno de disposição (custo marginal, não gate fee de mercado) e frete mínimo. Concorrente sem ativo na região precisa comprar gate fee — de nós ou de rivais verticalizados (Seleta, Estre).</w:t>
        <w:br/>
        <w:br/>
        <w:t>**Exploração lícita.** Precificar o item 3 a partir do custo real próprio é legítimo — vantagem estrutural de ativo não é vício de proposta. Duas providências dão robustez: (i) formalizar internamente o preço de transferência da disposição em São Carlos (documento de custo + capacidade reservada), para responder com folga a eventual diligência de exequibilidade sobre unitário agressivo no item 3; (ii) tratar a mesma estrutura como resposta pronta à exigência do 5.5.20 (LO vigente + carta de anuência), que para o grupo é documento interno. Não confundir: preço baixo **lastreado em custo** é defesa, não risco.</w:t>
        <w:br/>
        <w:br/>
        <w:t>**Risco de exposição.** Terceiro pode impugnar a Tabela de Quilometragem como referencial que favorece verticalizados, ou o controle externo pode questionar a modelagem do item 3 (a sonegação dos dados de mercado usados nas respostas — C-168 — já está mapeada em T9/T5). Efeito se levantado: a Administração poderia ampliar o raio referencial ou neutralizar o destino (fixar aterro referencial único para fins de proposta) — reduz a vantagem de modelagem, mas não elimina a vantagem física da proximidade. Nada disso torna a nossa precificação ilícita; o custo de exposição aqui é baixo.</w:t>
        <w:br/>
        <w:br/>
        <w:t>**Postura recomendada (opções).** (i) **Silêncio** — a tabela do edital já nos serve; nada a pedir. (ii) Preparar dossiê defensivo de exequibilidade (composição de custos do item 3 com disposição interna documentada). (iii) Se terceiro atacar a tabela, avaliar manifestação técnica neutra apenas se a alteração proposta nos prejudicar.</w:t>
        <w:br/>
        <w:br/>
        <w:t>**Monitorar.** Impugnações/esclarecimentos de terceiros sobre o item 3 e a tabela; qualquer republicação que altere os destinos referenciais; capacidade licenciada e vida útil de São Carlos no horizonte 2027+ (`[VALIDAÇÃO TÉCNICA]` — confirmar com a operação disponibilidade real de 40 t/dia adicionais).</w:t>
        <w:br/>
        <w:br/>
        <w:t>---</w:t>
      </w:r>
    </w:p>
    <w:p>
      <w:pPr>
        <w:spacing w:before="160"/>
      </w:pPr>
      <w:r>
        <w:rPr>
          <w:rFonts w:ascii="Times New Roman" w:hAnsi="Times New Roman"/>
          <w:b/>
          <w:sz w:val="22"/>
        </w:rPr>
        <w:t>R2 (C-039, C-044, C-168) — Assimetria informacional sobre o aterro municipal</w:t>
      </w:r>
    </w:p>
    <w:p>
      <w:pPr>
        <w:jc w:val="both"/>
      </w:pPr>
      <w:r>
        <w:rPr>
          <w:rFonts w:ascii="Times New Roman" w:hAnsi="Times New Roman"/>
          <w:sz w:val="20"/>
        </w:rPr>
        <w:t>**Assimetria/vantagem.** O edital reaberto não anexa topografia, capacidade volumétrica remanescente da Vala 05, relatórios de monitoramento, condicionantes da LO nem histórico de pesagens (documentos prometidos na resposta à 6ª impugnação e não entregues — C-044); traz apenas vida útil "estimada para o primeiro semestre de 2027" e geração de ~190 L de chorume/t. Datas divergentes nos autos (1º sem/2027 no TR vs. 2029 na resposta à 2ª impugnação — cf. T2) tornam a data da transição item 2→item 3 a variável mais valiosa do certame: ela decide quanto de cada item será executado e, portanto, onde deve estar a margem (ver R3). Quem conhece a unidade modela essa data com erro menor.</w:t>
        <w:br/>
        <w:br/>
        <w:t>**Exploração lícita.** (i) **Visita técnica** (facultada — item 4.12 do TR / Anexo VI) com equipe de engenharia própria: levantamento expedito da praça da vala, taxa de ocupação, frentes ativas, fotos — dado colhido licitamente em diligência franqueada a todos. (ii) Fontes públicas: processo CETESB da LO, SNIS/SINISA, série histórica de pesagens via LAI se conveniente (atenção: pedido LAI nosso pode ser visto por terceiros se a resposta for publicada — usar interposta consulta genérica ou avaliar custo/benefício). (iii) Modelagem de cenários de esgotamento para calibrar os unitários dos itens 2/3.</w:t>
        <w:br/>
        <w:br/>
        <w:t>**Risco de exposição.** Duplo. Primeiro: T9 (tese pública já destilada) pede exatamente a anexação desses dados — se NÓS impugnarmos T9, socializamos a informação e dissolvemos a assimetria; se não impugnarmos e outro o fizer (a Revita já tentou na 6ª), o efeito é o mesmo. Segundo, e decisivo: **a direção da assimetria depende de quem opera hoje o aterro e a coleta** — o edital não identifica o operador atual. Se o incumbente for concorrente, a assimetria corre CONTRA nós, e T9 deixa de ser reserva para virar a nossa arma (nivelar o campo). Este é o fato a apurar antes de qualquer decisão.</w:t>
        <w:br/>
        <w:br/>
        <w:t>**Postura recomendada (opções).** (i) Se a apuração confirmar vantagem informacional nossa (visita robusta + fontes públicas suficientes): **silêncio sobre T9** + investimento pesado na diligência própria. (ii) Se o incumbente-concorrente detiver a informação: **levantar T9 publicamente** (impugnação pedindo anexação de topografia, capacidade remanescente, pesagens e condicionantes) — nivelamento é o segundo melhor resultado. (iii) Posição intermediária: esclarecimento pontual só sobre a **data** (conciliar 1º sem/2027 vs. 2029), que reduz a variância sem entregar o pacote completo de dados.</w:t>
        <w:br/>
        <w:br/>
        <w:t>**Monitorar.** Quem é o operador atual do aterro e da coleta (fato-chave); pedidos LAI e esclarecimentos de terceiros sobre a Vala 05; qualquer anexação superveniente de documentos; respostas que fixem data ou critério para a transição. `[VALIDAÇÃO TÉCNICA]` — estimativa própria de vida útil da vala exige engenharia.</w:t>
        <w:br/>
        <w:br/>
        <w:t>---</w:t>
      </w:r>
    </w:p>
    <w:p>
      <w:pPr>
        <w:spacing w:before="160"/>
      </w:pPr>
      <w:r>
        <w:rPr>
          <w:rFonts w:ascii="Times New Roman" w:hAnsi="Times New Roman"/>
          <w:b/>
          <w:sz w:val="22"/>
        </w:rPr>
        <w:t>R3 (C-101 — dimensão reserva) — Julgamento global de itens excludentes: desbalanceamento lícito × jogo de planilha</w:t>
      </w:r>
    </w:p>
    <w:p>
      <w:pPr>
        <w:jc w:val="both"/>
      </w:pPr>
      <w:r>
        <w:rPr>
          <w:rFonts w:ascii="Times New Roman" w:hAnsi="Times New Roman"/>
          <w:sz w:val="20"/>
        </w:rPr>
        <w:t>**Assimetria/vantagem.** O julgamento é pelo menor valor global do lote, somando itens 2 e 3 — "mutuamente excludentes e sucessivos" (Nota do item 9.1 do TR) — ambos com as mesmas 12.480 t/ano e o mesmo unitário referencial (R$ 249,28/t). O valor global julgado **não corresponde a nenhum cenário real de execução** (nunca se executam os dois simultaneamente). Logo, quem melhor estimar a data da transição (ver R2) pode alocar preço entre os itens de modo que o número julgado fique competitivo e a receita efetiva — dado o timing real — fique protegida: se a vala durar mais que o precificado pelo mercado, margem no item 2; se menos, margem no item 3.</w:t>
        <w:br/>
        <w:br/>
        <w:t>**Exploração lícita — onde passa o limite.** Este é o ponto que exige a régua mais fina do bloco:</w:t>
        <w:br/>
        <w:br/>
        <w:t>- **Lícito:** distribuir margem entre itens conforme expectativa **fundamentada** de execução, mantendo cada unitário (a) dentro de faixa de mercado defensável e (b) individualmente exequível, com composição de custos própria por item. Precificação estratégica sob incerteza que o próprio edital criou — ao somar excludentes e usar unitário único de referência para logísticas radicalmente distintas — é consequência da modelagem da Administração, não fraude do licitante. No nosso caso específico, um item 3 agressivo tem **lastro em custo real** (disposição interna a 67 km — R1): desconto explicável por eficiência estrutural, não artificial.</w:t>
        <w:br/>
        <w:t>- **Vedado (jogo de planilha):** unitário sem correspondência com custo — item deprimido a preço vil compensado por item inflado que se sabe dominante na execução. Régua legal objetiva: o art. 6.º, inciso LVI, da Lei n.º 14.133/2021 define sobrepreço, em contratação por preços unitários, pelo excesso "**de apenas 1 (um) item**" — ou seja, o controle não olha o global: olha item a item. Unitário inflado no item que dominar a execução é sobrepreço autuável ainda que o global tenha sido o menor; e as figuras do art. 6.º, inciso LVII (superfaturamento por distorção de cronograma/cláusulas financeiras) fecham o cerco na execução. No polo oposto, unitário deprimido convida diligência de exequibilidade e desclassificação. **[PENDENTE: busca TCU/TCE via Lei na Mão antes de qualquer uso formal do conceito — chaves: "jogo de planilha"; "desbalanceamento" + "preços unitários"; "sobrepreço unitário" + "menor preço global"]**</w:t>
        <w:br/>
        <w:t>- **Marcador prático para a proposta:** cada unitário fecha com DRE própria positiva ou justificável por sinergia documentada; nenhum unitário fora da faixa dos referenciais do processo sem memória de custo que o explique; a alocação de margem entre 2 e 3 reflete a NOSSA curva de probabilidade da transição, documentada no estudo interno (que também serve de defesa).</w:t>
        <w:br/>
        <w:br/>
        <w:t>**Risco de exposição.** T1 (tese pública) ataca exatamente a soma dos excludentes; se acolhida — por nossa iniciativa ou de terceiro — o conserto provável (julgamento que neutralize a duplicidade, critério de aceitabilidade por item, ou adjudicação por item) **encolhe ou elimina a oportunidade**. Trad</w:t>
        <w:br/>
        <w:t>[...ver AN_bloco6.md]</w:t>
      </w:r>
    </w:p>
    <w:p>
      <w:pPr>
        <w:spacing w:before="160"/>
      </w:pPr>
      <w:r>
        <w:rPr>
          <w:rFonts w:ascii="Times New Roman" w:hAnsi="Times New Roman"/>
          <w:b/>
          <w:sz w:val="22"/>
        </w:rPr>
        <w:t>R4 (C-072) — Habilitação silente sobre acesso a aterro de terceiro e licenças</w:t>
      </w:r>
    </w:p>
    <w:p>
      <w:pPr>
        <w:jc w:val="both"/>
      </w:pPr>
      <w:r>
        <w:rPr>
          <w:rFonts w:ascii="Times New Roman" w:hAnsi="Times New Roman"/>
          <w:sz w:val="20"/>
        </w:rPr>
        <w:t>**Assimetria/vantagem.** O Anexo II (item 1.3 — Qualificação Técnica) não exige, na habilitação, comprovação de acesso a aterro licenciado para o item 3 nem regularidade ambiental do destino; a exigência só aparece na **execução** (5.5.20: autorização prévia da Administração + LO vigente + carta de anuência). Para o grupo, custo zero: a solução de destinação é própria. Para concorrente não verticalizado, a omissão permite entrar "no escuro" — mas também nos poupa de mobilizar documentos de terceiros e elimina um flanco de inabilitação.</w:t>
        <w:br/>
        <w:br/>
        <w:t>**Exploração lícita.** Essencialmente passiva: manter a documentação do 5.5.20 pronta (interna) e vencer no preço. Vantagem secundária: aventureiro sem destinação assegurada que vença terá dificuldade real na execução — e cada fragilidade dele é matéria de recurso ou de fiscalização.</w:t>
        <w:br/>
        <w:br/>
        <w:t>**Risco de exposição.** O reverso da omissão é que ela **facilita a entrada de propostas agressivas sem lastro** — nosso principal risco competitivo neste certame não é o rival verticalizado, é o aventureiro. Pedir publicamente a inclusão de exigência habilitatória de destinação seria pedir restrição — juridicamente delicado (art. 37, inciso XXI, da CF/1988: só exigências indispensáveis; art. 9.º, inciso I, da Lei n.º 14.133/2021) e reputacionalmente custoso (grupo dominante pedindo barreira). Provável indeferimento e exposição desnecessária.</w:t>
        <w:br/>
        <w:br/>
        <w:t>**Postura recomendada (opções).** (i) **Silêncio** (default). (ii) Se a área comercial quiser elevar o custo do aventureiro sem tocar na habilitação: esclarecimento dirigido sobre o **momento e a forma** de cumprimento do 5.5.20 ("a comprovação da LO e da carta de anuência do aterro receptor deve ser apresentada na assinatura do contrato / na emissão da OS / antes da primeira remessa?") — aperta o funil na largada da execução, terreno onde nossa prontidão é diferencial, sem criar exigência nova. (iii) Não pedir inclusão em habilitação. **Conversão futura:** se licitante sem solução de destinação vencer, o ponto converte-se em (a) pedido de diligência/recurso na aceitabilidade (exequibilidade da logística do item 3) e (b) acompanhamento cerrado da execução (descumprimento do 5.5.20 → sanção/rescisão).</w:t>
        <w:br/>
        <w:br/>
        <w:t>**Monitorar.** Quem disputa sem ativo de destinação na região; esclarecimentos de terceiros sobre o 5.5.20; a redação que a errata de T18-b der ao dispositivo (ver R7).</w:t>
        <w:br/>
        <w:br/>
        <w:t>---</w:t>
      </w:r>
    </w:p>
    <w:p>
      <w:pPr>
        <w:spacing w:before="160"/>
      </w:pPr>
      <w:r>
        <w:rPr>
          <w:rFonts w:ascii="Times New Roman" w:hAnsi="Times New Roman"/>
          <w:b/>
          <w:sz w:val="22"/>
        </w:rPr>
        <w:t>R5 (C-036) — Fontes extras de tonelada no item 2</w:t>
      </w:r>
    </w:p>
    <w:p>
      <w:pPr>
        <w:jc w:val="both"/>
      </w:pPr>
      <w:r>
        <w:rPr>
          <w:rFonts w:ascii="Times New Roman" w:hAnsi="Times New Roman"/>
          <w:sz w:val="20"/>
        </w:rPr>
        <w:t>**Assimetria/vantagem.** O TR obriga pesagem e identificação de "todo resíduo a ser depositado no aterro" (itens 5.5.1/5.5.2/5.9), mas **não define** se o aterro municipal receberá resíduos de outras fontes (varrição e serviços da Prefeitura, particulares autorizados) nem se essas toneladas remuneram o item 2. Quem conhece o fluxo real da unidade sabe se existe tonelagem faturável além das 12.480 t/ano da coleta domiciliar — receita invisível para estranhos.</w:t>
        <w:br/>
        <w:br/>
        <w:t>**Exploração lícita.** (i) Due diligence do fluxo real: visita técnica, observação, dados públicos (SNIS/SINISA, contratos municipais de varrição), aferição de quem hoje despeja na unidade. (ii) Se a tonelada extra for material e **se** a base de medição do item 2 for "tonelada pesada na portaria" (redação atual sugere, mas não garante), precificar o item 2 com diluição de custos fixos pela tonelagem total esperada — unitário mais competitivo sem sacrifício de margem.</w:t>
        <w:br/>
        <w:br/>
        <w:t>**Risco de exposição.** A mesma ambiguidade que cria a oportunidade cria o risco simétrico: a fiscalização pode sustentar, na execução, que só a tonelada da coleta domiciliar remunera o item 2 — e a receita extra evapora (glosa). Explorar a reserva sem conforto sobre a base de medição é apostar em interpretação. O instrumento que dá conforto — esclarecimento dirigido — **socializa a informação** (a resposta publicada avisa o mercado de que existe tonelada extra). Trade-off clássico informação × segurança.</w:t>
        <w:br/>
        <w:br/>
        <w:t>**Postura recomendada (opções).** (i) **Silêncio + precificação conservadora** (não contar com a tonelada extra; se vier, é upside) — preserva a assimetria e evita o risco de glosa por não ter sido precificada como receita necessária. (ii) **Esclarecimento dirigido** se a due diligence mostrar tonelagem extra material a ponto de decidir o certame: "Confirma-se que todas as toneladas recebidas e pesadas na portaria do aterro municipal, independentemente da origem (coleta domiciliar, varrição, serviços da Prefeitura, particulares autorizados), integram a base de medição e faturamento do item 2?" — resposta vinculante protege a receita, mas nivela o campo. (iii) Variante discreta: pergunta enquadrada como medição/contrato ("qual a base de medição do item 2?") sem enumerar fontes — menor sinalização, menor garantia. A escolha depende da materialidade apurada.</w:t>
        <w:br/>
        <w:br/>
        <w:t>**Monitorar.** Resultado da due diligence de fluxo (tonelagem de varrição e terceiros); perguntas de terceiros sobre medição do item 2 (se alguém perguntar primeiro, a assimetria acabou — reprecificar); na execução, posição da fiscalização sobre a base de faturamento; interface com T12 (ponto de pesagem/balança sob controle da contratada — a mesma balança que nos remunera é a que o controle externo vai auditar: rastreabilidade impecável desde o dia 1).</w:t>
        <w:br/>
        <w:br/>
        <w:t>---</w:t>
      </w:r>
    </w:p>
    <w:p>
      <w:pPr>
        <w:spacing w:before="160"/>
      </w:pPr>
      <w:r>
        <w:rPr>
          <w:rFonts w:ascii="Times New Roman" w:hAnsi="Times New Roman"/>
          <w:b/>
          <w:sz w:val="22"/>
        </w:rPr>
        <w:t>R6 (C-040, C-005 — dimensão reserva) — Mobilização exígua favorece quem já está na região</w:t>
      </w:r>
    </w:p>
    <w:p>
      <w:pPr>
        <w:jc w:val="both"/>
      </w:pPr>
      <w:r>
        <w:rPr>
          <w:rFonts w:ascii="Times New Roman" w:hAnsi="Times New Roman"/>
          <w:sz w:val="20"/>
        </w:rPr>
        <w:t>**Assimetria/vantagem.** Cláusula 9.1.5 da minuta: início das atividades em **30 dias** da OS com operação completa (frota adesivada com GPS, garagem, oficina, almoxarifado com 6 jogos de pneus, 0800, 80 contêineres, sede local). Cronograma anexo: assunção total no **Dia 07**, com pessoal contratado e com ASO até o Dia 04, frota vistoriada no Dia 05, testes de rota no Dia 06, SAC no Dia 01. Prazos desta ordem são barreira natural contra entrante sem estrutura regional — e favorecem tanto o incumbente local quanto quem tenha base operacional a distância de apoio (nossa unidade de São Carlos, 67 km).</w:t>
        <w:br/>
        <w:br/>
        <w:t>**Exploração lícita.** Plano de mobilização documentado e datado: pré-acordos de locação de garagem/pátio em Porto Ferreira, frota reserva alocável de São Carlos, recrutamento regional pré-mapeado, minuta de contrato com fornecedor de contêineres. Objetivo duplo: cumprir o prazo se vencermos e demonstrar exequibilidade se questionados. A exiguidade alheia não é problema nosso — é filtro.</w:t>
        <w:br/>
        <w:br/>
        <w:t>**Risco de exposição.** Três vetores. (i) T16 (tese pública) já cataloga a contradição 30 dias × Dia 07 — impugnável por qualquer licitante; se acolhida com dilatação de prazo (60-90 dias), a barreira cai. (ii) A contradição interna é também um risco NOSSO na execução: qual prazo vale? Multa por descumprir o Dia 07 mesmo dentro dos 30 dias? Deixá-la em pé ameaça qualquer vencedor — inclusive nós (interface com T11: KPIs com retenção direta). (iii) Exigências pontuais do pacote (Cartão Cidadão com senha — LGPD; domicílio bancário local) já estão em T16 e podem derrubar partes do pacote por arrasto.</w:t>
        <w:br/>
        <w:br/>
        <w:t>**Postura recomendada (opções).** (i) **Impugnação cirúrgica da contradição apenas**: pedir que prevaleça o prazo de 30 dias (com o cronograma do Dia 07 convertido em marco INTERNO a contar do início efetivo, ou expressamente subordinado aos 30 dias) — **sem pedir dilatação**. Resolve o risco sancionatório e preserva a exiguidade como barreira. (ii) Silêncio total — barreira máxima, risco sancionatório máximo; só faz sentido com conforto operacional pleno de cumprir o Dia 07. (iii) Se a validação operacional interna concluir que NÃO cumprimos 30 dias/Dia 07: aderir integralmente a T16 e pedir prazo realista. `[VALIDAÇÃO TÉCNICA: capacidade real de mobilização em 30 dias/Dia 07 com apoio de São Carlos — pergunta para a operação, não para o jurídico]`</w:t>
        <w:br/>
        <w:br/>
        <w:t>**Monitorar.** Impugnações de terceiros sobre mobilização (quem pede dilatação revela que não está pronto — informação competitiva); resposta da Administração; indefinição do termo inicial (C-035/C-033 — assinatura×OS sem prazo para emissão da OS) que interage com qualquer plano de mobilização; disponibilidade efetiva de frota/pessoal na janela provável da OS.</w:t>
        <w:br/>
        <w:br/>
        <w:t>---</w:t>
      </w:r>
    </w:p>
    <w:p>
      <w:pPr>
        <w:spacing w:before="160"/>
      </w:pPr>
      <w:r>
        <w:rPr>
          <w:rFonts w:ascii="Times New Roman" w:hAnsi="Times New Roman"/>
          <w:b/>
          <w:sz w:val="22"/>
        </w:rPr>
        <w:t>R7 (C-037) — Carta de anuência do aterro receptor emitida por concorrentes verticalizados</w:t>
      </w:r>
    </w:p>
    <w:p>
      <w:pPr>
        <w:jc w:val="both"/>
      </w:pPr>
      <w:r>
        <w:rPr>
          <w:rFonts w:ascii="Times New Roman" w:hAnsi="Times New Roman"/>
          <w:sz w:val="20"/>
        </w:rPr>
        <w:t>**Assimetria/vantagem.** O 5.5.20 exige, para o aterro externo do item 3, LO vigente + carta de anuência atestando capacidade para 40 t/dia. Os aterros de referência da própria Tabela de Quilometragem pertencem a grupos do setor (Solvi — São Carlos; Seleta — Casa Branca; Estre — Guatapará; Orizon — Paulínia). Concorrente não verticalizado dependerá de documento emitido por um rival — potencialmente por nós. O grupo não depende de ninguém.</w:t>
        <w:br/>
        <w:br/>
        <w:t>**Exploração lícita — LIMITE CRÍTICO.** A vantagem **passiva** (não depender de anuência alheia) é legítima e plena. A fronteira está na conduta **ativa**: recusar, retardar ou encarecer seletivamente anuência/gate fee a concorrente que procure o aterro de São Carlos no contexto deste certame é conduta de risco concorrencial alto — recusa de contratar / criação de dificuldade a rival por agente com posição relevante em infraestrutura regional escassa pode caracterizar infração à ordem econômica (art. 36 da Lei n.º 12.529/2011 — `[verificar incisos aplicáveis do § 3.º antes de qualquer uso formal]`), além de expor o grupo, no certame, à narrativa de fechamento de mercado. Providência recomendada ANTES da sessão: **política escrita e uniforme de resposta a pedidos de anuência/gate fee** (condições comerciais justificáveis e iguais para solicitantes equivalentes, resposta em prazo padrão, registro documental de tudo). Isso é simultaneamente defesa CADE, defesa reputacional e — se um dia formos nós a depender de anuência alheia noutro certame — o precedente que nos protege.</w:t>
        <w:br/>
        <w:br/>
        <w:t>**Risco de exposição.** (i) Terceiro pode impugnar o 5.5.20 alegando dependência estrutural de concorrentes; acolhimento provável viria como flexibilização (aceitar contrato de disposição, declaração própria, ou rol de destinos credenciados) — dilui a vantagem, não a elimina (a proximidade física permanece). (ii) O texto truncado do 5.5.20 será corrigido via T18-b (nós mesmos pediremos a errata): a Administração pode aproveitar a correção para **redesenhar a sistemática** — monitorar a redação da retificação; nosso pedido deve ser minimalista (reinserir "licença", nada mais), como já anotado no roteamento de T18. (iii) Se recusarmos anuência a alguém e isso vazar para o processo, a reserva vira passivo instantâneo — daí a política uniforme.</w:t>
        <w:br/>
        <w:br/>
        <w:t>**Postura recomendada (opções).** (i) **Silêncio** sobre a dependência estrutural; pedido de errata do 5.5.20 estritamente gramatical (já embutido em T18-b). (ii) Implantar imediatamente a política uniforme de anuência/gate fee no aterro de São Carlos, com registro. (iii) Se a Administração redesenhar o 5.5.20 na errata em direção restritiva a não verticalizados, NÃO comemorar nem reforçar publicamente — qualquer digital nossa numa restrição que só nós atendemos com facilidade é munição para terceiros e para o TCE. **Conversão futura:** não há cenário em que interesse ao grupo converter R7 em impugnação; o cenário de conversão é defensivo (responder a impugnação alheia contra o 5.5.20 com manifestação técni</w:t>
        <w:br/>
        <w:t>[...ver AN_bloco6.md]</w:t>
      </w:r>
    </w:p>
    <w:p/>
    <w:p>
      <w:pPr>
        <w:jc w:val="center"/>
      </w:pPr>
      <w:r>
        <w:rPr>
          <w:rFonts w:ascii="Times New Roman" w:hAnsi="Times New Roman"/>
          <w:i/>
          <w:sz w:val="16"/>
        </w:rPr>
        <w:t>Documento gerado automaticamente pelo pipeline Solvi (Fase 2 AN+R). Jurisprudência [VIT] pendente de verificação no inteiro teor. Pontos [VALIDAÇÃO TÉCNICA] dependem de confirmação de engenharia.</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