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PROTEÇÃO CONTRATUAL PÓS-ADJUDICAÇÃO</w:t>
      </w:r>
    </w:p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Termo de Assunção Operacional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CC0000"/>
          <w:sz w:val="24"/>
          <w:szCs w:val="24"/>
        </w:rPr>
        <w:t xml:space="preserve">[RESERVA — USO INTERNO]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PE 30/2026 (Reabertura) — Porto Ferreira/SP — Agosto/2026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assinar o termo de assunção operacional prometido pela Administração na resposta à 6.ª impugnação, documentando as condições reais da Vala 05. O laudo atestará o não atendimento da Exigência Técnica 08 da LO, tornando inviável a continuidade da disposição na vala (Item 2). A consequência contratual é a transição para o Item 3 (destinação externa).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Lógica: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Vala 05 não reúne as condições exigidas pela ET-08 da LO CETESB n.º 4011055. O termo de assunção documenta essa realidade. Se a vala não atende as exigências técnicas da licença de operação, a disposição de resíduos ali (Item 2) não pode prosseguir sem que o Município, titular da licença e do ativo, regularize a situação. Até lá, opera-se pelo Item 3.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O que a Administração já declarou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400"/>
        <w:gridCol w:w="32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Declaração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Situação atual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contratada não responderá por passivos ambientais, estruturais ou operacionais anteriores ao início da execução"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 (T15, C-063)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"Registro das condições iniciais da unidade por ocasião da assunção"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ET-08 da LO: "Implantar em toda a Vala nº 05 sistema de drenagem de chorume, impermeabilização (manta de PEAD) e drenagem de gases"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4011055, Exigência Técnica 08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Condicionante ativa da licença; não atendida integralmente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Observação 05 da LO: descumprimento de exigências técnicas implica cancelamento automático da licença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Aplica-se à ET-08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5.5.5–5.5.15: contratada deve "garantir" impermeabilização, drenagem de chorume e drenagem de gases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do edital reaberto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Obrigação transferida sem registro do estado atual dos sistemas</w:t>
            </w:r>
          </w:p>
        </w:tc>
      </w:tr>
    </w:tbl>
    <w:p>
      <w:pPr>
        <w:spacing w:after="200" w:before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 resposta à 6.ª impugnação, embora não incorporada formalmente, vincula a Administração (art. 164, parágrafo único, Lei n.º 14.133/2021) e é a base para solicitar o termo de assunção na execução do contrato.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Estrutura contratual: Item 2 vs. Item 3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edital estrutura a destinação final em dois itens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mutuamente excludentes e sucessivos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não simultâneos. O Item 3 só começa quando o Item 2 termina. A vedação é expressa: "fica expressamente vedada a cobrança do Item 2 do objeto, passando a ser faturado exclusivamente o Item 3" (TR 5.1.6.3).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50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Previsão editalícia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2 — Destinação no aterro municipal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Disposição na Vala 05, licenciada pela LO CETESB n.º 4011055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1.1, Lote 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3 — Destinação externa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Disposição em aterro licenciado em outro município, sob responsabilidade da contratada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1.1, Lote 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Quantitativo estimado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12.480 t/ano para cada item (mesma tonelagem, nunca simultânea)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1.1; ETP item 7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Preço unitário referencial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2: R$ 168,77/t · Item 3: R$ 249,28/t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Quadro Comparativo de Preços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Gatilho da transição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"É de responsabilidade dos técnicos da CONTRATANTE a validação contínua da utilização da vala, monitorando a capacidade de carga e estabilidade dos taludes"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5.5.18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Vedação de cumulatividade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partir da constatação do encerramento do Aterro Municipal, fica expressamente vedada a cobrança do Item 2"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5.1.6.3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 estimada de esgotamento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"Provavelmente no primeiro semestre de 2027"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2.4, 5.1.6.2, 5.5.17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Ponto central: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decisão de quando encerrar o Item 2 e iniciar o Item 3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unilateral dos técnicos do Município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sem parâmetro técnico objetivo, sem procedimento formal, sem laudo, sem prazo de aviso prévio e sem participação da contratada (TR 5.5.18). O termo de assunção cria o fundamento técnico da contratada para provocar a transição, em vez de ficar à mercê de uma constatação unilateral.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Teto diário da LO vs. tonelagem do edital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600"/>
        <w:gridCol w:w="30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Parâmetro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Teto diário licenciado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60 t/dia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Observação 01 da LO CETESB n.º 4011055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Média diária estimada (dias úteis)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~40 t/dia (12.480 t/ano ÷ 312 dias úteis)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1.1; cálculo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Premissa da tabela de transbordo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 t/dia (1,5 viagens × 30 t)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Tabela de Quilometragem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Tonelagem pré-Decreto 3.367/2026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~50 t/dia (1.300 t/mês ÷ 26 dias)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ETP item 7</w:t>
            </w:r>
          </w:p>
        </w:tc>
      </w:tr>
    </w:tbl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média, a operação fica abaixo do teto de 60 t/dia. Nos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picos de segunda-feira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porém, a concentração de coleta (região central diária + regiões alternadas + resíduo represado de domingo) pode se aproximar ou ultrapassar o limite licenciado. O edital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prevê regra de escalonamento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descarga para administrar esses picos. A contratada fica entre a penalidade contratual por atraso (se não descarregar) e a operação em desacordo com a licença ambiental (se descarregar acima do teto — art. 60 da Lei n.º 9.605/1998).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Este é um risco operacional adicional do Item 2 que o termo de assunção pode documentar — reforçando a conveniência da transição ao Item 3.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Sequência pós-adjudicação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Pressupõe vitória no certame.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1 — Solicitação do termo de assunção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imediatamente após a assinatura do contrato.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ofício formal ao CONTRATANTE solicitando a lavratura do termo de assunção operacional, nos termos do compromisso da resposta à 6.ª impugnação.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Fundamento: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art. 5.º da Lei n.º 14.133/2021 (boa-fé, vinculação ao edital); art. 164, parágrafo único (vinculação da resposta); art. 92, XIV (responsabilidades das partes).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Conteúdo do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Referência à resposta à 6.ª impugnação;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Rol de itens a registrar: (a) levantamento planialtimétrico da Vala 05; (b) estado da impermeabilização de base (manta PEAD); (c) estado dos sistemas de drenagem de chorume; (d) estado dos sistemas de drenagem de gases; (e) capacidade volumétrica remanescente; (f) condicionantes ativas da LO; (g) registro fotográfico georreferenciado;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Proposta de vistoria conjunta (CONTRATANTE + CONTRATADA + engenheiro RT).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o Município protelar, a contratada reitera o ofício e, se necessário, realiza o levantamento por conta própria (laudo com ART/RRT), notificando o CONTRATANTE para acompanhar — preserva a boa-fé e documenta o estado independentemente da adesão do fiscal.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2 — Vistoria e lavratura do termo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primeiros 15–30 dias de contrato (antes do início efetivo da operação da vala, se possível).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Execução: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equipe de engenharia da contratada, preferencialmente acompanhada do fiscal do contrato, realiza vistoria técnica na Vala 05: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 que registrar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Impermeabilização (PEAD)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Presença/ausência em toda a vala; integridade; trechos sem cobertura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chorume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Existência; dimensionamento; estado;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gases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 de drenos; espaçamento;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Topografia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Levantamento planialtimétrico; capacidade remanescente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Cobertura diária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Camada sobre resíduos expostos (ET-01)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pluvial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Estado do sistema (ET-04)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Passivos aparentes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Chorume aflorante, erosão, vetores, situação geral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laudo técnico com ART/RRT, formalizado como Termo de Assunção Operacional, entregue ao CONTRATANTE por protocolo.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3 — Constatação do não atendimento da ET-08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ET-08 exige implantação "em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Vala nº 05" de três sistemas: drenagem de chorume, impermeabilização com manta PEAD e drenagem de gases. A implantação retroativa desses sistemas em trechos já aterrados é tecnicamente inviável. A vala não atende integralmente a ET-08.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laudo do termo de assunção documentará essa não conformidade. O registro cumpre duas funções: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Segregação de responsabilidade: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 não atendimento da ET-08 é anterior à assunção — documentado no baseline, é passivo do titular do ativo (Município), conforme o compromisso da 6.ª impugnação.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Inviabilidade da operação pelo Item 2: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 a vala não atende as exigências técnicas da LO, a disposição de resíduos ali não pode prosseguir sem regularização pelo titular da licença. A contratada não pode operar em desacordo com as condicionantes da licença ambiental.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4 — Comunicação ao CONTRATANTE e transição ao Item 3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após a conclusão do laudo.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Ofício ao CONTRATANTE comunicando os achados do termo de assunção e a consequência contratual. Tom cooperativo — a contratada está compartilhando o resultado do levantamento e solicitando a transição prevista no contrato.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Apresenta os achados do termo de assunção quanto à ET-08;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Registra que a vala não atende as exigências técnicas da LO, e que operar nessas condições expõe tanto a contratada quanto o Município;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Registra que, sendo o Município o titular da LO e do ativo, a regularização de condicionantes preexistentes é de sua competência;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Conclui que, não sendo possível a disposição na Vala 05 nas condições atuais, a operação deve transitar para o Item 3 (destinação externa), nos termos do contrato;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Solicita orientação formal do CONTRATANTE para a transição.</w:t>
      </w:r>
    </w:p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Desdobramentos possíveis: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Resposta do Município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Encaminhamento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Aceita a transição para o Item 3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Transição documentada por decisão do CONTRATANTE — cenário-alvo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Providencia a regularização da ET-08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colabora operacionalmente dentro do que o contrato prevê e remunera; Item 2 retomado após regularização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Orienta a operação normal sem regularização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registra o risco, opera conforme a orientação formal do CONTRATANTE, com o baseline nos autos — a responsabilidade está segregada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Silêncio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reitera o ofício; se necessário, provoca o fiscal do contrato (art. 117, Lei 14.133/2021)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Proteção da contratada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600"/>
        <w:gridCol w:w="5200"/>
      </w:tblGrid>
      <w:tr>
        <w:trPr>
          <w:tblHeader/>
        </w:trP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Vinculação ao compromisso da Administração; boa-fé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com ART/RRT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Baseline: condições preexistentes documentadas; responsabilidade propter rem segregada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Constatação de não conformidade com a ET-08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Registro técnico do fato; inviabilidade do Item 2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ao CONTRATANTE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cooperativa; transição ao Item 3 fundamentada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qualquer cenário, a contratada não decide sozinha — solicita orientação do CONTRATANTE, que é o titular da licença e do ativo.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Cronograma estimado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4400"/>
      </w:tblGrid>
      <w:tr>
        <w:trPr>
          <w:tblHeader/>
        </w:trP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Prazo estimado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Assinatura do contrato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Vistoria e lavratura do termo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D+15 a D+30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concluído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D+30 a D+45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dos achados e pedido de transição ao Item 3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D+45 a D+50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Resposta/orientação do CONTRATANTE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D+50 a D+65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Riscos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6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Município regulariza a ET-08 antes da assunção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vala passa a operar regularmente — risco operacional mitigado; Item 2 opera normalmente até esgotamento da vida útil (1.º semestre de 2027 pelo TR), depois transita ao Item 3 de qualquer forma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alega que a contratada deveria ter identificado a situação antes de contratar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não tinha acesso aos dados técnicos (T9 — dados não divulgados); a visita técnica facultada não substitui levantamento de engenharia; a própria Administração reconheceu a necessidade de baseline na 6.ª impugnação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orienta operação normal sem regularizar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opera conforme a orientação formal do CONTRATANTE, com o registro do baseline nos autos — segregação de responsabilidade documentada no termo de assunção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spacing w:after="120" w:before="20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Documento de estratégia interno. Não protocolar. A decisão de adotar este caminho é exclusiva do advogado, em coordenação com a engenharia e a área comercial.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2026-08-24T12:24:55.703Z</dcterms:created>
  <dcterms:modified xsi:type="dcterms:W3CDTF">2026-08-24T12:24:55.716Z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