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224f599ea1299ca295e2f4fd1ff8dcca1695da"/>
    <w:p>
      <w:pPr>
        <w:pStyle w:val="Heading1"/>
      </w:pPr>
      <w:r>
        <w:t xml:space="preserve">[USO INTERNO] Consórcio AMSA (Maciço de Baturité/CE) — município consorciado com dois contratos de destinação final</w:t>
      </w:r>
    </w:p>
    <w:p>
      <w:pPr>
        <w:pStyle w:val="FirstParagraph"/>
      </w:pPr>
      <w:r>
        <w:rPr>
          <w:bCs/>
          <w:b/>
        </w:rPr>
        <w:t xml:space="preserve">Memo interno</w:t>
      </w:r>
      <w:r>
        <w:t xml:space="preserve"> </w:t>
      </w:r>
      <w:r>
        <w:t xml:space="preserve">· 4 de setembro de 2026</w:t>
      </w:r>
    </w:p>
    <w:p>
      <w:pPr>
        <w:pStyle w:val="BodyText"/>
      </w:pPr>
      <w:r>
        <w:rPr>
          <w:bCs/>
          <w:b/>
        </w:rPr>
        <w:t xml:space="preserve">Assunto:</w:t>
      </w:r>
      <w:r>
        <w:t xml:space="preserve"> </w:t>
      </w:r>
      <w:r>
        <w:t xml:space="preserve">possibilidade jurídica de um município consorciado à AMSA manter, ao mesmo tempo, (a) a destinação final contratada pelo consórcio e custeada pelo rateio e (b) um contrato próprio, direto, com a mesma unidade de destinação, para o volume excedente.</w:t>
      </w:r>
    </w:p>
    <w:p>
      <w:pPr>
        <w:pStyle w:val="BodyText"/>
      </w:pPr>
      <w:r>
        <w:rPr>
          <w:bCs/>
          <w:b/>
        </w:rPr>
        <w:t xml:space="preserve">Escopo:</w:t>
      </w:r>
      <w:r>
        <w:t xml:space="preserve"> </w:t>
      </w:r>
      <w:r>
        <w:t xml:space="preserve">apenas a pergunta</w:t>
      </w:r>
      <w:r>
        <w:t xml:space="preserve"> </w:t>
      </w:r>
      <w:r>
        <w:t xml:space="preserve">“</w:t>
      </w:r>
      <w:r>
        <w:t xml:space="preserve">pode haver dois contratos?</w:t>
      </w:r>
      <w:r>
        <w:t xml:space="preserve">”</w:t>
      </w:r>
      <w:r>
        <w:t xml:space="preserve">. Não trata da viabilidade técnica ou econômica da UVS do grupo (INEX), nem da modelagem do contrato do consórcio com a UVS.</w:t>
      </w:r>
    </w:p>
    <w:p>
      <w:pPr>
        <w:pStyle w:val="BodyText"/>
      </w:pPr>
      <w:r>
        <w:rPr>
          <w:bCs/>
          <w:b/>
        </w:rPr>
        <w:t xml:space="preserve">Fontes:</w:t>
      </w:r>
      <w:r>
        <w:t xml:space="preserve"> </w:t>
      </w:r>
      <w:r>
        <w:t xml:space="preserve">os 30 normativos publicados em amsa.ce.gov.br/normativosproprios, o Contrato de Consórcio (Instrumento de Alteração, versão 5/04/2018, anexo à Lei n.º 334/2018 de Mulungu), os Estatutos (2018 e 2026), atas e editais de assembleia (2024–2026), o Contrato de Rateio n.º 04/2025 (Baturité), a Recomendação n.º 0001/2026 do MP-CE, o portal de contratos e licitações da AMSA, e a legislação federal na redação vigente (Planalto). Detalhes no item 9.</w:t>
      </w:r>
    </w:p>
    <w:p>
      <w:r>
        <w:pict>
          <v:rect style="width:0;height:1.5pt" o:hralign="center" o:hrstd="t" o:hr="t"/>
        </w:pict>
      </w:r>
    </w:p>
    <w:bookmarkStart w:id="20" w:name="pergunta-e-resposta-direta"/>
    <w:p>
      <w:pPr>
        <w:pStyle w:val="Heading2"/>
      </w:pPr>
      <w:r>
        <w:t xml:space="preserve">1. Pergunta e resposta direta</w:t>
      </w:r>
    </w:p>
    <w:p>
      <w:pPr>
        <w:pStyle w:val="FirstParagraph"/>
      </w:pPr>
      <w:r>
        <w:rPr>
          <w:bCs/>
          <w:b/>
        </w:rPr>
        <w:t xml:space="preserve">Pergunta.</w:t>
      </w:r>
      <w:r>
        <w:t xml:space="preserve"> </w:t>
      </w:r>
      <w:r>
        <w:t xml:space="preserve">Os municípios consorciados pagam R$ 30 mil por mês à AMSA (contrato de rateio) e a AMSA contrata a destinação final, hoje em aterro controlado. Pretende-se que a AMSA passe a contratar a UVS do grupo. Um município específico precisa destinar mais do que a cota coberta pelo consórcio. Esse município pode ter dois contratos para a destinação final: um via consórcio e outro próprio, direto com a UVS?</w:t>
      </w:r>
    </w:p>
    <w:p>
      <w:pPr>
        <w:pStyle w:val="BodyText"/>
      </w:pPr>
      <w:r>
        <w:rPr>
          <w:bCs/>
          <w:b/>
        </w:rPr>
        <w:t xml:space="preserve">Resposta.</w:t>
      </w:r>
      <w:r>
        <w:t xml:space="preserve"> </w:t>
      </w:r>
      <w:r>
        <w:t xml:space="preserve">Pode, em tese. Não há vedação na Lei n.º 11.107/2005, no Decreto n.º 6.017/2007 nem no Contrato de Consórcio da AMSA. Ao contrário: o contrato de consórcio prevê expressamente, entre as modalidades de organização da prestação, a</w:t>
      </w:r>
      <w:r>
        <w:t xml:space="preserve"> </w:t>
      </w:r>
      <w:r>
        <w:t xml:space="preserve">“</w:t>
      </w:r>
      <w:r>
        <w:t xml:space="preserve">prestação direta por órgão ou entidade da administração dos Municípios consorciados, utilizando contrato de prestação de serviços</w:t>
      </w:r>
      <w:r>
        <w:t xml:space="preserve">”</w:t>
      </w:r>
      <w:r>
        <w:t xml:space="preserve"> </w:t>
      </w:r>
      <w:r>
        <w:t xml:space="preserve">(cláusula 8.ª, § 3.º, alínea</w:t>
      </w:r>
      <w:r>
        <w:t xml:space="preserve"> </w:t>
      </w:r>
      <w:r>
        <w:t xml:space="preserve">“</w:t>
      </w:r>
      <w:r>
        <w:t xml:space="preserve">a</w:t>
      </w:r>
      <w:r>
        <w:t xml:space="preserve">”</w:t>
      </w:r>
      <w:r>
        <w:t xml:space="preserve">). O que os municípios transferiram ao Consórcio foi o exercício das competências de</w:t>
      </w:r>
      <w:r>
        <w:t xml:space="preserve"> </w:t>
      </w:r>
      <w:r>
        <w:rPr>
          <w:bCs/>
          <w:b/>
        </w:rPr>
        <w:t xml:space="preserve">planejamento</w:t>
      </w:r>
      <w:r>
        <w:t xml:space="preserve"> </w:t>
      </w:r>
      <w:r>
        <w:t xml:space="preserve">(cláusula 10.ª) e, à entidade reguladora, as de</w:t>
      </w:r>
      <w:r>
        <w:t xml:space="preserve"> </w:t>
      </w:r>
      <w:r>
        <w:rPr>
          <w:bCs/>
          <w:b/>
        </w:rPr>
        <w:t xml:space="preserve">regulação e fiscalização</w:t>
      </w:r>
      <w:r>
        <w:t xml:space="preserve"> </w:t>
      </w:r>
      <w:r>
        <w:t xml:space="preserve">(cláusula 11.ª). A titularidade do serviço e a competência para contratá-lo permanecem com o Município (art. 8.º, inciso I, da Lei n.º 11.445/2007; art. 10 da Lei n.º 12.305/2010).</w:t>
      </w:r>
    </w:p>
    <w:p>
      <w:pPr>
        <w:pStyle w:val="BodyText"/>
      </w:pPr>
      <w:r>
        <w:t xml:space="preserve">A coexistência dos dois contratos depende, porém, de condições cumulativas:</w:t>
      </w:r>
    </w:p>
    <w:p>
      <w:pPr>
        <w:numPr>
          <w:ilvl w:val="0"/>
          <w:numId w:val="1001"/>
        </w:numPr>
        <w:pStyle w:val="Compact"/>
      </w:pPr>
      <w:r>
        <w:rPr>
          <w:bCs/>
          <w:b/>
        </w:rPr>
        <w:t xml:space="preserve">Objetos sem sobreposição.</w:t>
      </w:r>
      <w:r>
        <w:t xml:space="preserve"> </w:t>
      </w:r>
      <w:r>
        <w:t xml:space="preserve">O contrato direto deve cobrir apenas o excedente, e o contrato do consórcio precisa delimitar a cota do município (tonelagem ou percentual), sob pena de pagamento em duplicidade pelo mesmo serviço.</w:t>
      </w:r>
    </w:p>
    <w:p>
      <w:pPr>
        <w:numPr>
          <w:ilvl w:val="0"/>
          <w:numId w:val="1001"/>
        </w:numPr>
        <w:pStyle w:val="Compact"/>
      </w:pPr>
      <w:r>
        <w:rPr>
          <w:bCs/>
          <w:b/>
        </w:rPr>
        <w:t xml:space="preserve">Compatibilidade com o planejamento regional integrado.</w:t>
      </w:r>
      <w:r>
        <w:t xml:space="preserve"> </w:t>
      </w:r>
      <w:r>
        <w:t xml:space="preserve">O plano regional homologado pelo Consórcio</w:t>
      </w:r>
      <w:r>
        <w:t xml:space="preserve"> </w:t>
      </w:r>
      <w:r>
        <w:t xml:space="preserve">“</w:t>
      </w:r>
      <w:r>
        <w:t xml:space="preserve">vincula os entes consorciados quanto à localização de instalações, opções tecnológicas, entes reguladores e modalidades de prestação</w:t>
      </w:r>
      <w:r>
        <w:t xml:space="preserve">”</w:t>
      </w:r>
      <w:r>
        <w:t xml:space="preserve"> </w:t>
      </w:r>
      <w:r>
        <w:t xml:space="preserve">(cláusula 8.ª, § 1.º; Anexo II, arts. 3.º e 4.º). Organizar a prestação</w:t>
      </w:r>
      <w:r>
        <w:t xml:space="preserve"> </w:t>
      </w:r>
      <w:r>
        <w:t xml:space="preserve">“</w:t>
      </w:r>
      <w:r>
        <w:t xml:space="preserve">em desacordo com plano regional integrado homologado pelo Consórcio</w:t>
      </w:r>
      <w:r>
        <w:t xml:space="preserve">”</w:t>
      </w:r>
      <w:r>
        <w:t xml:space="preserve"> </w:t>
      </w:r>
      <w:r>
        <w:t xml:space="preserve">é hipótese de exclusão do consorciado (cláusula 59.ª, inciso III).</w:t>
      </w:r>
    </w:p>
    <w:p>
      <w:pPr>
        <w:numPr>
          <w:ilvl w:val="0"/>
          <w:numId w:val="1001"/>
        </w:numPr>
        <w:pStyle w:val="Compact"/>
      </w:pPr>
      <w:r>
        <w:rPr>
          <w:bCs/>
          <w:b/>
        </w:rPr>
        <w:t xml:space="preserve">Licitação própria do Município</w:t>
      </w:r>
      <w:r>
        <w:t xml:space="preserve"> </w:t>
      </w:r>
      <w:r>
        <w:t xml:space="preserve">para o contrato direto (Lei n.º 14.133/2021), com estudo técnico preliminar que demonstre o excedente e o preço de referência (art. 23).</w:t>
      </w:r>
    </w:p>
    <w:p>
      <w:pPr>
        <w:numPr>
          <w:ilvl w:val="0"/>
          <w:numId w:val="1001"/>
        </w:numPr>
        <w:pStyle w:val="Compact"/>
      </w:pPr>
      <w:r>
        <w:rPr>
          <w:bCs/>
          <w:b/>
        </w:rPr>
        <w:t xml:space="preserve">Rateio não custeia serviço individualizado.</w:t>
      </w:r>
      <w:r>
        <w:t xml:space="preserve"> </w:t>
      </w:r>
      <w:r>
        <w:t xml:space="preserve">Serviço que beneficia um só consorciado exige contrato específico entre o município e o Consórcio,</w:t>
      </w:r>
      <w:r>
        <w:t xml:space="preserve"> </w:t>
      </w:r>
      <w:r>
        <w:t xml:space="preserve">“</w:t>
      </w:r>
      <w:r>
        <w:t xml:space="preserve">de forma a impedir que sejam eles custeados pelos demais</w:t>
      </w:r>
      <w:r>
        <w:t xml:space="preserve">”</w:t>
      </w:r>
      <w:r>
        <w:t xml:space="preserve"> </w:t>
      </w:r>
      <w:r>
        <w:t xml:space="preserve">(art. 18, parágrafo único, do Decreto n.º 6.017/2007; art. 8.º, § 2.º, da Lei n.º 11.107/2005; cláusula 53.ª do contrato de consórcio).</w:t>
      </w:r>
    </w:p>
    <w:p>
      <w:pPr>
        <w:numPr>
          <w:ilvl w:val="0"/>
          <w:numId w:val="1001"/>
        </w:numPr>
        <w:pStyle w:val="Compact"/>
      </w:pPr>
      <w:r>
        <w:rPr>
          <w:bCs/>
          <w:b/>
        </w:rPr>
        <w:t xml:space="preserve">Dotação orçamentária</w:t>
      </w:r>
      <w:r>
        <w:t xml:space="preserve"> </w:t>
      </w:r>
      <w:r>
        <w:t xml:space="preserve">e previsão no PPA para o contrato direto quando plurianual (art. 105 da Lei n.º 14.133/2021).</w:t>
      </w:r>
    </w:p>
    <w:p>
      <w:pPr>
        <w:pStyle w:val="FirstParagraph"/>
      </w:pPr>
      <w:r>
        <w:t xml:space="preserve">Duas ressalvas de fato. Primeira: o contrato atual de destinação final não está no repositório nem no portal de contratos da AMSA. Sem ele não é possível verificar exclusividade, quantitativos por município, preço por tonelada ou valor fixo, vigência e quem é o contratante. Segunda: o consórcio está sob acompanhamento do Ministério Público (Procedimento Administrativo n.º 09.2026.00002803-1, Promotoria de Pacoti) desde a deliberação de extinção de 12/01/2026, revogada em 12/03/2026. Qualquer estruturação deve passar por deliberação regular da Assembleia Geral, com pauta prévia e representação pelos prefeitos.</w:t>
      </w:r>
    </w:p>
    <w:p>
      <w:r>
        <w:pict>
          <v:rect style="width:0;height:1.5pt" o:hralign="center" o:hrstd="t" o:hr="t"/>
        </w:pict>
      </w:r>
    </w:p>
    <w:bookmarkEnd w:id="20"/>
    <w:bookmarkStart w:id="23" w:name="o-que-foi-verificado-e-o-que-falta"/>
    <w:p>
      <w:pPr>
        <w:pStyle w:val="Heading2"/>
      </w:pPr>
      <w:r>
        <w:t xml:space="preserve">2. O que foi verificado e o que falta</w:t>
      </w:r>
    </w:p>
    <w:bookmarkStart w:id="21" w:name="documentos-lidos"/>
    <w:p>
      <w:pPr>
        <w:pStyle w:val="Heading3"/>
      </w:pPr>
      <w:r>
        <w:t xml:space="preserve">2.1 Documentos lidos</w:t>
      </w:r>
    </w:p>
    <w:p>
      <w:pPr>
        <w:numPr>
          <w:ilvl w:val="0"/>
          <w:numId w:val="1002"/>
        </w:numPr>
        <w:pStyle w:val="Compact"/>
      </w:pPr>
      <w:r>
        <w:t xml:space="preserve">Página</w:t>
      </w:r>
      <w:r>
        <w:t xml:space="preserve"> </w:t>
      </w:r>
      <w:r>
        <w:t xml:space="preserve">“</w:t>
      </w:r>
      <w:r>
        <w:t xml:space="preserve">Normativos próprios</w:t>
      </w:r>
      <w:r>
        <w:t xml:space="preserve">”</w:t>
      </w:r>
      <w:r>
        <w:t xml:space="preserve"> </w:t>
      </w:r>
      <w:r>
        <w:t xml:space="preserve">da AMSA: 30 registros (2 portarias de 2026; 12 leis municipais de 2018 que ratificam a alteração do contrato de consórcio; 11 leis municipais que instituem Políticas Municipais de Resíduos Sólidos; 5 leis municipais de fundos de meio ambiente). Inventário completo no item 9.</w:t>
      </w:r>
    </w:p>
    <w:p>
      <w:pPr>
        <w:numPr>
          <w:ilvl w:val="0"/>
          <w:numId w:val="1002"/>
        </w:numPr>
        <w:pStyle w:val="Compact"/>
      </w:pPr>
      <w:r>
        <w:t xml:space="preserve">Instrumento de Alteração do Contrato de Consórcio AMSA, versão 5/04/2018, 68 páginas escaneadas anexas à Lei n.º 334/2018 de Mulungu (lido integralmente por imagem; OCR parcial).</w:t>
      </w:r>
    </w:p>
    <w:p>
      <w:pPr>
        <w:numPr>
          <w:ilvl w:val="0"/>
          <w:numId w:val="1002"/>
        </w:numPr>
        <w:pStyle w:val="Compact"/>
      </w:pPr>
      <w:r>
        <w:t xml:space="preserve">Estatuto de 2018 (</w:t>
      </w:r>
      <w:r>
        <w:t xml:space="preserve">“</w:t>
      </w:r>
      <w:r>
        <w:t xml:space="preserve">Ata da primeira assembleia após alteração contratual</w:t>
      </w:r>
      <w:r>
        <w:t xml:space="preserve">”</w:t>
      </w:r>
      <w:r>
        <w:t xml:space="preserve">) e Estatuto registrado em cartório em 24/03/2026 (OCR).</w:t>
      </w:r>
    </w:p>
    <w:p>
      <w:pPr>
        <w:numPr>
          <w:ilvl w:val="0"/>
          <w:numId w:val="1002"/>
        </w:numPr>
        <w:pStyle w:val="Compact"/>
      </w:pPr>
      <w:r>
        <w:t xml:space="preserve">Atas de assembleia de 06/12/2024, 17/02/2025, 27/01/2026, 12/03/2026 (registrada em cartório em 24/03/2026) e 26/06/2026; editais de convocação de 2025 e 2026 (inclusive as pautas de 16/07/2025, 12/01/2026, 12/03/2026, 31/03/2026, 26/06/2026 e 12/08/2026).</w:t>
      </w:r>
    </w:p>
    <w:p>
      <w:pPr>
        <w:numPr>
          <w:ilvl w:val="0"/>
          <w:numId w:val="1002"/>
        </w:numPr>
        <w:pStyle w:val="Compact"/>
      </w:pPr>
      <w:r>
        <w:t xml:space="preserve">Contrato de Rateio n.º 04/2025 (Baturité) e sua Cláusula Quinta (fonte de recursos).</w:t>
      </w:r>
    </w:p>
    <w:p>
      <w:pPr>
        <w:numPr>
          <w:ilvl w:val="0"/>
          <w:numId w:val="1002"/>
        </w:numPr>
        <w:pStyle w:val="Compact"/>
      </w:pPr>
      <w:r>
        <w:t xml:space="preserve">Despacho de 26/01/2026 e Recomendação n.º 0001/2026/PmJPCT (12/03/2026) da Promotoria de Justiça de Pacoti.</w:t>
      </w:r>
    </w:p>
    <w:p>
      <w:pPr>
        <w:numPr>
          <w:ilvl w:val="0"/>
          <w:numId w:val="1002"/>
        </w:numPr>
        <w:pStyle w:val="Compact"/>
      </w:pPr>
      <w:r>
        <w:t xml:space="preserve">Portal de contratos (17 contratos, nenhum de destinação final) e portal de licitações da AMSA (9 processos, nenhum de destinação final).</w:t>
      </w:r>
    </w:p>
    <w:p>
      <w:pPr>
        <w:numPr>
          <w:ilvl w:val="0"/>
          <w:numId w:val="1002"/>
        </w:numPr>
        <w:pStyle w:val="Compact"/>
      </w:pPr>
      <w:r>
        <w:t xml:space="preserve">Legislação federal na redação vigente consultada no Planalto: Lei n.º 11.107/2005; Decreto n.º 6.017/2007; Lei n.º 11.445/2007 (redação da Lei n.º 14.026/2020); Lei n.º 12.305/2010; Lei n.º 14.133/2021; Lei n.º 8.987/1995. Norma de Referência ANA n.º 7/2024 (Resolução ANA n.º 187/2024), texto oficial.</w:t>
      </w:r>
    </w:p>
    <w:p>
      <w:pPr>
        <w:numPr>
          <w:ilvl w:val="0"/>
          <w:numId w:val="1002"/>
        </w:numPr>
        <w:pStyle w:val="Compact"/>
      </w:pPr>
      <w:r>
        <w:t xml:space="preserve">Lei Estadual n.º 16.032/2016 (Política Estadual de Resíduos Sólidos do Ceará), consultada por resumo do portal da Assembleia Legislativa</w:t>
      </w:r>
      <w:r>
        <w:t xml:space="preserve"> </w:t>
      </w:r>
      <w:r>
        <w:rPr>
          <w:rStyle w:val="VerbatimChar"/>
        </w:rPr>
        <w:t xml:space="preserve">[VIT]</w:t>
      </w:r>
      <w:r>
        <w:t xml:space="preserve">.</w:t>
      </w:r>
    </w:p>
    <w:bookmarkEnd w:id="21"/>
    <w:bookmarkStart w:id="22" w:name="não-localizado-pendente"/>
    <w:p>
      <w:pPr>
        <w:pStyle w:val="Heading3"/>
      </w:pPr>
      <w:r>
        <w:t xml:space="preserve">2.2 Não localizado</w:t>
      </w:r>
      <w:r>
        <w:t xml:space="preserve"> </w:t>
      </w:r>
      <w:r>
        <w:rPr>
          <w:rStyle w:val="VerbatimChar"/>
        </w:rPr>
        <w:t xml:space="preserve">[PENDENTE]</w:t>
      </w:r>
    </w:p>
    <w:p>
      <w:pPr>
        <w:numPr>
          <w:ilvl w:val="0"/>
          <w:numId w:val="1003"/>
        </w:numPr>
        <w:pStyle w:val="Compact"/>
      </w:pPr>
      <w:r>
        <w:rPr>
          <w:bCs/>
          <w:b/>
        </w:rPr>
        <w:t xml:space="preserve">Contrato atual de destinação final</w:t>
      </w:r>
      <w:r>
        <w:t xml:space="preserve"> </w:t>
      </w:r>
      <w:r>
        <w:t xml:space="preserve">(aterro controlado). Não está no repositório, não consta do portal de contratos da AMSA e a consulta ao PNCP falhou por tempo de resposta. É o documento decisivo para o item 5.4.</w:t>
      </w:r>
    </w:p>
    <w:p>
      <w:pPr>
        <w:numPr>
          <w:ilvl w:val="0"/>
          <w:numId w:val="1003"/>
        </w:numPr>
        <w:pStyle w:val="Compact"/>
      </w:pPr>
      <w:r>
        <w:rPr>
          <w:bCs/>
          <w:b/>
        </w:rPr>
        <w:t xml:space="preserve">Plano regional integrado homologado</w:t>
      </w:r>
      <w:r>
        <w:t xml:space="preserve"> </w:t>
      </w:r>
      <w:r>
        <w:t xml:space="preserve">pelo Consórcio (cláusula 8.ª, § 1.º). O portal só menciona o</w:t>
      </w:r>
      <w:r>
        <w:t xml:space="preserve"> </w:t>
      </w:r>
      <w:r>
        <w:t xml:space="preserve">“</w:t>
      </w:r>
      <w:r>
        <w:t xml:space="preserve">Plano Regionalizado de Coletas Seletivas Múltiplas</w:t>
      </w:r>
      <w:r>
        <w:t xml:space="preserve">”</w:t>
      </w:r>
      <w:r>
        <w:t xml:space="preserve"> </w:t>
      </w:r>
      <w:r>
        <w:t xml:space="preserve">(objeto do rateio de 2025) e o</w:t>
      </w:r>
      <w:r>
        <w:t xml:space="preserve"> </w:t>
      </w:r>
      <w:r>
        <w:t xml:space="preserve">“</w:t>
      </w:r>
      <w:r>
        <w:t xml:space="preserve">Plano de Coletas Seletivas Múltiplas e seu Planejamento Complementar</w:t>
      </w:r>
      <w:r>
        <w:t xml:space="preserve">”</w:t>
      </w:r>
      <w:r>
        <w:t xml:space="preserve">, aprovado na assembleia anexa ao Estatuto de 2018.</w:t>
      </w:r>
    </w:p>
    <w:p>
      <w:pPr>
        <w:numPr>
          <w:ilvl w:val="0"/>
          <w:numId w:val="1003"/>
        </w:numPr>
        <w:pStyle w:val="Compact"/>
      </w:pPr>
      <w:r>
        <w:rPr>
          <w:bCs/>
          <w:b/>
        </w:rPr>
        <w:t xml:space="preserve">Resolução da Assembleia</w:t>
      </w:r>
      <w:r>
        <w:t xml:space="preserve"> </w:t>
      </w:r>
      <w:r>
        <w:t xml:space="preserve">que regulamenta o Fundo Regional de Financiamento do Manejo Diferenciado de Resíduos Sólidos (cláusula 7.ª, § 11).</w:t>
      </w:r>
    </w:p>
    <w:p>
      <w:pPr>
        <w:numPr>
          <w:ilvl w:val="0"/>
          <w:numId w:val="1003"/>
        </w:numPr>
        <w:pStyle w:val="Compact"/>
      </w:pPr>
      <w:r>
        <w:rPr>
          <w:bCs/>
          <w:b/>
        </w:rPr>
        <w:t xml:space="preserve">Contratos de programa</w:t>
      </w:r>
      <w:r>
        <w:t xml:space="preserve"> </w:t>
      </w:r>
      <w:r>
        <w:t xml:space="preserve">entre municípios e AMSA (cláusula 50.ª). Nenhum publicado.</w:t>
      </w:r>
    </w:p>
    <w:p>
      <w:pPr>
        <w:numPr>
          <w:ilvl w:val="0"/>
          <w:numId w:val="1003"/>
        </w:numPr>
        <w:pStyle w:val="Compact"/>
      </w:pPr>
      <w:r>
        <w:rPr>
          <w:bCs/>
          <w:b/>
        </w:rPr>
        <w:t xml:space="preserve">Qual é o município</w:t>
      </w:r>
      <w:r>
        <w:t xml:space="preserve"> </w:t>
      </w:r>
      <w:r>
        <w:t xml:space="preserve">que precisa destinar mais. Isso muda a análise: Baturité e Guaramiranga tiveram a retirada aprovada em 26/06/2026 e, se for um deles, só há a via do contrato direto.</w:t>
      </w:r>
    </w:p>
    <w:p>
      <w:r>
        <w:pict>
          <v:rect style="width:0;height:1.5pt" o:hralign="center" o:hrstd="t" o:hr="t"/>
        </w:pict>
      </w:r>
    </w:p>
    <w:bookmarkEnd w:id="22"/>
    <w:bookmarkEnd w:id="23"/>
    <w:bookmarkStart w:id="29" w:name="quadro-fático-relevante"/>
    <w:p>
      <w:pPr>
        <w:pStyle w:val="Heading2"/>
      </w:pPr>
      <w:r>
        <w:t xml:space="preserve">3. Quadro fático relevante</w:t>
      </w:r>
    </w:p>
    <w:bookmarkStart w:id="24" w:name="natureza-e-composição-da-amsa"/>
    <w:p>
      <w:pPr>
        <w:pStyle w:val="Heading3"/>
      </w:pPr>
      <w:r>
        <w:t xml:space="preserve">3.1 Natureza e composição da AMSA</w:t>
      </w:r>
    </w:p>
    <w:p>
      <w:pPr>
        <w:pStyle w:val="FirstParagraph"/>
      </w:pPr>
      <w:r>
        <w:t xml:space="preserve">Associação pública, autarquia interfederativa, que integra a administração indireta de todos os consorciados (cláusula 4.ª do contrato; art. 6.º, § 1.º, da Lei n.º 11.107/2005). Doze municípios ratificaram a alteração de 2018 (Acarape, Aracoiaba, Aratuba, Barreira, Baturité, Capistrano, Guaramiranga, Itapiúna, Mulungu, Pacoti, Palmácia e Redenção). Ocara participou da assembleia de 27/01/2026 por procuração, não tem lei de ratificação publicada no portal e seu ingresso é o único item da pauta de 12/08/2026. Em 26/06/2026 a Assembleia aprovou por unanimidade a retirada de Baturité e Guaramiranga</w:t>
      </w:r>
      <w:r>
        <w:t xml:space="preserve"> </w:t>
      </w:r>
      <w:r>
        <w:t xml:space="preserve">“</w:t>
      </w:r>
      <w:r>
        <w:t xml:space="preserve">sem os recursos</w:t>
      </w:r>
      <w:r>
        <w:t xml:space="preserve">”</w:t>
      </w:r>
      <w:r>
        <w:t xml:space="preserve"> </w:t>
      </w:r>
      <w:r>
        <w:t xml:space="preserve">e transferiu a sede para Baturité.</w:t>
      </w:r>
    </w:p>
    <w:bookmarkEnd w:id="24"/>
    <w:bookmarkStart w:id="25" w:name="o-rateio-de-r-30-mil"/>
    <w:p>
      <w:pPr>
        <w:pStyle w:val="Heading3"/>
      </w:pPr>
      <w:r>
        <w:t xml:space="preserve">3.2 O rateio de R$ 30 mil</w:t>
      </w:r>
    </w:p>
    <w:p>
      <w:pPr>
        <w:pStyle w:val="FirstParagraph"/>
      </w:pPr>
      <w:r>
        <w:t xml:space="preserve">O Contrato de Rateio n.º 04/2025 (Baturité) fixa cota anual de R$ 360.000,00, em doze parcelas de R$ 30.000,00. Objeto declarado: cobertura das despesas do Plano Anual de Atividades de 2025,</w:t>
      </w:r>
      <w:r>
        <w:t xml:space="preserve"> </w:t>
      </w:r>
      <w:r>
        <w:t xml:space="preserve">“</w:t>
      </w:r>
      <w:r>
        <w:t xml:space="preserve">para estruturar a administração do Consórcio e viabilizar suas atribuições definidas no Contrato de Consórcio, bem como realizar as ações previstas para 2025 no Plano Regionalizado de Coletas Seletivas Múltiplas</w:t>
      </w:r>
      <w:r>
        <w:t xml:space="preserve">”</w:t>
      </w:r>
      <w:r>
        <w:t xml:space="preserve">. Fonte: parcela do ICMS distribuída pelo Índice de Qualidade do Meio Ambiente (ICMS/IQM), retida pela SEFAZ e creditada na conta do Fundo Regional de Financiamento do Manejo Diferenciado de Resíduos Sólidos, com autorização anual de movimentação bancária pelo município (é assim que o portal rotula os doze documentos:</w:t>
      </w:r>
      <w:r>
        <w:t xml:space="preserve"> </w:t>
      </w:r>
      <w:r>
        <w:t xml:space="preserve">“</w:t>
      </w:r>
      <w:r>
        <w:t xml:space="preserve">Autorização anual de movimentação bancária dos recursos do ICMS/IQM</w:t>
      </w:r>
      <w:r>
        <w:t xml:space="preserve">”</w:t>
      </w:r>
      <w:r>
        <w:t xml:space="preserve">). Só o documento de Baturité foi lido; os demais são escaneados e presume-se o mesmo modelo</w:t>
      </w:r>
      <w:r>
        <w:t xml:space="preserve"> </w:t>
      </w:r>
      <w:r>
        <w:rPr>
          <w:rStyle w:val="VerbatimChar"/>
        </w:rPr>
        <w:t xml:space="preserve">[VERIFICAR]</w:t>
      </w:r>
      <w:r>
        <w:t xml:space="preserve">.</w:t>
      </w:r>
    </w:p>
    <w:p>
      <w:pPr>
        <w:pStyle w:val="BodyText"/>
      </w:pPr>
      <w:r>
        <w:t xml:space="preserve">Ponto de atenção: o objeto publicado do rateio de 2025 não menciona destinação final. Se o rateio custeia o contrato de disposição final, a despesa precisa constar do programa anual de trabalho e do orçamento aprovados pela Assembleia (cláusula 18.ª, inciso VII, alíneas</w:t>
      </w:r>
      <w:r>
        <w:t xml:space="preserve"> </w:t>
      </w:r>
      <w:r>
        <w:t xml:space="preserve">“</w:t>
      </w:r>
      <w:r>
        <w:t xml:space="preserve">b</w:t>
      </w:r>
      <w:r>
        <w:t xml:space="preserve">”</w:t>
      </w:r>
      <w:r>
        <w:t xml:space="preserve"> </w:t>
      </w:r>
      <w:r>
        <w:t xml:space="preserve">e</w:t>
      </w:r>
      <w:r>
        <w:t xml:space="preserve"> </w:t>
      </w:r>
      <w:r>
        <w:t xml:space="preserve">“</w:t>
      </w:r>
      <w:r>
        <w:t xml:space="preserve">c</w:t>
      </w:r>
      <w:r>
        <w:t xml:space="preserve">”</w:t>
      </w:r>
      <w:r>
        <w:t xml:space="preserve">), porque é vedada a aplicação de recursos de rateio</w:t>
      </w:r>
      <w:r>
        <w:t xml:space="preserve"> </w:t>
      </w:r>
      <w:r>
        <w:t xml:space="preserve">“</w:t>
      </w:r>
      <w:r>
        <w:t xml:space="preserve">para o atendimento de despesas genéricas</w:t>
      </w:r>
      <w:r>
        <w:t xml:space="preserve">”</w:t>
      </w:r>
      <w:r>
        <w:t xml:space="preserve"> </w:t>
      </w:r>
      <w:r>
        <w:t xml:space="preserve">(art. 8.º, § 2.º, da Lei n.º 11.107/2005; art. 15 do Decreto n.º 6.017/2007). O rateio de 2026 foi aprovado em 12/03/2026, em dez parcelas a partir de março.</w:t>
      </w:r>
    </w:p>
    <w:bookmarkEnd w:id="25"/>
    <w:bookmarkStart w:id="26" w:name="crise-institucional-de-2026"/>
    <w:p>
      <w:pPr>
        <w:pStyle w:val="Heading3"/>
      </w:pPr>
      <w:r>
        <w:t xml:space="preserve">3.3 Crise institucional de 2026</w:t>
      </w:r>
    </w:p>
    <w:p>
      <w:pPr>
        <w:numPr>
          <w:ilvl w:val="0"/>
          <w:numId w:val="1004"/>
        </w:numPr>
        <w:pStyle w:val="Compact"/>
      </w:pPr>
      <w:r>
        <w:t xml:space="preserve">12/01/2026: Assembleia Geral Ordinária delibera a extinção do consórcio, em pauta incluída na hora (o edital previa apenas orçamento, rateio de 2026, veículos, pessoal e seleção de</w:t>
      </w:r>
      <w:r>
        <w:t xml:space="preserve"> </w:t>
      </w:r>
      <w:r>
        <w:t xml:space="preserve">“</w:t>
      </w:r>
      <w:r>
        <w:t xml:space="preserve">fiscal operacional do aterro</w:t>
      </w:r>
      <w:r>
        <w:t xml:space="preserve">”</w:t>
      </w:r>
      <w:r>
        <w:t xml:space="preserve">).</w:t>
      </w:r>
    </w:p>
    <w:p>
      <w:pPr>
        <w:numPr>
          <w:ilvl w:val="0"/>
          <w:numId w:val="1004"/>
        </w:numPr>
        <w:pStyle w:val="Compact"/>
      </w:pPr>
      <w:r>
        <w:t xml:space="preserve">26/01/2026: Promotoria de Pacoti converte notícia de fato em procedimento administrativo.</w:t>
      </w:r>
    </w:p>
    <w:p>
      <w:pPr>
        <w:numPr>
          <w:ilvl w:val="0"/>
          <w:numId w:val="1004"/>
        </w:numPr>
        <w:pStyle w:val="Compact"/>
      </w:pPr>
      <w:r>
        <w:t xml:space="preserve">27/01/2026: Assembleia aprova o orçamento de 2026</w:t>
      </w:r>
      <w:r>
        <w:t xml:space="preserve"> </w:t>
      </w:r>
      <w:r>
        <w:t xml:space="preserve">“</w:t>
      </w:r>
      <w:r>
        <w:t xml:space="preserve">visando à execução do processo de liquidação do Consórcio</w:t>
      </w:r>
      <w:r>
        <w:t xml:space="preserve">”</w:t>
      </w:r>
      <w:r>
        <w:t xml:space="preserve">.</w:t>
      </w:r>
    </w:p>
    <w:p>
      <w:pPr>
        <w:numPr>
          <w:ilvl w:val="0"/>
          <w:numId w:val="1004"/>
        </w:numPr>
        <w:pStyle w:val="Compact"/>
      </w:pPr>
      <w:r>
        <w:t xml:space="preserve">12/03/2026: Recomendação n.º 0001/2026 do MP-CE aponta nulidades (representação por procuração genérica, conflito de interesses, pauta não convocada, prazo de 76 horas) e recomenda anular a votação, manter os recursos do rateio</w:t>
      </w:r>
      <w:r>
        <w:t xml:space="preserve"> </w:t>
      </w:r>
      <w:r>
        <w:t xml:space="preserve">“</w:t>
      </w:r>
      <w:r>
        <w:t xml:space="preserve">exclusivamente para a implantação e implementação da política de resíduo sólido</w:t>
      </w:r>
      <w:r>
        <w:t xml:space="preserve">”</w:t>
      </w:r>
      <w:r>
        <w:t xml:space="preserve">, comunicar TCE-CE e ARCE, e fixa</w:t>
      </w:r>
      <w:r>
        <w:t xml:space="preserve"> </w:t>
      </w:r>
      <w:r>
        <w:t xml:space="preserve">“</w:t>
      </w:r>
      <w:r>
        <w:t xml:space="preserve">marco temporal e presunção de dolo para fins de eventual caracterização de ato de improbidade</w:t>
      </w:r>
      <w:r>
        <w:t xml:space="preserve">”</w:t>
      </w:r>
      <w:r>
        <w:t xml:space="preserve">.</w:t>
      </w:r>
    </w:p>
    <w:p>
      <w:pPr>
        <w:numPr>
          <w:ilvl w:val="0"/>
          <w:numId w:val="1004"/>
        </w:numPr>
        <w:pStyle w:val="Compact"/>
      </w:pPr>
      <w:r>
        <w:t xml:space="preserve">12/03/2026: Assembleia revoga a extinção, aprova o rateio de 2026 e elege novo presidente (Mulungu). Ata registrada em cartório em 24/03/2026. Portarias 001 e 002/2026 exoneram os comissionados e nomeiam nova superintendente; comissão de transição designada (pauta de 31/03/2026).</w:t>
      </w:r>
    </w:p>
    <w:p>
      <w:pPr>
        <w:pStyle w:val="FirstParagraph"/>
      </w:pPr>
      <w:r>
        <w:t xml:space="preserve">Consequência prática: a Assembleia Geral está sob escrutínio do MP, do TCE-CE e da ARCE. Deliberações sobre destinação final, cotas e contratos devem observar convocação com 30 dias, pauta expressa e representação pelo prefeito ou vice (cláusula 15.ª, § 1.º; cláusula 14.ª, §§ 2.º a 5.º).</w:t>
      </w:r>
    </w:p>
    <w:bookmarkEnd w:id="26"/>
    <w:bookmarkStart w:id="27" w:name="destinação-final-atual"/>
    <w:p>
      <w:pPr>
        <w:pStyle w:val="Heading3"/>
      </w:pPr>
      <w:r>
        <w:t xml:space="preserve">3.4 Destinação final atual</w:t>
      </w:r>
    </w:p>
    <w:p>
      <w:pPr>
        <w:pStyle w:val="FirstParagraph"/>
      </w:pPr>
      <w:r>
        <w:t xml:space="preserve">O edital da assembleia de 16/07/2025 tratou do</w:t>
      </w:r>
      <w:r>
        <w:t xml:space="preserve"> </w:t>
      </w:r>
      <w:r>
        <w:t xml:space="preserve">“</w:t>
      </w:r>
      <w:r>
        <w:t xml:space="preserve">encerramento das atividades do Aterro Sanitário (lixão) do município de Baturité e os encaminhamentos a serem adotados pelo Consórcio AMSA e pelos consorciados que utilizam o mencionado equipamento</w:t>
      </w:r>
      <w:r>
        <w:t xml:space="preserve">”</w:t>
      </w:r>
      <w:r>
        <w:t xml:space="preserve">. Na ata de 26/06/2026, prefeitos relatam o fechamento de lixões (Capistrano, Barreira, Itapiúna) e o envio dos resíduos ao</w:t>
      </w:r>
      <w:r>
        <w:t xml:space="preserve"> </w:t>
      </w:r>
      <w:r>
        <w:t xml:space="preserve">“</w:t>
      </w:r>
      <w:r>
        <w:t xml:space="preserve">Aterro Sanitário de Baturité</w:t>
      </w:r>
      <w:r>
        <w:t xml:space="preserve">”</w:t>
      </w:r>
      <w:r>
        <w:t xml:space="preserve">; Aratuba informa que todos os seus resíduos vão para esse aterro. Reportagem de 2025 menciona custo de R$ 100 por tonelada</w:t>
      </w:r>
      <w:r>
        <w:t xml:space="preserve"> </w:t>
      </w:r>
      <w:r>
        <w:rPr>
          <w:rStyle w:val="VerbatimChar"/>
        </w:rPr>
        <w:t xml:space="preserve">[VIT]</w:t>
      </w:r>
      <w:r>
        <w:t xml:space="preserve">.</w:t>
      </w:r>
      <w:r>
        <w:t xml:space="preserve"> </w:t>
      </w:r>
      <w:r>
        <w:rPr>
          <w:rStyle w:val="VerbatimChar"/>
        </w:rPr>
        <w:t xml:space="preserve">[VALIDAÇÃO TÉCNICA: confirmar qual instalação recebe os resíduos hoje, sua licença ambiental e se se trata de aterro controlado.]</w:t>
      </w:r>
    </w:p>
    <w:bookmarkEnd w:id="27"/>
    <w:bookmarkStart w:id="28" w:name="prazo-da-pnrs"/>
    <w:p>
      <w:pPr>
        <w:pStyle w:val="Heading3"/>
      </w:pPr>
      <w:r>
        <w:t xml:space="preserve">3.5 Prazo da PNRS</w:t>
      </w:r>
    </w:p>
    <w:p>
      <w:pPr>
        <w:pStyle w:val="FirstParagraph"/>
      </w:pPr>
      <w:r>
        <w:t xml:space="preserve">Todos os municípios da AMSA têm população inferior a 50 mil habitantes no Censo 2010</w:t>
      </w:r>
      <w:r>
        <w:t xml:space="preserve"> </w:t>
      </w:r>
      <w:r>
        <w:rPr>
          <w:rStyle w:val="VerbatimChar"/>
        </w:rPr>
        <w:t xml:space="preserve">[VERIFICAR]</w:t>
      </w:r>
      <w:r>
        <w:t xml:space="preserve">. Para eles, o prazo para disposição final ambientalmente adequada dos rejeitos venceu em 2 de agosto de 2024 (art. 54, inciso IV, da Lei n.º 12.305/2010, redação da Lei n.º 14.026/2020), condicionado à existência de plano e de mecanismo de cobrança. Aterro controlado não é</w:t>
      </w:r>
      <w:r>
        <w:t xml:space="preserve"> </w:t>
      </w:r>
      <w:r>
        <w:t xml:space="preserve">“</w:t>
      </w:r>
      <w:r>
        <w:t xml:space="preserve">disposição final ambientalmente adequada</w:t>
      </w:r>
      <w:r>
        <w:t xml:space="preserve">”</w:t>
      </w:r>
      <w:r>
        <w:t xml:space="preserve"> </w:t>
      </w:r>
      <w:r>
        <w:t xml:space="preserve">(art. 3.º, inciso VIII) e o lançamento</w:t>
      </w:r>
      <w:r>
        <w:t xml:space="preserve"> </w:t>
      </w:r>
      <w:r>
        <w:t xml:space="preserve">“</w:t>
      </w:r>
      <w:r>
        <w:t xml:space="preserve">in natura a céu aberto</w:t>
      </w:r>
      <w:r>
        <w:t xml:space="preserve">”</w:t>
      </w:r>
      <w:r>
        <w:t xml:space="preserve"> </w:t>
      </w:r>
      <w:r>
        <w:t xml:space="preserve">é proibido (art. 47, inciso II). Isso justifica a mudança de destinação, mas não altera a resposta à pergunta sobre os dois contratos.</w:t>
      </w:r>
    </w:p>
    <w:p>
      <w:r>
        <w:pict>
          <v:rect style="width:0;height:1.5pt" o:hralign="center" o:hrstd="t" o:hr="t"/>
        </w:pict>
      </w:r>
    </w:p>
    <w:bookmarkEnd w:id="28"/>
    <w:bookmarkEnd w:id="29"/>
    <w:bookmarkStart w:id="38" w:name="fundamentos"/>
    <w:p>
      <w:pPr>
        <w:pStyle w:val="Heading2"/>
      </w:pPr>
      <w:r>
        <w:t xml:space="preserve">4. Fundamentos</w:t>
      </w:r>
    </w:p>
    <w:bookmarkStart w:id="30" w:name="X302e041232ba51a80db58a1bc9bd08fd702c110"/>
    <w:p>
      <w:pPr>
        <w:pStyle w:val="Heading3"/>
      </w:pPr>
      <w:r>
        <w:t xml:space="preserve">4.1 Lei n.º 11.107/2005 e Decreto n.º 6.017/2007</w:t>
      </w:r>
    </w:p>
    <w:p>
      <w:pPr>
        <w:numPr>
          <w:ilvl w:val="0"/>
          <w:numId w:val="1005"/>
        </w:numPr>
        <w:pStyle w:val="Compact"/>
      </w:pPr>
      <w:r>
        <w:t xml:space="preserve">Art. 1.º, § 1.º, e art. 6.º, § 1.º, da Lei n.º 11.107/2005: o consórcio de direito público é associação pública e integra a administração indireta de todos os consorciados.</w:t>
      </w:r>
    </w:p>
    <w:p>
      <w:pPr>
        <w:numPr>
          <w:ilvl w:val="0"/>
          <w:numId w:val="1005"/>
        </w:numPr>
        <w:pStyle w:val="Compact"/>
      </w:pPr>
      <w:r>
        <w:t xml:space="preserve">Art. 2.º, § 1.º, inciso III: o consórcio pode</w:t>
      </w:r>
      <w:r>
        <w:t xml:space="preserve"> </w:t>
      </w:r>
      <w:r>
        <w:t xml:space="preserve">“</w:t>
      </w:r>
      <w:r>
        <w:t xml:space="preserve">ser contratado pela administração direta ou indireta dos entes da Federação consorciados, dispensada a licitação</w:t>
      </w:r>
      <w:r>
        <w:t xml:space="preserve">”</w:t>
      </w:r>
      <w:r>
        <w:t xml:space="preserve">. Art. 18 do Decreto n.º 6.017/2007 repete a regra e o parágrafo único acrescenta: o contrato</w:t>
      </w:r>
      <w:r>
        <w:t xml:space="preserve"> </w:t>
      </w:r>
      <w:r>
        <w:t xml:space="preserve">“</w:t>
      </w:r>
      <w:r>
        <w:t xml:space="preserve">preferencialmente, deverá ser celebrado sempre quando o consórcio fornecer bens ou prestar serviços para um determinado ente consorciado, de forma a impedir que sejam eles custeados pelos demais</w:t>
      </w:r>
      <w:r>
        <w:t xml:space="preserve">”</w:t>
      </w:r>
      <w:r>
        <w:t xml:space="preserve">.</w:t>
      </w:r>
    </w:p>
    <w:p>
      <w:pPr>
        <w:numPr>
          <w:ilvl w:val="0"/>
          <w:numId w:val="1005"/>
        </w:numPr>
        <w:pStyle w:val="Compact"/>
      </w:pPr>
      <w:r>
        <w:t xml:space="preserve">Art. 4.º, inciso XI: o protocolo de intenções deve explicitar</w:t>
      </w:r>
      <w:r>
        <w:t xml:space="preserve"> </w:t>
      </w:r>
      <w:r>
        <w:t xml:space="preserve">“</w:t>
      </w:r>
      <w:r>
        <w:t xml:space="preserve">as competências cujo exercício se transferiu ao consórcio público</w:t>
      </w:r>
      <w:r>
        <w:t xml:space="preserve">”</w:t>
      </w:r>
      <w:r>
        <w:t xml:space="preserve"> </w:t>
      </w:r>
      <w:r>
        <w:t xml:space="preserve">(alínea</w:t>
      </w:r>
      <w:r>
        <w:t xml:space="preserve"> </w:t>
      </w:r>
      <w:r>
        <w:t xml:space="preserve">“</w:t>
      </w:r>
      <w:r>
        <w:t xml:space="preserve">a</w:t>
      </w:r>
      <w:r>
        <w:t xml:space="preserve">”</w:t>
      </w:r>
      <w:r>
        <w:t xml:space="preserve">), os serviços objeto da gestão associada (alínea</w:t>
      </w:r>
      <w:r>
        <w:t xml:space="preserve"> </w:t>
      </w:r>
      <w:r>
        <w:t xml:space="preserve">“</w:t>
      </w:r>
      <w:r>
        <w:t xml:space="preserve">b</w:t>
      </w:r>
      <w:r>
        <w:t xml:space="preserve">”</w:t>
      </w:r>
      <w:r>
        <w:t xml:space="preserve">) e a autorização para licitar ou outorgar concessão (alínea</w:t>
      </w:r>
      <w:r>
        <w:t xml:space="preserve"> </w:t>
      </w:r>
      <w:r>
        <w:t xml:space="preserve">“</w:t>
      </w:r>
      <w:r>
        <w:t xml:space="preserve">c</w:t>
      </w:r>
      <w:r>
        <w:t xml:space="preserve">”</w:t>
      </w:r>
      <w:r>
        <w:t xml:space="preserve">).</w:t>
      </w:r>
    </w:p>
    <w:p>
      <w:pPr>
        <w:numPr>
          <w:ilvl w:val="0"/>
          <w:numId w:val="1005"/>
        </w:numPr>
        <w:pStyle w:val="Compact"/>
      </w:pPr>
      <w:r>
        <w:t xml:space="preserve">Art. 6.º, § 2.º (redação da Lei n.º 13.822/2019): o consórcio observa as normas de direito público para licitação e contratos.</w:t>
      </w:r>
    </w:p>
    <w:p>
      <w:pPr>
        <w:numPr>
          <w:ilvl w:val="0"/>
          <w:numId w:val="1005"/>
        </w:numPr>
        <w:pStyle w:val="Compact"/>
      </w:pPr>
      <w:r>
        <w:t xml:space="preserve">Art. 8.º: recursos só se entregam ao consórcio por contrato de rateio, formalizado a cada exercício (§ 1.º); vedadas despesas genéricas (§ 2.º); exclusão do ente que não consigna dotação (§ 5.º). Art. 13, § 2.º, do Decreto: celebrar rateio sem dotação é improbidade (art. 10, inciso XV, da Lei n.º 8.429/1992).</w:t>
      </w:r>
    </w:p>
    <w:p>
      <w:pPr>
        <w:numPr>
          <w:ilvl w:val="0"/>
          <w:numId w:val="1005"/>
        </w:numPr>
        <w:pStyle w:val="Compact"/>
      </w:pPr>
      <w:r>
        <w:t xml:space="preserve">Art. 13: obrigações de um ente para com o consórcio</w:t>
      </w:r>
      <w:r>
        <w:t xml:space="preserve"> </w:t>
      </w:r>
      <w:r>
        <w:t xml:space="preserve">“</w:t>
      </w:r>
      <w:r>
        <w:t xml:space="preserve">no âmbito de gestão associada em que haja a prestação de serviços públicos</w:t>
      </w:r>
      <w:r>
        <w:t xml:space="preserve">”</w:t>
      </w:r>
      <w:r>
        <w:t xml:space="preserve"> </w:t>
      </w:r>
      <w:r>
        <w:t xml:space="preserve">devem ser constituídas por contrato de programa,</w:t>
      </w:r>
      <w:r>
        <w:t xml:space="preserve"> </w:t>
      </w:r>
      <w:r>
        <w:t xml:space="preserve">“</w:t>
      </w:r>
      <w:r>
        <w:t xml:space="preserve">como condição de sua validade</w:t>
      </w:r>
      <w:r>
        <w:t xml:space="preserve">”</w:t>
      </w:r>
      <w:r>
        <w:t xml:space="preserve">. Art. 30, § 2.º, do Decreto: prestar serviço público por cooperação federativa sem contrato de programa é improbidade (art. 10, inciso XIV, da Lei n.º 8.429/1992).</w:t>
      </w:r>
    </w:p>
    <w:p>
      <w:pPr>
        <w:numPr>
          <w:ilvl w:val="0"/>
          <w:numId w:val="1005"/>
        </w:numPr>
        <w:pStyle w:val="Compact"/>
      </w:pPr>
      <w:r>
        <w:t xml:space="preserve">Art. 2.º, incisos IX, XIII e XVI, do Decreto n.º 6.017/2007: gestão associada é o exercício de planejamento, regulação ou fiscalização por consórcio,</w:t>
      </w:r>
      <w:r>
        <w:t xml:space="preserve"> </w:t>
      </w:r>
      <w:r>
        <w:t xml:space="preserve">“</w:t>
      </w:r>
      <w:r>
        <w:t xml:space="preserve">acompanhadas ou não da prestação de serviços públicos</w:t>
      </w:r>
      <w:r>
        <w:t xml:space="preserve">”</w:t>
      </w:r>
      <w:r>
        <w:t xml:space="preserve">.</w:t>
      </w:r>
    </w:p>
    <w:p>
      <w:pPr>
        <w:numPr>
          <w:ilvl w:val="0"/>
          <w:numId w:val="1005"/>
        </w:numPr>
        <w:pStyle w:val="Compact"/>
      </w:pPr>
      <w:r>
        <w:t xml:space="preserve">Art. 12 e art. 12-A da Lei n.º 11.107/2005 (redação da Lei n.º 14.662/2023): extinção depende de instrumento aprovado pela assembleia e ratificado por lei de todos os entes; alteração, por lei da maioria.</w:t>
      </w:r>
    </w:p>
    <w:bookmarkEnd w:id="30"/>
    <w:bookmarkStart w:id="31" w:name="X69d23a326c7a24dc9ea40afd6fef06f1cccbed2"/>
    <w:p>
      <w:pPr>
        <w:pStyle w:val="Heading3"/>
      </w:pPr>
      <w:r>
        <w:t xml:space="preserve">4.2 Contrato de Consórcio AMSA (Instrumento de Alteração, versão 5/04/2018)</w:t>
      </w:r>
    </w:p>
    <w:p>
      <w:pPr>
        <w:pStyle w:val="FirstParagraph"/>
      </w:pPr>
      <w:r>
        <w:t xml:space="preserve">Transcrições feitas a partir das imagens do anexo à Lei n.º 334/2018 de Mulungu. Cópia dos trechos no arquivo</w:t>
      </w:r>
      <w:r>
        <w:t xml:space="preserve"> </w:t>
      </w:r>
      <w:r>
        <w:rPr>
          <w:rStyle w:val="VerbatimChar"/>
        </w:rPr>
        <w:t xml:space="preserve">fontes/contrato-consorcio-amsa-2018-trechos.md</w:t>
      </w:r>
      <w:r>
        <w:t xml:space="preserve">.</w:t>
      </w:r>
    </w:p>
    <w:p>
      <w:pPr>
        <w:numPr>
          <w:ilvl w:val="0"/>
          <w:numId w:val="1006"/>
        </w:numPr>
        <w:pStyle w:val="Compact"/>
      </w:pPr>
      <w:r>
        <w:rPr>
          <w:bCs/>
          <w:b/>
        </w:rPr>
        <w:t xml:space="preserve">Cláusula 3.ª</w:t>
      </w:r>
      <w:r>
        <w:t xml:space="preserve"> </w:t>
      </w:r>
      <w:r>
        <w:t xml:space="preserve">(conceitos): gestão associada é o</w:t>
      </w:r>
      <w:r>
        <w:t xml:space="preserve"> </w:t>
      </w:r>
      <w:r>
        <w:t xml:space="preserve">“</w:t>
      </w:r>
      <w:r>
        <w:t xml:space="preserve">exercício das atividades de planejamento, regulação ou fiscalização de serviços públicos por meio de consórcio público (…), acompanhadas ou não da prestação de serviços públicos</w:t>
      </w:r>
      <w:r>
        <w:t xml:space="preserve">”</w:t>
      </w:r>
      <w:r>
        <w:t xml:space="preserve">; contrato de rateio é o contrato</w:t>
      </w:r>
      <w:r>
        <w:t xml:space="preserve"> </w:t>
      </w:r>
      <w:r>
        <w:t xml:space="preserve">“</w:t>
      </w:r>
      <w:r>
        <w:t xml:space="preserve">por meio do qual os entes consorciados comprometem-se a fornecer recursos financeiros para a realização das despesas do consórcio público</w:t>
      </w:r>
      <w:r>
        <w:t xml:space="preserve">”</w:t>
      </w:r>
      <w:r>
        <w:t xml:space="preserve">.</w:t>
      </w:r>
    </w:p>
    <w:p>
      <w:pPr>
        <w:numPr>
          <w:ilvl w:val="0"/>
          <w:numId w:val="1006"/>
        </w:numPr>
        <w:pStyle w:val="Compact"/>
      </w:pPr>
      <w:r>
        <w:rPr>
          <w:bCs/>
          <w:b/>
        </w:rPr>
        <w:t xml:space="preserve">Cláusula 7.ª</w:t>
      </w:r>
      <w:r>
        <w:t xml:space="preserve"> </w:t>
      </w:r>
      <w:r>
        <w:t xml:space="preserve">(objetivos): I – planejamento regional; II – prestar o serviço</w:t>
      </w:r>
      <w:r>
        <w:t xml:space="preserve"> </w:t>
      </w:r>
      <w:r>
        <w:t xml:space="preserve">“</w:t>
      </w:r>
      <w:r>
        <w:t xml:space="preserve">por meio de contratos de programa que venha a celebrar com Municípios consorciados</w:t>
      </w:r>
      <w:r>
        <w:t xml:space="preserve">”</w:t>
      </w:r>
      <w:r>
        <w:t xml:space="preserve">; III – delegar por contrato de programa; IV – delegar por contrato de concessão; IX – ser contratado por órgãos ou entidades dos consorciados (art. 2.º, § 1.º, inciso III, da Lei n.º 11.107/2005),</w:t>
      </w:r>
      <w:r>
        <w:t xml:space="preserve"> </w:t>
      </w:r>
      <w:r>
        <w:t xml:space="preserve">“</w:t>
      </w:r>
      <w:r>
        <w:t xml:space="preserve">somente (…) por meio de contrato, no qual seja estabelecida remuneração compatível com os valores de mercado</w:t>
      </w:r>
      <w:r>
        <w:t xml:space="preserve">”</w:t>
      </w:r>
      <w:r>
        <w:t xml:space="preserve"> </w:t>
      </w:r>
      <w:r>
        <w:t xml:space="preserve">(§ 4.º); XIII –</w:t>
      </w:r>
      <w:r>
        <w:t xml:space="preserve"> </w:t>
      </w:r>
      <w:r>
        <w:t xml:space="preserve">“</w:t>
      </w:r>
      <w:r>
        <w:t xml:space="preserve">atendendo solicitação de entes consorciados, realizar licitação compartilhada da qual decorram contratos celebrados por entes consorciados</w:t>
      </w:r>
      <w:r>
        <w:t xml:space="preserve">”</w:t>
      </w:r>
      <w:r>
        <w:t xml:space="preserve">. § 2.º: é necessária</w:t>
      </w:r>
      <w:r>
        <w:t xml:space="preserve"> </w:t>
      </w:r>
      <w:r>
        <w:t xml:space="preserve">“</w:t>
      </w:r>
      <w:r>
        <w:t xml:space="preserve">autorização expressa do Chefe do Executivo respectivo (…) para que o Consórcio, representando ente consorciado, firme contrato de delegação da prestação de serviço público de limpeza urbana e manejo dos resíduos sólidos ou de atividade dele integrante</w:t>
      </w:r>
      <w:r>
        <w:t xml:space="preserve">”</w:t>
      </w:r>
      <w:r>
        <w:t xml:space="preserve">. § 11:</w:t>
      </w:r>
      <w:r>
        <w:t xml:space="preserve"> </w:t>
      </w:r>
      <w:r>
        <w:t xml:space="preserve">“</w:t>
      </w:r>
      <w:r>
        <w:t xml:space="preserve">Fica criado o Fundo Regional de Financiamento do Manejo Diferenciado de Resíduos Sólidos a ser regulamentado por resolução da Assembleia Geral</w:t>
      </w:r>
      <w:r>
        <w:t xml:space="preserve">”</w:t>
      </w:r>
      <w:r>
        <w:t xml:space="preserve">.</w:t>
      </w:r>
    </w:p>
    <w:p>
      <w:pPr>
        <w:numPr>
          <w:ilvl w:val="0"/>
          <w:numId w:val="1006"/>
        </w:numPr>
        <w:pStyle w:val="Compact"/>
      </w:pPr>
      <w:r>
        <w:rPr>
          <w:bCs/>
          <w:b/>
        </w:rPr>
        <w:t xml:space="preserve">Cláusula 8.ª</w:t>
      </w:r>
      <w:r>
        <w:t xml:space="preserve"> </w:t>
      </w:r>
      <w:r>
        <w:t xml:space="preserve">(autorização da gestão associada): os municípios autorizam a gestão associada,</w:t>
      </w:r>
      <w:r>
        <w:t xml:space="preserve"> </w:t>
      </w:r>
      <w:r>
        <w:t xml:space="preserve">“</w:t>
      </w:r>
      <w:r>
        <w:t xml:space="preserve">observando necessariamente o planejamento regional integrado e a uniformidade de regulação e fiscalização</w:t>
      </w:r>
      <w:r>
        <w:t xml:space="preserve">”</w:t>
      </w:r>
      <w:r>
        <w:t xml:space="preserve">. § 1.º: o planejamento regional integrado</w:t>
      </w:r>
      <w:r>
        <w:t xml:space="preserve"> </w:t>
      </w:r>
      <w:r>
        <w:t xml:space="preserve">“</w:t>
      </w:r>
      <w:r>
        <w:t xml:space="preserve">será elaborado e homologado pelo Consórcio e vincula os entes consorciados quanto à localização de instalações, opções tecnológicas, entes reguladores e modalidades de prestação</w:t>
      </w:r>
      <w:r>
        <w:t xml:space="preserve">”</w:t>
      </w:r>
      <w:r>
        <w:t xml:space="preserve">. § 2.º: regulação e fiscalização podem ser delegadas pelo Consórcio à ARCE. § 3.º: a organização da prestação</w:t>
      </w:r>
      <w:r>
        <w:t xml:space="preserve"> </w:t>
      </w:r>
      <w:r>
        <w:t xml:space="preserve">“</w:t>
      </w:r>
      <w:r>
        <w:t xml:space="preserve">se adequará às diretrizes do planejamento regional integrado, utilizando uma ou mais das seguintes modalidades: a) prestação direta por órgão ou entidade da administração dos Municípios consorciados, utilizando contrato de prestação de serviços nos termos da Lei 8.666/93; b) prestação por meio de contrato de programa (…); c) prestação por meio de contrato de concessão firmado pelo Consórcio (…); d) prestação por associações ou cooperativas (…) de catadores</w:t>
      </w:r>
      <w:r>
        <w:t xml:space="preserve">”</w:t>
      </w:r>
      <w:r>
        <w:t xml:space="preserve">.</w:t>
      </w:r>
    </w:p>
    <w:p>
      <w:pPr>
        <w:numPr>
          <w:ilvl w:val="0"/>
          <w:numId w:val="1006"/>
        </w:numPr>
        <w:pStyle w:val="Compact"/>
      </w:pPr>
      <w:r>
        <w:rPr>
          <w:bCs/>
          <w:b/>
        </w:rPr>
        <w:t xml:space="preserve">Cláusula 10.ª</w:t>
      </w:r>
      <w:r>
        <w:t xml:space="preserve"> </w:t>
      </w:r>
      <w:r>
        <w:t xml:space="preserve">(competências transferidas ao Consórcio):</w:t>
      </w:r>
      <w:r>
        <w:t xml:space="preserve"> </w:t>
      </w:r>
      <w:r>
        <w:t xml:space="preserve">“</w:t>
      </w:r>
      <w:r>
        <w:t xml:space="preserve">os entes consorciados transferem ao Consórcio o exercício das competências de planejamento</w:t>
      </w:r>
      <w:r>
        <w:t xml:space="preserve">”</w:t>
      </w:r>
      <w:r>
        <w:t xml:space="preserve">, entre elas a elaboração de planos regionais (art. 19 da Lei n.º 11.445/2007), o sistema de informações e a intervenção e retomada de serviços delegados.</w:t>
      </w:r>
    </w:p>
    <w:p>
      <w:pPr>
        <w:numPr>
          <w:ilvl w:val="0"/>
          <w:numId w:val="1006"/>
        </w:numPr>
        <w:pStyle w:val="Compact"/>
      </w:pPr>
      <w:r>
        <w:rPr>
          <w:bCs/>
          <w:b/>
        </w:rPr>
        <w:t xml:space="preserve">Cláusula 11.ª</w:t>
      </w:r>
      <w:r>
        <w:t xml:space="preserve">: transferência, à entidade reguladora, das competências de regulação e fiscalização.</w:t>
      </w:r>
    </w:p>
    <w:p>
      <w:pPr>
        <w:numPr>
          <w:ilvl w:val="0"/>
          <w:numId w:val="1006"/>
        </w:numPr>
        <w:pStyle w:val="Compact"/>
      </w:pPr>
      <w:r>
        <w:rPr>
          <w:bCs/>
          <w:b/>
        </w:rPr>
        <w:t xml:space="preserve">Cláusula 18.ª</w:t>
      </w:r>
      <w:r>
        <w:t xml:space="preserve"> </w:t>
      </w:r>
      <w:r>
        <w:t xml:space="preserve">(competências da Assembleia): aprovar orçamento, programa anual de trabalho e previsão de aportes de rateio (inciso VII); aprovar planos regionais e minutas de contratos de programa e de concessão (inciso VIII); avaliar a execução dos planos (inciso X).</w:t>
      </w:r>
    </w:p>
    <w:p>
      <w:pPr>
        <w:numPr>
          <w:ilvl w:val="0"/>
          <w:numId w:val="1006"/>
        </w:numPr>
        <w:pStyle w:val="Compact"/>
      </w:pPr>
      <w:r>
        <w:rPr>
          <w:bCs/>
          <w:b/>
        </w:rPr>
        <w:t xml:space="preserve">Cláusula 49.ª</w:t>
      </w:r>
      <w:r>
        <w:t xml:space="preserve">:</w:t>
      </w:r>
      <w:r>
        <w:t xml:space="preserve"> </w:t>
      </w:r>
      <w:r>
        <w:t xml:space="preserve">“</w:t>
      </w:r>
      <w:r>
        <w:t xml:space="preserve">A prestação de serviços públicos de limpeza urbana e manejo de resíduos sólidos pelo Consórcio ou a sua delegação a terceiros pelo Consórcio ou por Município consorciado depende de celebração de contrato, sendo vedada a sua disciplina mediante convênios, termos de parceria ou outros instrumentos de natureza precária.</w:t>
      </w:r>
      <w:r>
        <w:t xml:space="preserve">”</w:t>
      </w:r>
      <w:r>
        <w:t xml:space="preserve"> </w:t>
      </w:r>
      <w:r>
        <w:t xml:space="preserve">§ 3.º: são condições de validade desses contratos a existência de plano (inciso I), de estudo de viabilidade técnica e econômico-financeira (inciso II), a designação de entidade reguladora com regulamento (inciso III) e a audiência e consulta públicas sobre o edital,</w:t>
      </w:r>
      <w:r>
        <w:t xml:space="preserve"> </w:t>
      </w:r>
      <w:r>
        <w:t xml:space="preserve">“</w:t>
      </w:r>
      <w:r>
        <w:t xml:space="preserve">no caso de concessão</w:t>
      </w:r>
      <w:r>
        <w:t xml:space="preserve">”</w:t>
      </w:r>
      <w:r>
        <w:t xml:space="preserve">, e sobre a minuta do contrato (inciso IV). § 4.º: cláusulas necessárias do contrato de delegação. § 10: nulidade da cláusula que atribua ao contratado planejamento, regulação ou fiscalização.</w:t>
      </w:r>
    </w:p>
    <w:p>
      <w:pPr>
        <w:numPr>
          <w:ilvl w:val="0"/>
          <w:numId w:val="1006"/>
        </w:numPr>
        <w:pStyle w:val="Compact"/>
      </w:pPr>
      <w:r>
        <w:rPr>
          <w:bCs/>
          <w:b/>
        </w:rPr>
        <w:t xml:space="preserve">Cláusula 50.ª</w:t>
      </w:r>
      <w:r>
        <w:t xml:space="preserve">: o Consórcio comparece a contrato de programa</w:t>
      </w:r>
      <w:r>
        <w:t xml:space="preserve"> </w:t>
      </w:r>
      <w:r>
        <w:t xml:space="preserve">“</w:t>
      </w:r>
      <w:r>
        <w:t xml:space="preserve">na condição de contratado, [para] prestar serviços públicos de limpeza urbana e manejo dos resíduos sólidos ou de atividade dele integrante, por meios próprios ou sob sua gestão administrativa ou contratual, tendo como contratante o Município consorciado</w:t>
      </w:r>
      <w:r>
        <w:t xml:space="preserve">”</w:t>
      </w:r>
      <w:r>
        <w:t xml:space="preserve"> </w:t>
      </w:r>
      <w:r>
        <w:t xml:space="preserve">(inciso I),</w:t>
      </w:r>
      <w:r>
        <w:t xml:space="preserve"> </w:t>
      </w:r>
      <w:r>
        <w:t xml:space="preserve">“</w:t>
      </w:r>
      <w:r>
        <w:t xml:space="preserve">mediante dispensa de licitação</w:t>
      </w:r>
      <w:r>
        <w:t xml:space="preserve">”</w:t>
      </w:r>
      <w:r>
        <w:t xml:space="preserve"> </w:t>
      </w:r>
      <w:r>
        <w:t xml:space="preserve">(§ 1.º).</w:t>
      </w:r>
    </w:p>
    <w:p>
      <w:pPr>
        <w:numPr>
          <w:ilvl w:val="0"/>
          <w:numId w:val="1006"/>
        </w:numPr>
        <w:pStyle w:val="Compact"/>
      </w:pPr>
      <w:r>
        <w:rPr>
          <w:bCs/>
          <w:b/>
        </w:rPr>
        <w:t xml:space="preserve">Cláusula 53.ª</w:t>
      </w:r>
      <w:r>
        <w:t xml:space="preserve"> </w:t>
      </w:r>
      <w:r>
        <w:t xml:space="preserve">(relações financeiras):</w:t>
      </w:r>
      <w:r>
        <w:t xml:space="preserve"> </w:t>
      </w:r>
      <w:r>
        <w:t xml:space="preserve">“</w:t>
      </w:r>
      <w:r>
        <w:t xml:space="preserve">Os entes consorciados somente entregarão recursos ao Consórcio quando: I – tenham contratado o Consórcio para a prestação de serviços, execução de obras ou fornecimento de bens, respeitados os valores de mercado; II – houver contrato de rateio.</w:t>
      </w:r>
      <w:r>
        <w:t xml:space="preserve">”</w:t>
      </w:r>
    </w:p>
    <w:p>
      <w:pPr>
        <w:numPr>
          <w:ilvl w:val="0"/>
          <w:numId w:val="1006"/>
        </w:numPr>
        <w:pStyle w:val="Compact"/>
      </w:pPr>
      <w:r>
        <w:rPr>
          <w:bCs/>
          <w:b/>
        </w:rPr>
        <w:t xml:space="preserve">Cláusula 55.ª</w:t>
      </w:r>
      <w:r>
        <w:t xml:space="preserve">: a contabilidade deve reconhecer a gestão de cada serviço em relação a cada titular, com demonstrativo anual do investido e arrecadado,</w:t>
      </w:r>
      <w:r>
        <w:t xml:space="preserve"> </w:t>
      </w:r>
      <w:r>
        <w:t xml:space="preserve">“</w:t>
      </w:r>
      <w:r>
        <w:t xml:space="preserve">inclusive os valores de eventuais subsídios cruzados</w:t>
      </w:r>
      <w:r>
        <w:t xml:space="preserve">”</w:t>
      </w:r>
      <w:r>
        <w:t xml:space="preserve">.</w:t>
      </w:r>
    </w:p>
    <w:p>
      <w:pPr>
        <w:numPr>
          <w:ilvl w:val="0"/>
          <w:numId w:val="1006"/>
        </w:numPr>
        <w:pStyle w:val="Compact"/>
      </w:pPr>
      <w:r>
        <w:rPr>
          <w:bCs/>
          <w:b/>
        </w:rPr>
        <w:t xml:space="preserve">Cláusula 58.ª</w:t>
      </w:r>
      <w:r>
        <w:t xml:space="preserve">: retirada depende de ato formal na Assembleia; não prejudica obrigações já constituídas.</w:t>
      </w:r>
    </w:p>
    <w:p>
      <w:pPr>
        <w:numPr>
          <w:ilvl w:val="0"/>
          <w:numId w:val="1006"/>
        </w:numPr>
        <w:pStyle w:val="Compact"/>
      </w:pPr>
      <w:r>
        <w:rPr>
          <w:bCs/>
          <w:b/>
        </w:rPr>
        <w:t xml:space="preserve">Cláusula 59.ª</w:t>
      </w:r>
      <w:r>
        <w:t xml:space="preserve"> </w:t>
      </w:r>
      <w:r>
        <w:t xml:space="preserve">(exclusão): I – não consignar dotação para o rateio; II – subscrever outro protocolo com finalidades iguais ou incompatíveis; III –</w:t>
      </w:r>
      <w:r>
        <w:t xml:space="preserve"> </w:t>
      </w:r>
      <w:r>
        <w:t xml:space="preserve">“</w:t>
      </w:r>
      <w:r>
        <w:t xml:space="preserve">motivos considerados graves, especialmente à organização da prestação de serviços públicos de limpeza urbana e manejo dos resíduos sólidos em desacordo com plano regional integrado homologado pelo Consórcio</w:t>
      </w:r>
      <w:r>
        <w:t xml:space="preserve">”</w:t>
      </w:r>
      <w:r>
        <w:t xml:space="preserve">, por deliberação de maioria absoluta.</w:t>
      </w:r>
    </w:p>
    <w:p>
      <w:pPr>
        <w:numPr>
          <w:ilvl w:val="0"/>
          <w:numId w:val="1006"/>
        </w:numPr>
        <w:pStyle w:val="Compact"/>
      </w:pPr>
      <w:r>
        <w:rPr>
          <w:bCs/>
          <w:b/>
        </w:rPr>
        <w:t xml:space="preserve">Cláusula 63.ª</w:t>
      </w:r>
      <w:r>
        <w:t xml:space="preserve"> </w:t>
      </w:r>
      <w:r>
        <w:t xml:space="preserve">(princípios): solidariedade, pela qual</w:t>
      </w:r>
      <w:r>
        <w:t xml:space="preserve"> </w:t>
      </w:r>
      <w:r>
        <w:t xml:space="preserve">“</w:t>
      </w:r>
      <w:r>
        <w:t xml:space="preserve">os entes consorciados se comprometem a não praticar qualquer ato, comissivo ou omissivo, que venha a prejudicar a boa implementação de qualquer dos objetivos do Consórcio</w:t>
      </w:r>
      <w:r>
        <w:t xml:space="preserve">”</w:t>
      </w:r>
      <w:r>
        <w:t xml:space="preserve"> </w:t>
      </w:r>
      <w:r>
        <w:t xml:space="preserve">(inciso II); eficiência, com decisões fundamentadas em viabilidade e economicidade (inciso V).</w:t>
      </w:r>
    </w:p>
    <w:p>
      <w:pPr>
        <w:numPr>
          <w:ilvl w:val="0"/>
          <w:numId w:val="1006"/>
        </w:numPr>
        <w:pStyle w:val="Compact"/>
      </w:pPr>
      <w:r>
        <w:rPr>
          <w:bCs/>
          <w:b/>
        </w:rPr>
        <w:t xml:space="preserve">Anexo II</w:t>
      </w:r>
      <w:r>
        <w:t xml:space="preserve"> </w:t>
      </w:r>
      <w:r>
        <w:t xml:space="preserve">(normas uniformes de planejamento, regulação, fiscalização e prestação, convertidas em lei municipal pela ratificação, cláusula 9.ª): art. 3.º, dever de elaborar planos regionais por intermédio do Consórcio e planos locais compatíveis; art. 3.º, § 5.º:</w:t>
      </w:r>
      <w:r>
        <w:t xml:space="preserve"> </w:t>
      </w:r>
      <w:r>
        <w:t xml:space="preserve">“</w:t>
      </w:r>
      <w:r>
        <w:t xml:space="preserve">é vedado o investimento em serviços públicos de limpeza urbana e manejo de resíduos sólidos sem previsão em plano</w:t>
      </w:r>
      <w:r>
        <w:t xml:space="preserve">”</w:t>
      </w:r>
      <w:r>
        <w:t xml:space="preserve">; art. 4.º: os planos são vinculantes para</w:t>
      </w:r>
      <w:r>
        <w:t xml:space="preserve"> </w:t>
      </w:r>
      <w:r>
        <w:t xml:space="preserve">“</w:t>
      </w:r>
      <w:r>
        <w:t xml:space="preserve">a regulação, a fiscalização, a prestação direta ou delegada e a avaliação dos serviços</w:t>
      </w:r>
      <w:r>
        <w:t xml:space="preserve">”</w:t>
      </w:r>
      <w:r>
        <w:t xml:space="preserve">; art. 6.º: regulação e fiscalização alcançam a prestação</w:t>
      </w:r>
      <w:r>
        <w:t xml:space="preserve"> </w:t>
      </w:r>
      <w:r>
        <w:t xml:space="preserve">“</w:t>
      </w:r>
      <w:r>
        <w:t xml:space="preserve">direta ou indiretamente, pelo Município consorciado</w:t>
      </w:r>
      <w:r>
        <w:t xml:space="preserve">”</w:t>
      </w:r>
      <w:r>
        <w:t xml:space="preserve">.</w:t>
      </w:r>
    </w:p>
    <w:p>
      <w:pPr>
        <w:numPr>
          <w:ilvl w:val="0"/>
          <w:numId w:val="1006"/>
        </w:numPr>
        <w:pStyle w:val="Compact"/>
      </w:pPr>
      <w:r>
        <w:rPr>
          <w:bCs/>
          <w:b/>
        </w:rPr>
        <w:t xml:space="preserve">Anexo III</w:t>
      </w:r>
      <w:r>
        <w:t xml:space="preserve">: Taxa de Manejo de Resíduos Sólidos Domiciliares e Fundo Específico de Meio Ambiente, cujos recursos ficam em conta</w:t>
      </w:r>
      <w:r>
        <w:t xml:space="preserve"> </w:t>
      </w:r>
      <w:r>
        <w:t xml:space="preserve">“</w:t>
      </w:r>
      <w:r>
        <w:t xml:space="preserve">em nome do Consórcio, específica para cada Município</w:t>
      </w:r>
      <w:r>
        <w:t xml:space="preserve">”</w:t>
      </w:r>
      <w:r>
        <w:t xml:space="preserve">, movimentada</w:t>
      </w:r>
      <w:r>
        <w:t xml:space="preserve"> </w:t>
      </w:r>
      <w:r>
        <w:t xml:space="preserve">“</w:t>
      </w:r>
      <w:r>
        <w:t xml:space="preserve">somente (…) mediante determinação do Município proprietário dos recursos</w:t>
      </w:r>
      <w:r>
        <w:t xml:space="preserve">”</w:t>
      </w:r>
      <w:r>
        <w:t xml:space="preserve"> </w:t>
      </w:r>
      <w:r>
        <w:t xml:space="preserve">(art. 10, §§ 2.º e 3.º). As leis de ratificação de Baturité (art. 3.º da Lei n.º 1.802/2018) e de Pacoti (art. 3.º da Lei n.º 1.641/2018) condicionaram a implantação da taxa a três requisitos, entre eles</w:t>
      </w:r>
      <w:r>
        <w:t xml:space="preserve"> </w:t>
      </w:r>
      <w:r>
        <w:t xml:space="preserve">“</w:t>
      </w:r>
      <w:r>
        <w:t xml:space="preserve">o esgotamento das possibilidades de cobertura dos custos (…) por meio das receitas de vendas de materiais valorizados e repasses do ICMS Sócio Ambiental pelo Estado</w:t>
      </w:r>
      <w:r>
        <w:t xml:space="preserve">”</w:t>
      </w:r>
      <w:r>
        <w:t xml:space="preserve">.</w:t>
      </w:r>
    </w:p>
    <w:bookmarkEnd w:id="31"/>
    <w:bookmarkStart w:id="32" w:name="estatuto-2018-e-2026"/>
    <w:p>
      <w:pPr>
        <w:pStyle w:val="Heading3"/>
      </w:pPr>
      <w:r>
        <w:t xml:space="preserve">4.3 Estatuto (2018 e 2026)</w:t>
      </w:r>
    </w:p>
    <w:p>
      <w:pPr>
        <w:numPr>
          <w:ilvl w:val="0"/>
          <w:numId w:val="1007"/>
        </w:numPr>
        <w:pStyle w:val="Compact"/>
      </w:pPr>
      <w:r>
        <w:t xml:space="preserve">Art. 4.º:</w:t>
      </w:r>
      <w:r>
        <w:t xml:space="preserve"> </w:t>
      </w:r>
      <w:r>
        <w:t xml:space="preserve">“</w:t>
      </w:r>
      <w:r>
        <w:t xml:space="preserve">Não há, entre Consorciados, direitos e obrigações recíprocos</w:t>
      </w:r>
      <w:r>
        <w:t xml:space="preserve">”</w:t>
      </w:r>
      <w:r>
        <w:t xml:space="preserve">. Art. 9.º: objetivos, condições da gestão associada e competências transferidas</w:t>
      </w:r>
      <w:r>
        <w:t xml:space="preserve"> </w:t>
      </w:r>
      <w:r>
        <w:t xml:space="preserve">“</w:t>
      </w:r>
      <w:r>
        <w:t xml:space="preserve">são aqueles definidos no Contrato de Consórcio</w:t>
      </w:r>
      <w:r>
        <w:t xml:space="preserve">”</w:t>
      </w:r>
      <w:r>
        <w:t xml:space="preserve">.</w:t>
      </w:r>
    </w:p>
    <w:p>
      <w:pPr>
        <w:numPr>
          <w:ilvl w:val="0"/>
          <w:numId w:val="1007"/>
        </w:numPr>
        <w:pStyle w:val="Compact"/>
      </w:pPr>
      <w:r>
        <w:t xml:space="preserve">Art. 11, § 1.º, e art. 12: assembleias ordinárias convocadas com 30 dias; extraordinárias com aviso de 96 horas (o MP considerou esse prazo incompatível com matéria de extinção).</w:t>
      </w:r>
    </w:p>
    <w:p>
      <w:pPr>
        <w:numPr>
          <w:ilvl w:val="0"/>
          <w:numId w:val="1007"/>
        </w:numPr>
        <w:pStyle w:val="Compact"/>
      </w:pPr>
      <w:r>
        <w:t xml:space="preserve">Art. 41: a contratação de bens e serviços comuns obedece ao contrato de consórcio e à legislação. Art. 42: os contratos de delegação firmados pelo Consórcio obedecem ao contrato de consórcio e à Lei n.º 11.445/2007.</w:t>
      </w:r>
    </w:p>
    <w:p>
      <w:pPr>
        <w:numPr>
          <w:ilvl w:val="0"/>
          <w:numId w:val="1007"/>
        </w:numPr>
        <w:pStyle w:val="Compact"/>
      </w:pPr>
      <w:r>
        <w:t xml:space="preserve">Art. 49: Fundo Regional do Manejo Diferenciado de Resíduos Sólidos, que recebe em contas específicas os recursos dos fundos municipais de meio ambiente, a</w:t>
      </w:r>
      <w:r>
        <w:t xml:space="preserve"> </w:t>
      </w:r>
      <w:r>
        <w:t xml:space="preserve">“</w:t>
      </w:r>
      <w:r>
        <w:t xml:space="preserve">remuneração pela prestação de serviços previstos em Contrato de Programa com os consorciados</w:t>
      </w:r>
      <w:r>
        <w:t xml:space="preserve">”</w:t>
      </w:r>
      <w:r>
        <w:t xml:space="preserve"> </w:t>
      </w:r>
      <w:r>
        <w:t xml:space="preserve">e a</w:t>
      </w:r>
      <w:r>
        <w:t xml:space="preserve"> </w:t>
      </w:r>
      <w:r>
        <w:t xml:space="preserve">“</w:t>
      </w:r>
      <w:r>
        <w:t xml:space="preserve">prestação de serviços a preços públicos</w:t>
      </w:r>
      <w:r>
        <w:t xml:space="preserve">”</w:t>
      </w:r>
      <w:r>
        <w:t xml:space="preserve">.</w:t>
      </w:r>
    </w:p>
    <w:p>
      <w:pPr>
        <w:numPr>
          <w:ilvl w:val="0"/>
          <w:numId w:val="1007"/>
        </w:numPr>
        <w:pStyle w:val="Compact"/>
      </w:pPr>
      <w:r>
        <w:t xml:space="preserve">Art. 52: a contabilidade deve segregar receitas e despesas</w:t>
      </w:r>
      <w:r>
        <w:t xml:space="preserve"> </w:t>
      </w:r>
      <w:r>
        <w:t xml:space="preserve">“</w:t>
      </w:r>
      <w:r>
        <w:t xml:space="preserve">em relação aos entes consorciados e em relação aos contratos celebrados pelo Consórcio com cada um deles</w:t>
      </w:r>
      <w:r>
        <w:t xml:space="preserve">”</w:t>
      </w:r>
      <w:r>
        <w:t xml:space="preserve">.</w:t>
      </w:r>
    </w:p>
    <w:p>
      <w:pPr>
        <w:numPr>
          <w:ilvl w:val="0"/>
          <w:numId w:val="1007"/>
        </w:numPr>
        <w:pStyle w:val="Compact"/>
      </w:pPr>
      <w:r>
        <w:t xml:space="preserve">Art. 56: além das hipóteses do contrato, são causas de exclusão o atraso superior a 120 dias nas obrigações financeiras (inciso I) e</w:t>
      </w:r>
      <w:r>
        <w:t xml:space="preserve"> </w:t>
      </w:r>
      <w:r>
        <w:t xml:space="preserve">“</w:t>
      </w:r>
      <w:r>
        <w:t xml:space="preserve">a desobediência à norma dos estatutos ou ao deliberado na Assembleia</w:t>
      </w:r>
      <w:r>
        <w:t xml:space="preserve">”</w:t>
      </w:r>
      <w:r>
        <w:t xml:space="preserve"> </w:t>
      </w:r>
      <w:r>
        <w:t xml:space="preserve">(inciso II).</w:t>
      </w:r>
    </w:p>
    <w:p>
      <w:pPr>
        <w:numPr>
          <w:ilvl w:val="0"/>
          <w:numId w:val="1007"/>
        </w:numPr>
        <w:pStyle w:val="Compact"/>
      </w:pPr>
      <w:r>
        <w:t xml:space="preserve">Art. 71: limites de licitação acompanham a legislação vigente. O Estatuto de 2026, registrado em 24/03/2026, mantém a mesma estrutura (OCR).</w:t>
      </w:r>
    </w:p>
    <w:bookmarkEnd w:id="32"/>
    <w:bookmarkStart w:id="33" w:name="X8447f8315fa22b2826eeeb5ea246ed80d71d01a"/>
    <w:p>
      <w:pPr>
        <w:pStyle w:val="Heading3"/>
      </w:pPr>
      <w:r>
        <w:t xml:space="preserve">4.4 Lei n.º 11.445/2007 (redação da Lei n.º 14.026/2020)</w:t>
      </w:r>
    </w:p>
    <w:p>
      <w:pPr>
        <w:numPr>
          <w:ilvl w:val="0"/>
          <w:numId w:val="1008"/>
        </w:numPr>
        <w:pStyle w:val="Compact"/>
      </w:pPr>
      <w:r>
        <w:t xml:space="preserve">Art. 3.º, inciso I, alínea</w:t>
      </w:r>
      <w:r>
        <w:t xml:space="preserve"> </w:t>
      </w:r>
      <w:r>
        <w:t xml:space="preserve">“</w:t>
      </w:r>
      <w:r>
        <w:t xml:space="preserve">c</w:t>
      </w:r>
      <w:r>
        <w:t xml:space="preserve">”</w:t>
      </w:r>
      <w:r>
        <w:t xml:space="preserve">: limpeza urbana e manejo de resíduos sólidos incluem</w:t>
      </w:r>
      <w:r>
        <w:t xml:space="preserve"> </w:t>
      </w:r>
      <w:r>
        <w:t xml:space="preserve">“</w:t>
      </w:r>
      <w:r>
        <w:t xml:space="preserve">transporte, transbordo, tratamento e destinação final ambientalmente adequada dos resíduos sólidos domiciliares</w:t>
      </w:r>
      <w:r>
        <w:t xml:space="preserve">”</w:t>
      </w:r>
      <w:r>
        <w:t xml:space="preserve">. Art. 7.º, inciso II: o serviço compreende</w:t>
      </w:r>
      <w:r>
        <w:t xml:space="preserve"> </w:t>
      </w:r>
      <w:r>
        <w:t xml:space="preserve">“</w:t>
      </w:r>
      <w:r>
        <w:t xml:space="preserve">triagem (…), tratamento (…) e disposição final</w:t>
      </w:r>
      <w:r>
        <w:t xml:space="preserve">”</w:t>
      </w:r>
      <w:r>
        <w:t xml:space="preserve">.</w:t>
      </w:r>
    </w:p>
    <w:p>
      <w:pPr>
        <w:numPr>
          <w:ilvl w:val="0"/>
          <w:numId w:val="1008"/>
        </w:numPr>
        <w:pStyle w:val="Compact"/>
      </w:pPr>
      <w:r>
        <w:t xml:space="preserve">Art. 8.º, inciso I: os Municípios exercem a titularidade no interesse local. § 1.º: a titularidade</w:t>
      </w:r>
      <w:r>
        <w:t xml:space="preserve"> </w:t>
      </w:r>
      <w:r>
        <w:t xml:space="preserve">“</w:t>
      </w:r>
      <w:r>
        <w:t xml:space="preserve">poderá ser realizada também por gestão associada, mediante consórcio público ou convênio de cooperação</w:t>
      </w:r>
      <w:r>
        <w:t xml:space="preserve">”</w:t>
      </w:r>
      <w:r>
        <w:t xml:space="preserve">. Inciso I do § 1.º: consórcios intermunicipais</w:t>
      </w:r>
      <w:r>
        <w:t xml:space="preserve"> </w:t>
      </w:r>
      <w:r>
        <w:t xml:space="preserve">“</w:t>
      </w:r>
      <w:r>
        <w:t xml:space="preserve">poderão prestar o serviço aos seus consorciados diretamente, pela instituição de autarquia intermunicipal</w:t>
      </w:r>
      <w:r>
        <w:t xml:space="preserve">”</w:t>
      </w:r>
      <w:r>
        <w:t xml:space="preserve">. Inciso II: os consórcios intermunicipais de saneamento</w:t>
      </w:r>
      <w:r>
        <w:t xml:space="preserve"> </w:t>
      </w:r>
      <w:r>
        <w:t xml:space="preserve">“</w:t>
      </w:r>
      <w:r>
        <w:t xml:space="preserve">terão como objetivo, exclusivamente, o financiamento das iniciativas de implantação de medidas estruturais (…), vedada (…) a subdelegação do serviço prestado pela autarquia intermunicipal sem prévio procedimento licitatório</w:t>
      </w:r>
      <w:r>
        <w:t xml:space="preserve">”</w:t>
      </w:r>
      <w:r>
        <w:t xml:space="preserve">.</w:t>
      </w:r>
    </w:p>
    <w:p>
      <w:pPr>
        <w:numPr>
          <w:ilvl w:val="0"/>
          <w:numId w:val="1008"/>
        </w:numPr>
        <w:pStyle w:val="Compact"/>
      </w:pPr>
      <w:r>
        <w:t xml:space="preserve">Art. 10: a prestação</w:t>
      </w:r>
      <w:r>
        <w:t xml:space="preserve"> </w:t>
      </w:r>
      <w:r>
        <w:t xml:space="preserve">“</w:t>
      </w:r>
      <w:r>
        <w:t xml:space="preserve">por entidade que não integre a administração do titular depende da celebração de contrato de concessão, mediante prévia licitação (…), vedada a sua disciplina mediante contrato de programa, convênio, termo de parceria ou outros instrumentos de natureza precária</w:t>
      </w:r>
      <w:r>
        <w:t xml:space="preserve">”</w:t>
      </w:r>
      <w:r>
        <w:t xml:space="preserve">. § 3.º: contratos de programa regulares vigentes permanecem até o termo.</w:t>
      </w:r>
    </w:p>
    <w:p>
      <w:pPr>
        <w:numPr>
          <w:ilvl w:val="0"/>
          <w:numId w:val="1008"/>
        </w:numPr>
        <w:pStyle w:val="Compact"/>
      </w:pPr>
      <w:r>
        <w:t xml:space="preserve">Art. 11: condições de validade dos contratos</w:t>
      </w:r>
      <w:r>
        <w:t xml:space="preserve"> </w:t>
      </w:r>
      <w:r>
        <w:t xml:space="preserve">“</w:t>
      </w:r>
      <w:r>
        <w:t xml:space="preserve">que tenham por objeto a prestação de serviços públicos de saneamento básico</w:t>
      </w:r>
      <w:r>
        <w:t xml:space="preserve">”</w:t>
      </w:r>
      <w:r>
        <w:t xml:space="preserve"> </w:t>
      </w:r>
      <w:r>
        <w:t xml:space="preserve">(plano, estudo de viabilidade, normas de regulação com entidade designada, audiência e consulta públicas). § 4.º: na prestação regionalizada, podem referir-se ao conjunto de municípios.</w:t>
      </w:r>
    </w:p>
    <w:p>
      <w:pPr>
        <w:numPr>
          <w:ilvl w:val="0"/>
          <w:numId w:val="1008"/>
        </w:numPr>
        <w:pStyle w:val="Compact"/>
      </w:pPr>
      <w:r>
        <w:t xml:space="preserve">Art. 29, inciso II: sustentabilidade do manejo de resíduos por taxas, tarifas e outros preços públicos.</w:t>
      </w:r>
    </w:p>
    <w:bookmarkEnd w:id="33"/>
    <w:bookmarkStart w:id="34" w:name="lei-n.º-12.3052010"/>
    <w:p>
      <w:pPr>
        <w:pStyle w:val="Heading3"/>
      </w:pPr>
      <w:r>
        <w:t xml:space="preserve">4.5 Lei n.º 12.305/2010</w:t>
      </w:r>
    </w:p>
    <w:p>
      <w:pPr>
        <w:numPr>
          <w:ilvl w:val="0"/>
          <w:numId w:val="1009"/>
        </w:numPr>
        <w:pStyle w:val="Compact"/>
      </w:pPr>
      <w:r>
        <w:t xml:space="preserve">Art. 3.º, incisos VII e VIII (destinação e disposição final ambientalmente adequadas); art. 9.º (ordem de prioridade); art. 10 (incumbe aos Municípios a gestão integrada dos resíduos gerados em seus territórios); art. 18, § 1.º, inciso I, e art. 19, inciso III (prioridade e identificação de soluções consorciadas no PMGIRS); art. 45 (prioridade de consórcios nos incentivos federais); art. 47, inciso II; art. 54, inciso IV (redação da Lei n.º 14.026/2020).</w:t>
      </w:r>
    </w:p>
    <w:bookmarkEnd w:id="34"/>
    <w:bookmarkStart w:id="35" w:name="lei-n.º-14.1332021"/>
    <w:p>
      <w:pPr>
        <w:pStyle w:val="Heading3"/>
      </w:pPr>
      <w:r>
        <w:t xml:space="preserve">4.6 Lei n.º 14.133/2021</w:t>
      </w:r>
    </w:p>
    <w:p>
      <w:pPr>
        <w:numPr>
          <w:ilvl w:val="0"/>
          <w:numId w:val="1010"/>
        </w:numPr>
        <w:pStyle w:val="Compact"/>
      </w:pPr>
      <w:r>
        <w:t xml:space="preserve">Art. 23 (preço estimado compatível com o mercado); art. 74 (inexigibilidade só com inviabilidade de competição demonstrada, § 1.º); art. 75, inciso II e § 1.º (dispensa por valor e vedação ao fracionamento; limite de R$ 65.492,11 em 2026 pelo Decreto n.º 12.807/2025</w:t>
      </w:r>
      <w:r>
        <w:t xml:space="preserve"> </w:t>
      </w:r>
      <w:r>
        <w:rPr>
          <w:rStyle w:val="VerbatimChar"/>
        </w:rPr>
        <w:t xml:space="preserve">[VIT]</w:t>
      </w:r>
      <w:r>
        <w:t xml:space="preserve">), e § 2.º (valores em dobro para consórcio público); arts. 105 a 107 (créditos orçamentários, PPA, contratos contínuos de até 5 anos, prorrogáveis até 10); arts. 124 a 126 (aditivos de até 25% sem transfigurar o objeto); art. 181 (centrais de compras; consórcios preferenciais para municípios de até 10 mil habitantes).</w:t>
      </w:r>
    </w:p>
    <w:bookmarkEnd w:id="35"/>
    <w:bookmarkStart w:id="36" w:name="X308de0b6081db6a4afd886f38c355fc39021d3f"/>
    <w:p>
      <w:pPr>
        <w:pStyle w:val="Heading3"/>
      </w:pPr>
      <w:r>
        <w:t xml:space="preserve">4.7 Norma de Referência ANA n.º 7/2024 (Resolução ANA n.º 187/2024)</w:t>
      </w:r>
    </w:p>
    <w:p>
      <w:pPr>
        <w:numPr>
          <w:ilvl w:val="0"/>
          <w:numId w:val="1011"/>
        </w:numPr>
        <w:pStyle w:val="Compact"/>
      </w:pPr>
      <w:r>
        <w:t xml:space="preserve">Art. 3.º: aplica-se aos serviços</w:t>
      </w:r>
      <w:r>
        <w:t xml:space="preserve"> </w:t>
      </w:r>
      <w:r>
        <w:t xml:space="preserve">“</w:t>
      </w:r>
      <w:r>
        <w:t xml:space="preserve">prestados diretamente pelo titular ou por meio de contrato de concessão</w:t>
      </w:r>
      <w:r>
        <w:t xml:space="preserve">”</w:t>
      </w:r>
      <w:r>
        <w:t xml:space="preserve">. Art. 4.º, inciso IX:</w:t>
      </w:r>
      <w:r>
        <w:t xml:space="preserve"> </w:t>
      </w:r>
      <w:r>
        <w:t xml:space="preserve">“</w:t>
      </w:r>
      <w:r>
        <w:t xml:space="preserve">contrato de terceirização da prestação de serviço: instrumento contratual celebrado por prestador de serviço que integre a administração do titular, mediante licitação, tendo por objeto atividades relacionadas à prestação dos serviços públicos de limpeza urbana e de manejo de resíduos sólidos urbanos</w:t>
      </w:r>
      <w:r>
        <w:t xml:space="preserve">”</w:t>
      </w:r>
      <w:r>
        <w:t xml:space="preserve">. Art. 42: disposição final é a distribuição ordenada de rejeitos em aterros sanitários. Art. 69, § 1.º: a gestão dos contratos administrativos</w:t>
      </w:r>
      <w:r>
        <w:t xml:space="preserve"> </w:t>
      </w:r>
      <w:r>
        <w:t xml:space="preserve">“</w:t>
      </w:r>
      <w:r>
        <w:t xml:space="preserve">celebrados entre os titulares e os prestadores dos serviços, terceirizados ou concessionários</w:t>
      </w:r>
      <w:r>
        <w:t xml:space="preserve">”</w:t>
      </w:r>
      <w:r>
        <w:t xml:space="preserve"> </w:t>
      </w:r>
      <w:r>
        <w:t xml:space="preserve">é</w:t>
      </w:r>
      <w:r>
        <w:t xml:space="preserve"> </w:t>
      </w:r>
      <w:r>
        <w:t xml:space="preserve">“</w:t>
      </w:r>
      <w:r>
        <w:t xml:space="preserve">atividade inerente ao titular</w:t>
      </w:r>
      <w:r>
        <w:t xml:space="preserve">”</w:t>
      </w:r>
      <w:r>
        <w:t xml:space="preserve">.</w:t>
      </w:r>
    </w:p>
    <w:bookmarkEnd w:id="36"/>
    <w:bookmarkStart w:id="37" w:name="normas-estaduais-e-municipais"/>
    <w:p>
      <w:pPr>
        <w:pStyle w:val="Heading3"/>
      </w:pPr>
      <w:r>
        <w:t xml:space="preserve">4.8 Normas estaduais e municipais</w:t>
      </w:r>
    </w:p>
    <w:p>
      <w:pPr>
        <w:numPr>
          <w:ilvl w:val="0"/>
          <w:numId w:val="1012"/>
        </w:numPr>
        <w:pStyle w:val="Compact"/>
      </w:pPr>
      <w:r>
        <w:t xml:space="preserve">Lei Estadual n.º 16.032/2016: art. 10 (incumbe aos municípios a gestão integrada); art. 11, parágrafo único (o Estado prioriza soluções consorciadas); art. 49 e parágrafo único (prioridade de consórcios nos incentivos e de municípios que deleguem a regulação à ARCE); art. 52 (proibições)</w:t>
      </w:r>
      <w:r>
        <w:t xml:space="preserve"> </w:t>
      </w:r>
      <w:r>
        <w:rPr>
          <w:rStyle w:val="VerbatimChar"/>
        </w:rPr>
        <w:t xml:space="preserve">[VIT: transcrição por resumo, verificar no texto oficial]</w:t>
      </w:r>
      <w:r>
        <w:t xml:space="preserve">.</w:t>
      </w:r>
    </w:p>
    <w:p>
      <w:pPr>
        <w:numPr>
          <w:ilvl w:val="0"/>
          <w:numId w:val="1012"/>
        </w:numPr>
        <w:pStyle w:val="Compact"/>
      </w:pPr>
      <w:r>
        <w:t xml:space="preserve">Decretos Estaduais n.º 36.618/2025 e n.º 37.051/2025 (metodologia do IQM, ICMS socioambiental; recursos de uso exclusivo na política de resíduos, via fundo municipal de meio ambiente; documentação diferenciada para municípios consorciados e não consorciados)</w:t>
      </w:r>
      <w:r>
        <w:t xml:space="preserve"> </w:t>
      </w:r>
      <w:r>
        <w:rPr>
          <w:rStyle w:val="VerbatimChar"/>
        </w:rPr>
        <w:t xml:space="preserve">[VIT]</w:t>
      </w:r>
      <w:r>
        <w:t xml:space="preserve">.</w:t>
      </w:r>
    </w:p>
    <w:p>
      <w:pPr>
        <w:numPr>
          <w:ilvl w:val="0"/>
          <w:numId w:val="1012"/>
        </w:numPr>
        <w:pStyle w:val="Compact"/>
      </w:pPr>
      <w:r>
        <w:t xml:space="preserve">Leis municipais de Política de Resíduos Sólidos (2023; Capistrano 2019; Barreira 2015): mesmo modelo. Trazem como diretriz</w:t>
      </w:r>
      <w:r>
        <w:t xml:space="preserve"> </w:t>
      </w:r>
      <w:r>
        <w:t xml:space="preserve">“</w:t>
      </w:r>
      <w:r>
        <w:t xml:space="preserve">a regionalização com soluções consorciadas e compartilhadas intermunicipais</w:t>
      </w:r>
      <w:r>
        <w:t xml:space="preserve">”</w:t>
      </w:r>
      <w:r>
        <w:t xml:space="preserve">, definem</w:t>
      </w:r>
      <w:r>
        <w:t xml:space="preserve"> </w:t>
      </w:r>
      <w:r>
        <w:t xml:space="preserve">“</w:t>
      </w:r>
      <w:r>
        <w:t xml:space="preserve">gestão regionalizada</w:t>
      </w:r>
      <w:r>
        <w:t xml:space="preserve">”</w:t>
      </w:r>
      <w:r>
        <w:t xml:space="preserve"> </w:t>
      </w:r>
      <w:r>
        <w:t xml:space="preserve">e preveem que o Município</w:t>
      </w:r>
      <w:r>
        <w:t xml:space="preserve"> </w:t>
      </w:r>
      <w:r>
        <w:t xml:space="preserve">“</w:t>
      </w:r>
      <w:r>
        <w:t xml:space="preserve">priorizará o apoio às iniciativas de soluções consorciadas ou compartilhadas</w:t>
      </w:r>
      <w:r>
        <w:t xml:space="preserve">”</w:t>
      </w:r>
      <w:r>
        <w:t xml:space="preserve">. Nenhuma atribui exclusividade ao consórcio nem veda contratação direta pelo Município.</w:t>
      </w:r>
    </w:p>
    <w:p>
      <w:r>
        <w:pict>
          <v:rect style="width:0;height:1.5pt" o:hralign="center" o:hrstd="t" o:hr="t"/>
        </w:pict>
      </w:r>
    </w:p>
    <w:bookmarkEnd w:id="37"/>
    <w:bookmarkEnd w:id="38"/>
    <w:bookmarkStart w:id="47" w:name="análise"/>
    <w:p>
      <w:pPr>
        <w:pStyle w:val="Heading2"/>
      </w:pPr>
      <w:r>
        <w:t xml:space="preserve">5. Análise</w:t>
      </w:r>
    </w:p>
    <w:bookmarkStart w:id="39" w:name="X0500450dba21e5019d73ae35608bbe5733dcb14"/>
    <w:p>
      <w:pPr>
        <w:pStyle w:val="Heading3"/>
      </w:pPr>
      <w:r>
        <w:t xml:space="preserve">5.1 Titularidade e alcance da gestão associada</w:t>
      </w:r>
    </w:p>
    <w:p>
      <w:pPr>
        <w:pStyle w:val="FirstParagraph"/>
      </w:pPr>
      <w:r>
        <w:t xml:space="preserve">A gestão associada, por definição legal e contratual, é o exercício de planejamento, regulação ou fiscalização,</w:t>
      </w:r>
      <w:r>
        <w:t xml:space="preserve"> </w:t>
      </w:r>
      <w:r>
        <w:t xml:space="preserve">“</w:t>
      </w:r>
      <w:r>
        <w:t xml:space="preserve">acompanhadas ou não da prestação de serviços</w:t>
      </w:r>
      <w:r>
        <w:t xml:space="preserve">”</w:t>
      </w:r>
      <w:r>
        <w:t xml:space="preserve"> </w:t>
      </w:r>
      <w:r>
        <w:t xml:space="preserve">(art. 2.º, inciso IX, do Decreto n.º 6.017/2007; cláusula 3.ª, inciso II). O contrato da AMSA transferiu ao Consórcio o exercício do planejamento (cláusula 10.ª) e, à entidade reguladora, a regulação e a fiscalização (cláusula 11.ª). A prestação continuou com os titulares, que podem organizá-la em quatro modalidades (cláusula 8.ª, § 3.º), a primeira das quais é a prestação direta pelo Município com</w:t>
      </w:r>
      <w:r>
        <w:t xml:space="preserve"> </w:t>
      </w:r>
      <w:r>
        <w:t xml:space="preserve">“</w:t>
      </w:r>
      <w:r>
        <w:t xml:space="preserve">contrato de prestação de serviços</w:t>
      </w:r>
      <w:r>
        <w:t xml:space="preserve">”</w:t>
      </w:r>
      <w:r>
        <w:t xml:space="preserve">. A referência à Lei n.º 8.666/1993 lê-se hoje como referência à Lei n.º 14.133/2021.</w:t>
      </w:r>
    </w:p>
    <w:p>
      <w:pPr>
        <w:pStyle w:val="BodyText"/>
      </w:pPr>
      <w:r>
        <w:t xml:space="preserve">Logo, a contratação direta de destinação final pelo Município não é atividade estranha ao arranjo consorcial; é uma das modalidades que o próprio arranjo admite. A doutrina confirma que a gestão associada</w:t>
      </w:r>
      <w:r>
        <w:t xml:space="preserve"> </w:t>
      </w:r>
      <w:r>
        <w:t xml:space="preserve">“</w:t>
      </w:r>
      <w:r>
        <w:t xml:space="preserve">não obrigatoriamente abrange a prestação do serviço público</w:t>
      </w:r>
      <w:r>
        <w:t xml:space="preserve">”</w:t>
      </w:r>
      <w:r>
        <w:t xml:space="preserve"> </w:t>
      </w:r>
      <w:r>
        <w:t xml:space="preserve">(Marcelo Alexandrino e Vicente Paulo,</w:t>
      </w:r>
      <w:r>
        <w:t xml:space="preserve"> </w:t>
      </w:r>
      <w:r>
        <w:rPr>
          <w:iCs/>
          <w:i/>
        </w:rPr>
        <w:t xml:space="preserve">Direito Administrativo Descomplicado</w:t>
      </w:r>
      <w:r>
        <w:t xml:space="preserve">, 25.ª ed., Método, 2017, p. 163-164).</w:t>
      </w:r>
    </w:p>
    <w:bookmarkEnd w:id="39"/>
    <w:bookmarkStart w:id="40" w:name="Xa553a9b75563565cf77ced46fa5307b3f3c8ae1"/>
    <w:p>
      <w:pPr>
        <w:pStyle w:val="Heading3"/>
      </w:pPr>
      <w:r>
        <w:t xml:space="preserve">5.2 Natureza do contrato direto: terceirização, não concessão</w:t>
      </w:r>
    </w:p>
    <w:p>
      <w:pPr>
        <w:pStyle w:val="FirstParagraph"/>
      </w:pPr>
      <w:r>
        <w:t xml:space="preserve">Contra-argumento provável: o art. 10 da Lei n.º 11.445/2007 exige concessão para a prestação</w:t>
      </w:r>
      <w:r>
        <w:t xml:space="preserve"> </w:t>
      </w:r>
      <w:r>
        <w:t xml:space="preserve">“</w:t>
      </w:r>
      <w:r>
        <w:t xml:space="preserve">por entidade que não integre a administração do titular</w:t>
      </w:r>
      <w:r>
        <w:t xml:space="preserve">”</w:t>
      </w:r>
      <w:r>
        <w:t xml:space="preserve">; um contrato de serviços com uma UVS privada seria delegação irregular. Resposta: a NR 7/2024 distingue expressamente o</w:t>
      </w:r>
      <w:r>
        <w:t xml:space="preserve"> </w:t>
      </w:r>
      <w:r>
        <w:t xml:space="preserve">“</w:t>
      </w:r>
      <w:r>
        <w:t xml:space="preserve">contrato de terceirização da prestação de serviço</w:t>
      </w:r>
      <w:r>
        <w:t xml:space="preserve">”</w:t>
      </w:r>
      <w:r>
        <w:t xml:space="preserve">, celebrado mediante licitação pelo prestador que integra a administração do titular e que tem por objeto</w:t>
      </w:r>
      <w:r>
        <w:t xml:space="preserve"> </w:t>
      </w:r>
      <w:r>
        <w:t xml:space="preserve">“</w:t>
      </w:r>
      <w:r>
        <w:t xml:space="preserve">atividades relacionadas</w:t>
      </w:r>
      <w:r>
        <w:t xml:space="preserve">”</w:t>
      </w:r>
      <w:r>
        <w:t xml:space="preserve"> </w:t>
      </w:r>
      <w:r>
        <w:t xml:space="preserve">ao serviço (art. 4.º, inciso IX), do contrato de concessão (incisos VII e VIII), e trata a gestão desses contratos como</w:t>
      </w:r>
      <w:r>
        <w:t xml:space="preserve"> </w:t>
      </w:r>
      <w:r>
        <w:t xml:space="preserve">“</w:t>
      </w:r>
      <w:r>
        <w:t xml:space="preserve">inerente ao titular</w:t>
      </w:r>
      <w:r>
        <w:t xml:space="preserve">”</w:t>
      </w:r>
      <w:r>
        <w:t xml:space="preserve"> </w:t>
      </w:r>
      <w:r>
        <w:t xml:space="preserve">(art. 69, § 1.º). O recebimento de rejeitos em instalação licenciada, remunerado por tonelagem, é atividade integrante do serviço (art. 7.º, inciso II, da Lei n.º 11.445/2007) executada por terceiro sob contrato administrativo, e não a transferência do serviço por conta e risco do delegatário (art. 2.º, inciso II, da Lei n.º 8.987/1995). O próprio contrato de consórcio reserva a</w:t>
      </w:r>
      <w:r>
        <w:t xml:space="preserve"> </w:t>
      </w:r>
      <w:r>
        <w:t xml:space="preserve">“</w:t>
      </w:r>
      <w:r>
        <w:t xml:space="preserve">delegação</w:t>
      </w:r>
      <w:r>
        <w:t xml:space="preserve">”</w:t>
      </w:r>
      <w:r>
        <w:t xml:space="preserve"> </w:t>
      </w:r>
      <w:r>
        <w:t xml:space="preserve">aos contratos de programa e de concessão (cláusula 49.ª) e situa o contrato de prestação de serviços na</w:t>
      </w:r>
      <w:r>
        <w:t xml:space="preserve"> </w:t>
      </w:r>
      <w:r>
        <w:t xml:space="preserve">“</w:t>
      </w:r>
      <w:r>
        <w:t xml:space="preserve">prestação direta</w:t>
      </w:r>
      <w:r>
        <w:t xml:space="preserve">”</w:t>
      </w:r>
      <w:r>
        <w:t xml:space="preserve"> </w:t>
      </w:r>
      <w:r>
        <w:t xml:space="preserve">(cláusula 8.ª, § 3.º,</w:t>
      </w:r>
      <w:r>
        <w:t xml:space="preserve"> </w:t>
      </w:r>
      <w:r>
        <w:t xml:space="preserve">“</w:t>
      </w:r>
      <w:r>
        <w:t xml:space="preserve">a</w:t>
      </w:r>
      <w:r>
        <w:t xml:space="preserve">”</w:t>
      </w:r>
      <w:r>
        <w:t xml:space="preserve">).</w:t>
      </w:r>
    </w:p>
    <w:p>
      <w:pPr>
        <w:pStyle w:val="BodyText"/>
      </w:pPr>
      <w:r>
        <w:t xml:space="preserve">Ainda assim, as condições do art. 11 da Lei n.º 11.445/2007 (plano, estudo de viabilidade, normas de regulação) serão invocadas pela Administração ou pelo TCE-CE</w:t>
      </w:r>
      <w:r>
        <w:t xml:space="preserve"> </w:t>
      </w:r>
      <w:r>
        <w:t xml:space="preserve">“</w:t>
      </w:r>
      <w:r>
        <w:t xml:space="preserve">no que couber</w:t>
      </w:r>
      <w:r>
        <w:t xml:space="preserve">”</w:t>
      </w:r>
      <w:r>
        <w:t xml:space="preserve">. O próprio contrato de consórcio dá margem a isso: a cláusula 49.ª alcança</w:t>
      </w:r>
      <w:r>
        <w:t xml:space="preserve"> </w:t>
      </w:r>
      <w:r>
        <w:t xml:space="preserve">“</w:t>
      </w:r>
      <w:r>
        <w:t xml:space="preserve">a sua delegação a terceiros (…) por Município consorciado</w:t>
      </w:r>
      <w:r>
        <w:t xml:space="preserve">”</w:t>
      </w:r>
      <w:r>
        <w:t xml:space="preserve"> </w:t>
      </w:r>
      <w:r>
        <w:t xml:space="preserve">e impõe, como condições de validade, plano, estudo de viabilidade e entidade reguladora designada (§ 3.º), reservando a audiência pública ao caso de concessão. Se o contrato direto for lido como</w:t>
      </w:r>
      <w:r>
        <w:t xml:space="preserve"> </w:t>
      </w:r>
      <w:r>
        <w:t xml:space="preserve">“</w:t>
      </w:r>
      <w:r>
        <w:t xml:space="preserve">delegação a terceiros</w:t>
      </w:r>
      <w:r>
        <w:t xml:space="preserve">”</w:t>
      </w:r>
      <w:r>
        <w:t xml:space="preserve">, essas condições se aplicam; se for lido como</w:t>
      </w:r>
      <w:r>
        <w:t xml:space="preserve"> </w:t>
      </w:r>
      <w:r>
        <w:t xml:space="preserve">“</w:t>
      </w:r>
      <w:r>
        <w:t xml:space="preserve">prestação direta</w:t>
      </w:r>
      <w:r>
        <w:t xml:space="preserve">”</w:t>
      </w:r>
      <w:r>
        <w:t xml:space="preserve"> </w:t>
      </w:r>
      <w:r>
        <w:t xml:space="preserve">com terceirização (cláusula 8.ª, § 3.º,</w:t>
      </w:r>
      <w:r>
        <w:t xml:space="preserve"> </w:t>
      </w:r>
      <w:r>
        <w:t xml:space="preserve">“</w:t>
      </w:r>
      <w:r>
        <w:t xml:space="preserve">a</w:t>
      </w:r>
      <w:r>
        <w:t xml:space="preserve">”</w:t>
      </w:r>
      <w:r>
        <w:t xml:space="preserve">), aplicam-se as normas do Anexo II (arts. 3.º, 4.º e 6.º), que exigem plano vigente e submetem a prestação direta à regulação. Em qualquer das leituras, o Município precisa de plano municipal ou intermunicipal vigente e de entidade reguladora designada.</w:t>
      </w:r>
    </w:p>
    <w:bookmarkEnd w:id="40"/>
    <w:bookmarkStart w:id="41" w:name="Xba3cfbd62f25b7d8cd0639fb881e4d3b1eecd32"/>
    <w:p>
      <w:pPr>
        <w:pStyle w:val="Heading3"/>
      </w:pPr>
      <w:r>
        <w:t xml:space="preserve">5.3 O limite real: planejamento regional e solidariedade</w:t>
      </w:r>
    </w:p>
    <w:p>
      <w:pPr>
        <w:pStyle w:val="FirstParagraph"/>
      </w:pPr>
      <w:r>
        <w:t xml:space="preserve">O ponto sensível não é a existência de dois contratos, mas a conformidade do contrato direto com o planejamento regional homologado pelo Consórcio. Esse plano</w:t>
      </w:r>
      <w:r>
        <w:t xml:space="preserve"> </w:t>
      </w:r>
      <w:r>
        <w:t xml:space="preserve">“</w:t>
      </w:r>
      <w:r>
        <w:t xml:space="preserve">vincula os entes consorciados quanto à localização de instalações, opções tecnológicas, entes reguladores e modalidades de prestação</w:t>
      </w:r>
      <w:r>
        <w:t xml:space="preserve">”</w:t>
      </w:r>
      <w:r>
        <w:t xml:space="preserve"> </w:t>
      </w:r>
      <w:r>
        <w:t xml:space="preserve">(cláusula 8.ª, § 1.º) e é vinculante para</w:t>
      </w:r>
      <w:r>
        <w:t xml:space="preserve"> </w:t>
      </w:r>
      <w:r>
        <w:t xml:space="preserve">“</w:t>
      </w:r>
      <w:r>
        <w:t xml:space="preserve">a prestação direta ou delegada</w:t>
      </w:r>
      <w:r>
        <w:t xml:space="preserve">”</w:t>
      </w:r>
      <w:r>
        <w:t xml:space="preserve"> </w:t>
      </w:r>
      <w:r>
        <w:t xml:space="preserve">(Anexo II, art. 4.º). Se o plano vigente designar outra instalação de destinação ou outra rota, a contratação direta em desacordo com ele pode ser enquadrada como</w:t>
      </w:r>
      <w:r>
        <w:t xml:space="preserve"> </w:t>
      </w:r>
      <w:r>
        <w:t xml:space="preserve">“</w:t>
      </w:r>
      <w:r>
        <w:t xml:space="preserve">organização da prestação (…) em desacordo com plano regional integrado homologado pelo Consórcio</w:t>
      </w:r>
      <w:r>
        <w:t xml:space="preserve">”</w:t>
      </w:r>
      <w:r>
        <w:t xml:space="preserve">, hipótese de exclusão por maioria absoluta (cláusula 59.ª, inciso III), e como violação do dever de solidariedade (cláusula 63.ª, inciso II).</w:t>
      </w:r>
    </w:p>
    <w:p>
      <w:pPr>
        <w:pStyle w:val="BodyText"/>
      </w:pPr>
      <w:r>
        <w:t xml:space="preserve">Como a AMSA passará a contratar a mesma UVS, o contrato direto usaria a mesma instalação e a mesma rota tecnológica que o Consórcio adotou; uma alegação de desacordo com o plano teria de se apoiar em outro elemento, como a modalidade de prestação. Mesmo assim, o caminho que documenta a compatibilidade é obter deliberação da Assembleia Geral (competências da cláusula 18.ª, incisos VIII,</w:t>
      </w:r>
      <w:r>
        <w:t xml:space="preserve"> </w:t>
      </w:r>
      <w:r>
        <w:t xml:space="preserve">“</w:t>
      </w:r>
      <w:r>
        <w:t xml:space="preserve">a</w:t>
      </w:r>
      <w:r>
        <w:t xml:space="preserve">”</w:t>
      </w:r>
      <w:r>
        <w:t xml:space="preserve">, e X) que (i) registre o excedente do município, (ii) declare que o plano regional admite a contratação direta do excedente pela modalidade da cláusula 8.ª, § 3.º,</w:t>
      </w:r>
      <w:r>
        <w:t xml:space="preserve"> </w:t>
      </w:r>
      <w:r>
        <w:t xml:space="preserve">“</w:t>
      </w:r>
      <w:r>
        <w:t xml:space="preserve">a</w:t>
      </w:r>
      <w:r>
        <w:t xml:space="preserve">”</w:t>
      </w:r>
      <w:r>
        <w:t xml:space="preserve">, e (iii) delimite a cota do município no contrato do Consórcio. Não localizei o plano regional homologado</w:t>
      </w:r>
      <w:r>
        <w:t xml:space="preserve"> </w:t>
      </w:r>
      <w:r>
        <w:rPr>
          <w:rStyle w:val="VerbatimChar"/>
        </w:rPr>
        <w:t xml:space="preserve">[PENDENTE]</w:t>
      </w:r>
      <w:r>
        <w:t xml:space="preserve">; se não existir plano formal, a deliberação supre a lacuna e documenta a compatibilidade.</w:t>
      </w:r>
    </w:p>
    <w:bookmarkEnd w:id="41"/>
    <w:bookmarkStart w:id="42" w:name="Xa07694aacf1b4e012e6e4a4b84c22ae01370206"/>
    <w:p>
      <w:pPr>
        <w:pStyle w:val="Heading3"/>
      </w:pPr>
      <w:r>
        <w:t xml:space="preserve">5.4 Dois contratos com o mesmo objeto: como evitar a duplicidade</w:t>
      </w:r>
    </w:p>
    <w:p>
      <w:pPr>
        <w:pStyle w:val="FirstParagraph"/>
      </w:pPr>
      <w:r>
        <w:t xml:space="preserve">O risco jurídico concreto de</w:t>
      </w:r>
      <w:r>
        <w:t xml:space="preserve"> </w:t>
      </w:r>
      <w:r>
        <w:t xml:space="preserve">“</w:t>
      </w:r>
      <w:r>
        <w:t xml:space="preserve">dois contratos</w:t>
      </w:r>
      <w:r>
        <w:t xml:space="preserve">”</w:t>
      </w:r>
      <w:r>
        <w:t xml:space="preserve"> </w:t>
      </w:r>
      <w:r>
        <w:t xml:space="preserve">é o pagamento em duplicidade pelo mesmo serviço, que configura pagamento sem causa e, em tese, lesão ao erário (art. 10 da Lei n.º 8.429/1992). Ele se evita pela delimitação dos objetos:</w:t>
      </w:r>
    </w:p>
    <w:p>
      <w:pPr>
        <w:numPr>
          <w:ilvl w:val="0"/>
          <w:numId w:val="1013"/>
        </w:numPr>
        <w:pStyle w:val="Compact"/>
      </w:pPr>
      <w:r>
        <w:rPr>
          <w:bCs/>
          <w:b/>
        </w:rPr>
        <w:t xml:space="preserve">Contrato do Consórcio</w:t>
      </w:r>
      <w:r>
        <w:t xml:space="preserve">: objeto por município (cota em toneladas ou percentual), medição por tonelada efetivamente recebida, sem exclusividade e sem volume mínimo garantido para o município excedente. Se o contrato atual tiver cláusula de exclusividade ou de quantidade mínima (</w:t>
      </w:r>
      <w:r>
        <w:t xml:space="preserve">“</w:t>
      </w:r>
      <w:r>
        <w:t xml:space="preserve">take or pay</w:t>
      </w:r>
      <w:r>
        <w:t xml:space="preserve">”</w:t>
      </w:r>
      <w:r>
        <w:t xml:space="preserve">), o desvio do excedente para outro contrato pode violá-lo. Daí a necessidade de ler o contrato atual</w:t>
      </w:r>
      <w:r>
        <w:t xml:space="preserve"> </w:t>
      </w:r>
      <w:r>
        <w:rPr>
          <w:rStyle w:val="VerbatimChar"/>
        </w:rPr>
        <w:t xml:space="preserve">[PENDENTE]</w:t>
      </w:r>
      <w:r>
        <w:t xml:space="preserve">.</w:t>
      </w:r>
    </w:p>
    <w:p>
      <w:pPr>
        <w:numPr>
          <w:ilvl w:val="0"/>
          <w:numId w:val="1013"/>
        </w:numPr>
        <w:pStyle w:val="Compact"/>
      </w:pPr>
      <w:r>
        <w:rPr>
          <w:bCs/>
          <w:b/>
        </w:rPr>
        <w:t xml:space="preserve">Contrato direto do Município</w:t>
      </w:r>
      <w:r>
        <w:t xml:space="preserve">: objeto restrito ao excedente (</w:t>
      </w:r>
      <w:r>
        <w:t xml:space="preserve">“</w:t>
      </w:r>
      <w:r>
        <w:t xml:space="preserve">toneladas que ultrapassem a cota de X t/mês atendida pelo Consórcio</w:t>
      </w:r>
      <w:r>
        <w:t xml:space="preserve">”</w:t>
      </w:r>
      <w:r>
        <w:t xml:space="preserve">), com controle de pesagem e relatórios cruzados, para que a mesma tonelada nunca seja faturada duas vezes.</w:t>
      </w:r>
    </w:p>
    <w:p>
      <w:pPr>
        <w:numPr>
          <w:ilvl w:val="0"/>
          <w:numId w:val="1013"/>
        </w:numPr>
        <w:pStyle w:val="Compact"/>
      </w:pPr>
      <w:r>
        <w:rPr>
          <w:bCs/>
          <w:b/>
        </w:rPr>
        <w:t xml:space="preserve">Alternativa ao segundo contrato</w:t>
      </w:r>
      <w:r>
        <w:t xml:space="preserve">: aditivo quantitativo de até 25% no contrato do Consórcio (art. 125 da Lei n.º 14.133/2021), custeado pelo município excedente por contrato específico com a AMSA (item 5.5). Evita a duplicidade sem segundo contrato com a UVS, mas transfere ao Consórcio a gestão do excedente.</w:t>
      </w:r>
    </w:p>
    <w:p>
      <w:pPr>
        <w:pStyle w:val="FirstParagraph"/>
      </w:pPr>
      <w:r>
        <w:t xml:space="preserve">Ponto adicional: dois contratos com o mesmo fornecedor e preços por tonelada distintos serão comparados pelo controle externo (art. 23 da Lei n.º 14.133/2021). Diferenças precisam de justificativa objetiva (escala, logística, prazo).</w:t>
      </w:r>
    </w:p>
    <w:bookmarkEnd w:id="42"/>
    <w:bookmarkStart w:id="43" w:name="rateio-e-custeio-do-excedente"/>
    <w:p>
      <w:pPr>
        <w:pStyle w:val="Heading3"/>
      </w:pPr>
      <w:r>
        <w:t xml:space="preserve">5.5 Rateio e custeio do excedente</w:t>
      </w:r>
    </w:p>
    <w:p>
      <w:pPr>
        <w:pStyle w:val="FirstParagraph"/>
      </w:pPr>
      <w:r>
        <w:t xml:space="preserve">O rateio é cota fixa (R$ 30 mil por mês), aprovada anualmente pela Assembleia, e não varia com a tonelagem. Três consequências:</w:t>
      </w:r>
    </w:p>
    <w:p>
      <w:pPr>
        <w:numPr>
          <w:ilvl w:val="0"/>
          <w:numId w:val="1014"/>
        </w:numPr>
        <w:pStyle w:val="Compact"/>
      </w:pPr>
      <w:r>
        <w:t xml:space="preserve">O município que destina mais e contrata diretamente o excedente continua devendo o rateio integral: o rateio remunera as despesas do Consórcio, não toneladas (cláusula 3.ª, inciso V; art. 8.º da Lei n.º 11.107/2005). Não há direito a abatimento sem deliberação da Assembleia.</w:t>
      </w:r>
    </w:p>
    <w:p>
      <w:pPr>
        <w:numPr>
          <w:ilvl w:val="0"/>
          <w:numId w:val="1014"/>
        </w:numPr>
        <w:pStyle w:val="Compact"/>
      </w:pPr>
      <w:r>
        <w:t xml:space="preserve">Se, em vez do contrato direto, o excedente for atendido pelo Consórcio, o custo não pode ser diluído no rateio dos demais: o Decreto n.º 6.017/2007 manda que o serviço prestado</w:t>
      </w:r>
      <w:r>
        <w:t xml:space="preserve"> </w:t>
      </w:r>
      <w:r>
        <w:t xml:space="preserve">“</w:t>
      </w:r>
      <w:r>
        <w:t xml:space="preserve">para um determinado ente consorciado</w:t>
      </w:r>
      <w:r>
        <w:t xml:space="preserve">”</w:t>
      </w:r>
      <w:r>
        <w:t xml:space="preserve"> </w:t>
      </w:r>
      <w:r>
        <w:t xml:space="preserve">seja objeto de contrato entre o ente e o consórcio,</w:t>
      </w:r>
      <w:r>
        <w:t xml:space="preserve"> </w:t>
      </w:r>
      <w:r>
        <w:t xml:space="preserve">“</w:t>
      </w:r>
      <w:r>
        <w:t xml:space="preserve">de forma a impedir que sejam eles custeados pelos demais</w:t>
      </w:r>
      <w:r>
        <w:t xml:space="preserve">”</w:t>
      </w:r>
      <w:r>
        <w:t xml:space="preserve"> </w:t>
      </w:r>
      <w:r>
        <w:t xml:space="preserve">(art. 18, parágrafo único), e o contrato da AMSA só admite entrega de recursos por contrato de serviços a valores de mercado ou por rateio (cláusula 53.ª). A contabilidade do Consórcio deve evidenciar</w:t>
      </w:r>
      <w:r>
        <w:t xml:space="preserve"> </w:t>
      </w:r>
      <w:r>
        <w:t xml:space="preserve">“</w:t>
      </w:r>
      <w:r>
        <w:t xml:space="preserve">eventuais subsídios cruzados</w:t>
      </w:r>
      <w:r>
        <w:t xml:space="preserve">”</w:t>
      </w:r>
      <w:r>
        <w:t xml:space="preserve"> </w:t>
      </w:r>
      <w:r>
        <w:t xml:space="preserve">(cláusula 55.ª, § 1.º, inciso I).</w:t>
      </w:r>
    </w:p>
    <w:p>
      <w:pPr>
        <w:numPr>
          <w:ilvl w:val="0"/>
          <w:numId w:val="1014"/>
        </w:numPr>
        <w:pStyle w:val="Compact"/>
      </w:pPr>
      <w:r>
        <w:t xml:space="preserve">O instrumento para o município contratar o Consórcio é o contrato de programa (cláusula 50.ª, inciso I; art. 13 da Lei n.º 11.107/2005), com dispensa de licitação (art. 2.º, § 1.º, inciso III). Não localizei contratos de programa vigentes entre municípios e AMSA</w:t>
      </w:r>
      <w:r>
        <w:t xml:space="preserve"> </w:t>
      </w:r>
      <w:r>
        <w:rPr>
          <w:rStyle w:val="VerbatimChar"/>
        </w:rPr>
        <w:t xml:space="preserve">[PENDENTE]</w:t>
      </w:r>
      <w:r>
        <w:t xml:space="preserve">. Se a AMSA presta a destinação final aos municípios apenas com base no rateio, sem contrato de programa, o controle externo pode questionar o modelo com base no art. 13 da Lei n.º 11.107/2005 e no art. 30, § 2.º, do Decreto n.º 6.017/2007. Esse ponto não afeta a licitude do contrato direto do município; afeta a regularidade do braço consorcial.</w:t>
      </w:r>
    </w:p>
    <w:p>
      <w:pPr>
        <w:pStyle w:val="FirstParagraph"/>
      </w:pPr>
      <w:r>
        <w:t xml:space="preserve">Ponto de atenção sobre o braço consorcial: o art. 8.º, § 1.º, inciso II, da Lei n.º 11.445/2007 (redação de 2020) diz que os consórcios intermunicipais de saneamento</w:t>
      </w:r>
      <w:r>
        <w:t xml:space="preserve"> </w:t>
      </w:r>
      <w:r>
        <w:t xml:space="preserve">“</w:t>
      </w:r>
      <w:r>
        <w:t xml:space="preserve">terão como objetivo, exclusivamente, o financiamento das iniciativas de implantação de medidas estruturais</w:t>
      </w:r>
      <w:r>
        <w:t xml:space="preserve">”</w:t>
      </w:r>
      <w:r>
        <w:t xml:space="preserve">, enquanto o inciso I admite que prestem o serviço diretamente por autarquia intermunicipal. Há leitura restritiva (o consórcio só financia) e leitura ampla (o consórcio pode prestar e contratar). O tema pode ser levantado contra a contratação da UVS pela AMSA. Não localizei precedente que resolva a tensão entre os dois incisos.</w:t>
      </w:r>
    </w:p>
    <w:bookmarkEnd w:id="43"/>
    <w:bookmarkStart w:id="44" w:name="licitação-do-contrato-direto"/>
    <w:p>
      <w:pPr>
        <w:pStyle w:val="Heading3"/>
      </w:pPr>
      <w:r>
        <w:t xml:space="preserve">5.6 Licitação do contrato direto</w:t>
      </w:r>
    </w:p>
    <w:p>
      <w:pPr>
        <w:numPr>
          <w:ilvl w:val="0"/>
          <w:numId w:val="1015"/>
        </w:numPr>
        <w:pStyle w:val="Compact"/>
      </w:pPr>
      <w:r>
        <w:t xml:space="preserve">O Município licita (arts. 28 e seguintes da Lei n.º 14.133/2021). Inexigibilidade (art. 74, inciso I) só com prova de inviabilidade de competição (§ 1.º), por exemplo, única instalação licenciada em distância viável, o que depende de estudo técnico</w:t>
      </w:r>
      <w:r>
        <w:t xml:space="preserve"> </w:t>
      </w:r>
      <w:r>
        <w:rPr>
          <w:rStyle w:val="VerbatimChar"/>
        </w:rPr>
        <w:t xml:space="preserve">[VALIDAÇÃO TÉCNICA]</w:t>
      </w:r>
      <w:r>
        <w:t xml:space="preserve">. Dispensa por valor (art. 75, inciso II) é irrelevante para os volumes envolvidos e o parcelamento para caber no limite é fracionamento vedado (§ 1.º).</w:t>
      </w:r>
    </w:p>
    <w:p>
      <w:pPr>
        <w:numPr>
          <w:ilvl w:val="0"/>
          <w:numId w:val="1015"/>
        </w:numPr>
        <w:pStyle w:val="Compact"/>
      </w:pPr>
      <w:r>
        <w:t xml:space="preserve">O fato de a AMSA ter licitado a UVS não aproveita ao município: não há</w:t>
      </w:r>
      <w:r>
        <w:t xml:space="preserve"> </w:t>
      </w:r>
      <w:r>
        <w:t xml:space="preserve">“</w:t>
      </w:r>
      <w:r>
        <w:t xml:space="preserve">carona</w:t>
      </w:r>
      <w:r>
        <w:t xml:space="preserve">”</w:t>
      </w:r>
      <w:r>
        <w:t xml:space="preserve"> </w:t>
      </w:r>
      <w:r>
        <w:t xml:space="preserve">fora do sistema de registro de preços (arts. 82 a 86), e o registro de preços para serviço contínuo e essencial é modelo frágil. A</w:t>
      </w:r>
      <w:r>
        <w:t xml:space="preserve"> </w:t>
      </w:r>
      <w:r>
        <w:t xml:space="preserve">“</w:t>
      </w:r>
      <w:r>
        <w:t xml:space="preserve">licitação compartilhada</w:t>
      </w:r>
      <w:r>
        <w:t xml:space="preserve">”</w:t>
      </w:r>
      <w:r>
        <w:t xml:space="preserve"> </w:t>
      </w:r>
      <w:r>
        <w:t xml:space="preserve">prevista na cláusula 7.ª, inciso XIII, apoiava-se no art. 112, § 1.º, da Lei n.º 8.666/1993, revogada; sob a Lei n.º 14.133/2021 o caminho equivalente é a central de compras do art. 181 ou o registro de preços, ambos com insegurança para serviço contínuo. Se essa via interessar, precisa de análise própria.</w:t>
      </w:r>
    </w:p>
    <w:p>
      <w:pPr>
        <w:numPr>
          <w:ilvl w:val="0"/>
          <w:numId w:val="1015"/>
        </w:numPr>
        <w:pStyle w:val="Compact"/>
      </w:pPr>
      <w:r>
        <w:t xml:space="preserve">Prazo: serviço contínuo, até 5 anos, prorrogável até 10 (arts. 106 e 107). ETP com estimativa do excedente, matriz de riscos e preço de referência (art. 23).</w:t>
      </w:r>
    </w:p>
    <w:bookmarkEnd w:id="44"/>
    <w:bookmarkStart w:id="45" w:name="regulação-plano-e-orçamento"/>
    <w:p>
      <w:pPr>
        <w:pStyle w:val="Heading3"/>
      </w:pPr>
      <w:r>
        <w:t xml:space="preserve">5.7 Regulação, plano e orçamento</w:t>
      </w:r>
    </w:p>
    <w:p>
      <w:pPr>
        <w:numPr>
          <w:ilvl w:val="0"/>
          <w:numId w:val="1016"/>
        </w:numPr>
        <w:pStyle w:val="Compact"/>
      </w:pPr>
      <w:r>
        <w:t xml:space="preserve">Comunicar a entidade reguladora (ARCE, se delegada; cláusula 8.ª, § 2.º; cláusula 11.ª) e registrar a contratação no sistema de informações do Consórcio (cláusula 10.ª, inciso II). O MP recomendou comunicação à ARCE em qualquer decisão que afete a continuidade dos serviços.</w:t>
      </w:r>
    </w:p>
    <w:p>
      <w:pPr>
        <w:numPr>
          <w:ilvl w:val="0"/>
          <w:numId w:val="1016"/>
        </w:numPr>
        <w:pStyle w:val="Compact"/>
      </w:pPr>
      <w:r>
        <w:t xml:space="preserve">Plano municipal (PMGIRS) e a lei municipal de resíduos devem contemplar a solução adotada (art. 19, inciso III, da Lei n.º 12.305/2010). O Decreto Estadual n.º 36.618/2025 condiciona o IQM à comprovação de plano e de uso exclusivo do ICMS socioambiental na política de resíduos</w:t>
      </w:r>
      <w:r>
        <w:t xml:space="preserve"> </w:t>
      </w:r>
      <w:r>
        <w:rPr>
          <w:rStyle w:val="VerbatimChar"/>
        </w:rPr>
        <w:t xml:space="preserve">[VIT]</w:t>
      </w:r>
      <w:r>
        <w:t xml:space="preserve">.</w:t>
      </w:r>
    </w:p>
    <w:p>
      <w:pPr>
        <w:numPr>
          <w:ilvl w:val="0"/>
          <w:numId w:val="1016"/>
        </w:numPr>
        <w:pStyle w:val="Compact"/>
      </w:pPr>
      <w:r>
        <w:t xml:space="preserve">Dotação orçamentária para o contrato direto e, se plurianual, previsão no PPA (art. 105 da Lei n.º 14.133/2021); estimativa de impacto e compatibilidade com LDO (arts. 16 e 17 da Lei Complementar n.º 101/2000, no que couber).</w:t>
      </w:r>
    </w:p>
    <w:bookmarkEnd w:id="45"/>
    <w:bookmarkStart w:id="46" w:name="contra-argumentos-prováveis-e-respostas"/>
    <w:p>
      <w:pPr>
        <w:pStyle w:val="Heading3"/>
      </w:pPr>
      <w:r>
        <w:t xml:space="preserve">5.8 Contra-argumentos prováveis e respostas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Objeção</w:t>
            </w:r>
          </w:p>
        </w:tc>
        <w:tc>
          <w:tcPr/>
          <w:p>
            <w:pPr>
              <w:pStyle w:val="Compact"/>
              <w:jc w:val="left"/>
            </w:pPr>
            <w:r>
              <w:t xml:space="preserve">Quem levanta</w:t>
            </w:r>
          </w:p>
        </w:tc>
        <w:tc>
          <w:tcPr/>
          <w:p>
            <w:pPr>
              <w:pStyle w:val="Compact"/>
              <w:jc w:val="left"/>
            </w:pPr>
            <w:r>
              <w:t xml:space="preserve">Resposta</w:t>
            </w:r>
          </w:p>
        </w:tc>
        <w:tc>
          <w:tcPr/>
          <w:p>
            <w:pPr>
              <w:pStyle w:val="Compact"/>
              <w:jc w:val="left"/>
            </w:pPr>
            <w:r>
              <w:t xml:space="preserve">Fundamento</w:t>
            </w:r>
          </w:p>
        </w:tc>
      </w:tr>
      <w:tr>
        <w:tc>
          <w:tcPr/>
          <w:p>
            <w:pPr>
              <w:pStyle w:val="Compact"/>
              <w:jc w:val="left"/>
            </w:pPr>
            <w:r>
              <w:t xml:space="preserve">“</w:t>
            </w:r>
            <w:r>
              <w:t xml:space="preserve">O município aderiu à gestão associada e não pode contratar sozinho.</w:t>
            </w:r>
            <w:r>
              <w:t xml:space="preserve">”</w:t>
            </w:r>
          </w:p>
        </w:tc>
        <w:tc>
          <w:tcPr/>
          <w:p>
            <w:pPr>
              <w:pStyle w:val="Compact"/>
              <w:jc w:val="left"/>
            </w:pPr>
            <w:r>
              <w:t xml:space="preserve">AMSA, MP</w:t>
            </w:r>
          </w:p>
        </w:tc>
        <w:tc>
          <w:tcPr/>
          <w:p>
            <w:pPr>
              <w:pStyle w:val="Compact"/>
              <w:jc w:val="left"/>
            </w:pPr>
            <w:r>
              <w:t xml:space="preserve">A gestão associada transferiu planejamento, regulação e fiscalização; a prestação direta por contrato de serviços é modalidade expressa.</w:t>
            </w:r>
          </w:p>
        </w:tc>
        <w:tc>
          <w:tcPr/>
          <w:p>
            <w:pPr>
              <w:pStyle w:val="Compact"/>
              <w:jc w:val="left"/>
            </w:pPr>
            <w:r>
              <w:t xml:space="preserve">Cláusulas 8.ª, § 3.º,</w:t>
            </w:r>
            <w:r>
              <w:t xml:space="preserve"> </w:t>
            </w:r>
            <w:r>
              <w:t xml:space="preserve">“</w:t>
            </w:r>
            <w:r>
              <w:t xml:space="preserve">a</w:t>
            </w:r>
            <w:r>
              <w:t xml:space="preserve">”</w:t>
            </w:r>
            <w:r>
              <w:t xml:space="preserve">, 10.ª e 11.ª; art. 2.º, IX, do Decreto n.º 6.017/2007</w:t>
            </w:r>
          </w:p>
        </w:tc>
      </w:tr>
      <w:tr>
        <w:tc>
          <w:tcPr/>
          <w:p>
            <w:pPr>
              <w:pStyle w:val="Compact"/>
              <w:jc w:val="left"/>
            </w:pPr>
            <w:r>
              <w:t xml:space="preserve">“</w:t>
            </w:r>
            <w:r>
              <w:t xml:space="preserve">Contrato com aterro privado exige concessão.</w:t>
            </w:r>
            <w:r>
              <w:t xml:space="preserve">”</w:t>
            </w:r>
          </w:p>
        </w:tc>
        <w:tc>
          <w:tcPr/>
          <w:p>
            <w:pPr>
              <w:pStyle w:val="Compact"/>
              <w:jc w:val="left"/>
            </w:pPr>
            <w:r>
              <w:t xml:space="preserve">TCE-CE, MP</w:t>
            </w:r>
          </w:p>
        </w:tc>
        <w:tc>
          <w:tcPr/>
          <w:p>
            <w:pPr>
              <w:pStyle w:val="Compact"/>
              <w:jc w:val="left"/>
            </w:pPr>
            <w:r>
              <w:t xml:space="preserve">Trata-se de terceirização de atividade do serviço, não de delegação por conta e risco.</w:t>
            </w:r>
          </w:p>
        </w:tc>
        <w:tc>
          <w:tcPr/>
          <w:p>
            <w:pPr>
              <w:pStyle w:val="Compact"/>
              <w:jc w:val="left"/>
            </w:pPr>
            <w:r>
              <w:t xml:space="preserve">Art. 4.º, IX, e art. 69, § 1.º, da NR 7/2024; art. 2.º, II, da Lei n.º 8.987/1995</w:t>
            </w:r>
          </w:p>
        </w:tc>
      </w:tr>
      <w:tr>
        <w:tc>
          <w:tcPr/>
          <w:p>
            <w:pPr>
              <w:pStyle w:val="Compact"/>
              <w:jc w:val="left"/>
            </w:pPr>
            <w:r>
              <w:t xml:space="preserve">“</w:t>
            </w:r>
            <w:r>
              <w:t xml:space="preserve">Dois contratos para o mesmo serviço geram pagamento em duplicidade.</w:t>
            </w:r>
            <w:r>
              <w:t xml:space="preserve">”</w:t>
            </w:r>
          </w:p>
        </w:tc>
        <w:tc>
          <w:tcPr/>
          <w:p>
            <w:pPr>
              <w:pStyle w:val="Compact"/>
              <w:jc w:val="left"/>
            </w:pPr>
            <w:r>
              <w:t xml:space="preserve">TCE-CE</w:t>
            </w:r>
          </w:p>
        </w:tc>
        <w:tc>
          <w:tcPr/>
          <w:p>
            <w:pPr>
              <w:pStyle w:val="Compact"/>
              <w:jc w:val="left"/>
            </w:pPr>
            <w:r>
              <w:t xml:space="preserve">Objetos delimitados por cota e excedente, medição por tonelada, sem exclusividade.</w:t>
            </w:r>
          </w:p>
        </w:tc>
        <w:tc>
          <w:tcPr/>
          <w:p>
            <w:pPr>
              <w:pStyle w:val="Compact"/>
              <w:jc w:val="left"/>
            </w:pPr>
            <w:r>
              <w:t xml:space="preserve">Art. 23 da Lei n.º 14.133/2021; cláusula 55.ª</w:t>
            </w:r>
          </w:p>
        </w:tc>
      </w:tr>
      <w:tr>
        <w:tc>
          <w:tcPr/>
          <w:p>
            <w:pPr>
              <w:pStyle w:val="Compact"/>
              <w:jc w:val="left"/>
            </w:pPr>
            <w:r>
              <w:t xml:space="preserve">“</w:t>
            </w:r>
            <w:r>
              <w:t xml:space="preserve">Contratação direta descumpre o plano regional.</w:t>
            </w:r>
            <w:r>
              <w:t xml:space="preserve">”</w:t>
            </w:r>
          </w:p>
        </w:tc>
        <w:tc>
          <w:tcPr/>
          <w:p>
            <w:pPr>
              <w:pStyle w:val="Compact"/>
              <w:jc w:val="left"/>
            </w:pPr>
            <w:r>
              <w:t xml:space="preserve">AMSA</w:t>
            </w:r>
          </w:p>
        </w:tc>
        <w:tc>
          <w:tcPr/>
          <w:p>
            <w:pPr>
              <w:pStyle w:val="Compact"/>
              <w:jc w:val="left"/>
            </w:pPr>
            <w:r>
              <w:t xml:space="preserve">Mesma instalação e rota do Consórcio; deliberação da Assembleia registrando a compatibilidade.</w:t>
            </w:r>
          </w:p>
        </w:tc>
        <w:tc>
          <w:tcPr/>
          <w:p>
            <w:pPr>
              <w:pStyle w:val="Compact"/>
              <w:jc w:val="left"/>
            </w:pPr>
            <w:r>
              <w:t xml:space="preserve">Cláusulas 8.ª, § 1.º, 18.ª, VIII e X, 59.ª, III</w:t>
            </w:r>
          </w:p>
        </w:tc>
      </w:tr>
      <w:tr>
        <w:tc>
          <w:tcPr/>
          <w:p>
            <w:pPr>
              <w:pStyle w:val="Compact"/>
              <w:jc w:val="left"/>
            </w:pPr>
            <w:r>
              <w:t xml:space="preserve">“</w:t>
            </w:r>
            <w:r>
              <w:t xml:space="preserve">O município continua pagando rateio por serviço que não usa.</w:t>
            </w:r>
            <w:r>
              <w:t xml:space="preserve">”</w:t>
            </w:r>
          </w:p>
        </w:tc>
        <w:tc>
          <w:tcPr/>
          <w:p>
            <w:pPr>
              <w:pStyle w:val="Compact"/>
              <w:jc w:val="left"/>
            </w:pPr>
            <w:r>
              <w:t xml:space="preserve">Município</w:t>
            </w:r>
          </w:p>
        </w:tc>
        <w:tc>
          <w:tcPr/>
          <w:p>
            <w:pPr>
              <w:pStyle w:val="Compact"/>
              <w:jc w:val="left"/>
            </w:pPr>
            <w:r>
              <w:t xml:space="preserve">O rateio remunera despesas do Consórcio, não toneladas; abatimento só por deliberação.</w:t>
            </w:r>
          </w:p>
        </w:tc>
        <w:tc>
          <w:tcPr/>
          <w:p>
            <w:pPr>
              <w:pStyle w:val="Compact"/>
              <w:jc w:val="left"/>
            </w:pPr>
            <w:r>
              <w:t xml:space="preserve">Art. 8.º da Lei n.º 11.107/2005; cláusula 3.ª, V</w:t>
            </w:r>
          </w:p>
        </w:tc>
      </w:tr>
      <w:tr>
        <w:tc>
          <w:tcPr/>
          <w:p>
            <w:pPr>
              <w:pStyle w:val="Compact"/>
              <w:jc w:val="left"/>
            </w:pPr>
            <w:r>
              <w:t xml:space="preserve">“</w:t>
            </w:r>
            <w:r>
              <w:t xml:space="preserve">Rateio custeando serviço para um só município.</w:t>
            </w:r>
            <w:r>
              <w:t xml:space="preserve">”</w:t>
            </w:r>
          </w:p>
        </w:tc>
        <w:tc>
          <w:tcPr/>
          <w:p>
            <w:pPr>
              <w:pStyle w:val="Compact"/>
              <w:jc w:val="left"/>
            </w:pPr>
            <w:r>
              <w:t xml:space="preserve">MP, TCE-CE</w:t>
            </w:r>
          </w:p>
        </w:tc>
        <w:tc>
          <w:tcPr/>
          <w:p>
            <w:pPr>
              <w:pStyle w:val="Compact"/>
              <w:jc w:val="left"/>
            </w:pPr>
            <w:r>
              <w:t xml:space="preserve">Excedente atendido pelo Consórcio exige contrato específico do município com a AMSA.</w:t>
            </w:r>
          </w:p>
        </w:tc>
        <w:tc>
          <w:tcPr/>
          <w:p>
            <w:pPr>
              <w:pStyle w:val="Compact"/>
              <w:jc w:val="left"/>
            </w:pPr>
            <w:r>
              <w:t xml:space="preserve">Art. 18, parágrafo único, do Decreto n.º 6.017/2007; cláusula 53.ª</w:t>
            </w:r>
          </w:p>
        </w:tc>
      </w:tr>
      <w:tr>
        <w:tc>
          <w:tcPr/>
          <w:p>
            <w:pPr>
              <w:pStyle w:val="Compact"/>
              <w:jc w:val="left"/>
            </w:pPr>
            <w:r>
              <w:t xml:space="preserve">“</w:t>
            </w:r>
            <w:r>
              <w:t xml:space="preserve">Mesmo fornecedor, preços diferentes.</w:t>
            </w:r>
            <w:r>
              <w:t xml:space="preserve">”</w:t>
            </w:r>
          </w:p>
        </w:tc>
        <w:tc>
          <w:tcPr/>
          <w:p>
            <w:pPr>
              <w:pStyle w:val="Compact"/>
              <w:jc w:val="left"/>
            </w:pPr>
            <w:r>
              <w:t xml:space="preserve">TCE-CE</w:t>
            </w:r>
          </w:p>
        </w:tc>
        <w:tc>
          <w:tcPr/>
          <w:p>
            <w:pPr>
              <w:pStyle w:val="Compact"/>
              <w:jc w:val="left"/>
            </w:pPr>
            <w:r>
              <w:t xml:space="preserve">Justificativa objetiva no ETP e na pesquisa de preços.</w:t>
            </w:r>
          </w:p>
        </w:tc>
        <w:tc>
          <w:tcPr/>
          <w:p>
            <w:pPr>
              <w:pStyle w:val="Compact"/>
              <w:jc w:val="left"/>
            </w:pPr>
            <w:r>
              <w:t xml:space="preserve">Art. 23 da Lei n.º 14.133/2021</w:t>
            </w:r>
          </w:p>
        </w:tc>
      </w:tr>
      <w:tr>
        <w:tc>
          <w:tcPr/>
          <w:p>
            <w:pPr>
              <w:pStyle w:val="Compact"/>
              <w:jc w:val="left"/>
            </w:pPr>
            <w:r>
              <w:t xml:space="preserve">“</w:t>
            </w:r>
            <w:r>
              <w:t xml:space="preserve">Consórcio de saneamento só pode financiar, não contratar destinação.</w:t>
            </w:r>
            <w:r>
              <w:t xml:space="preserve">”</w:t>
            </w:r>
          </w:p>
        </w:tc>
        <w:tc>
          <w:tcPr/>
          <w:p>
            <w:pPr>
              <w:pStyle w:val="Compact"/>
              <w:jc w:val="left"/>
            </w:pPr>
            <w:r>
              <w:t xml:space="preserve">MP, TCE-CE</w:t>
            </w:r>
          </w:p>
        </w:tc>
        <w:tc>
          <w:tcPr/>
          <w:p>
            <w:pPr>
              <w:pStyle w:val="Compact"/>
              <w:jc w:val="left"/>
            </w:pPr>
            <w:r>
              <w:t xml:space="preserve">Tensão entre os incisos I e II do § 1.º do art. 8.º da Lei n.º 11.445/2007; sem precedente localizado.</w:t>
            </w:r>
          </w:p>
        </w:tc>
        <w:tc>
          <w:tcPr/>
          <w:p>
            <w:pPr>
              <w:pStyle w:val="Compact"/>
              <w:jc w:val="left"/>
            </w:pPr>
            <w:r>
              <w:t xml:space="preserve">Art. 8.º, § 1.º, da Lei n.º 11.445/2007</w:t>
            </w:r>
          </w:p>
        </w:tc>
      </w:tr>
    </w:tbl>
    <w:p>
      <w:r>
        <w:pict>
          <v:rect style="width:0;height:1.5pt" o:hralign="center" o:hrstd="t" o:hr="t"/>
        </w:pict>
      </w:r>
    </w:p>
    <w:bookmarkEnd w:id="46"/>
    <w:bookmarkEnd w:id="47"/>
    <w:bookmarkStart w:id="48" w:name="alternativas-de-estruturação"/>
    <w:p>
      <w:pPr>
        <w:pStyle w:val="Heading2"/>
      </w:pPr>
      <w:r>
        <w:t xml:space="preserve">6. Alternativas de estruturação</w:t>
      </w:r>
    </w:p>
    <w:p>
      <w:pPr>
        <w:pStyle w:val="FirstParagraph"/>
      </w:pPr>
      <w:r>
        <w:t xml:space="preserve">Sem juízo de valor; a escolha é decisão comercial e política do grupo e dos entes</w:t>
      </w:r>
      <w:r>
        <w:t xml:space="preserve"> </w:t>
      </w:r>
      <w:r>
        <w:rPr>
          <w:rStyle w:val="VerbatimChar"/>
        </w:rPr>
        <w:t xml:space="preserve">[DECISAO_COMERCIAL]</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Cenário</w:t>
            </w:r>
          </w:p>
        </w:tc>
        <w:tc>
          <w:tcPr/>
          <w:p>
            <w:pPr>
              <w:pStyle w:val="Compact"/>
              <w:jc w:val="left"/>
            </w:pPr>
            <w:r>
              <w:t xml:space="preserve">Instrumentos</w:t>
            </w:r>
          </w:p>
        </w:tc>
        <w:tc>
          <w:tcPr/>
          <w:p>
            <w:pPr>
              <w:pStyle w:val="Compact"/>
              <w:jc w:val="left"/>
            </w:pPr>
            <w:r>
              <w:t xml:space="preserve">Licitação</w:t>
            </w:r>
          </w:p>
        </w:tc>
        <w:tc>
          <w:tcPr/>
          <w:p>
            <w:pPr>
              <w:pStyle w:val="Compact"/>
              <w:jc w:val="left"/>
            </w:pPr>
            <w:r>
              <w:t xml:space="preserve">Rateio</w:t>
            </w:r>
          </w:p>
        </w:tc>
        <w:tc>
          <w:tcPr/>
          <w:p>
            <w:pPr>
              <w:pStyle w:val="Compact"/>
              <w:jc w:val="left"/>
            </w:pPr>
            <w:r>
              <w:t xml:space="preserve">Pontos de atenção</w:t>
            </w:r>
          </w:p>
        </w:tc>
      </w:tr>
      <w:tr>
        <w:tc>
          <w:tcPr/>
          <w:p>
            <w:pPr>
              <w:pStyle w:val="Compact"/>
              <w:jc w:val="left"/>
            </w:pPr>
            <w:r>
              <w:rPr>
                <w:bCs/>
                <w:b/>
              </w:rPr>
              <w:t xml:space="preserve">A. Um só contrato, cotas por município</w:t>
            </w:r>
          </w:p>
        </w:tc>
        <w:tc>
          <w:tcPr/>
          <w:p>
            <w:pPr>
              <w:pStyle w:val="Compact"/>
              <w:jc w:val="left"/>
            </w:pPr>
            <w:r>
              <w:t xml:space="preserve">Contrato AMSA–UVS com quantitativo por município e medição por tonelada; rateio ou contrato específico proporcional ao volume</w:t>
            </w:r>
          </w:p>
        </w:tc>
        <w:tc>
          <w:tcPr/>
          <w:p>
            <w:pPr>
              <w:pStyle w:val="Compact"/>
              <w:jc w:val="left"/>
            </w:pPr>
            <w:r>
              <w:t xml:space="preserve">Uma licitação (AMSA)</w:t>
            </w:r>
          </w:p>
        </w:tc>
        <w:tc>
          <w:tcPr/>
          <w:p>
            <w:pPr>
              <w:pStyle w:val="Compact"/>
              <w:jc w:val="left"/>
            </w:pPr>
            <w:r>
              <w:t xml:space="preserve">Cota fixa mais parcela variável, ou contrato de programa para o excedente</w:t>
            </w:r>
          </w:p>
        </w:tc>
        <w:tc>
          <w:tcPr/>
          <w:p>
            <w:pPr>
              <w:pStyle w:val="Compact"/>
              <w:jc w:val="left"/>
            </w:pPr>
            <w:r>
              <w:t xml:space="preserve">Exige contrato de programa município–AMSA para o excedente (art. 13 da Lei n.º 11.107/2005); tensão do art. 8.º, § 1.º, II, da Lei n.º 11.445/2007</w:t>
            </w:r>
          </w:p>
        </w:tc>
      </w:tr>
      <w:tr>
        <w:tc>
          <w:tcPr/>
          <w:p>
            <w:pPr>
              <w:pStyle w:val="Compact"/>
              <w:jc w:val="left"/>
            </w:pPr>
            <w:r>
              <w:rPr>
                <w:bCs/>
                <w:b/>
              </w:rPr>
              <w:t xml:space="preserve">B. Dois contratos (cenário perguntado)</w:t>
            </w:r>
          </w:p>
        </w:tc>
        <w:tc>
          <w:tcPr/>
          <w:p>
            <w:pPr>
              <w:pStyle w:val="Compact"/>
              <w:jc w:val="left"/>
            </w:pPr>
            <w:r>
              <w:t xml:space="preserve">Contrato AMSA–UVS (cota básica) e contrato Município–UVS (excedente)</w:t>
            </w:r>
          </w:p>
        </w:tc>
        <w:tc>
          <w:tcPr/>
          <w:p>
            <w:pPr>
              <w:pStyle w:val="Compact"/>
              <w:jc w:val="left"/>
            </w:pPr>
            <w:r>
              <w:t xml:space="preserve">Duas licitações (AMSA e Município)</w:t>
            </w:r>
          </w:p>
        </w:tc>
        <w:tc>
          <w:tcPr/>
          <w:p>
            <w:pPr>
              <w:pStyle w:val="Compact"/>
              <w:jc w:val="left"/>
            </w:pPr>
            <w:r>
              <w:t xml:space="preserve">Mantido integral</w:t>
            </w:r>
          </w:p>
        </w:tc>
        <w:tc>
          <w:tcPr/>
          <w:p>
            <w:pPr>
              <w:pStyle w:val="Compact"/>
              <w:jc w:val="left"/>
            </w:pPr>
            <w:r>
              <w:t xml:space="preserve">Delimitação de objetos; compatibilidade com plano regional; deliberação da Assembleia; justificativa de preços</w:t>
            </w:r>
          </w:p>
        </w:tc>
      </w:tr>
      <w:tr>
        <w:tc>
          <w:tcPr/>
          <w:p>
            <w:pPr>
              <w:pStyle w:val="Compact"/>
              <w:jc w:val="left"/>
            </w:pPr>
            <w:r>
              <w:rPr>
                <w:bCs/>
                <w:b/>
              </w:rPr>
              <w:t xml:space="preserve">C. Excedente via Consórcio</w:t>
            </w:r>
          </w:p>
        </w:tc>
        <w:tc>
          <w:tcPr/>
          <w:p>
            <w:pPr>
              <w:pStyle w:val="Compact"/>
              <w:jc w:val="left"/>
            </w:pPr>
            <w:r>
              <w:t xml:space="preserve">Contrato de programa Município–AMSA para o excedente; aditivo de até 25% ou nova licitação da AMSA</w:t>
            </w:r>
          </w:p>
        </w:tc>
        <w:tc>
          <w:tcPr/>
          <w:p>
            <w:pPr>
              <w:pStyle w:val="Compact"/>
              <w:jc w:val="left"/>
            </w:pPr>
            <w:r>
              <w:t xml:space="preserve">Uma licitação, mais aditivo</w:t>
            </w:r>
          </w:p>
        </w:tc>
        <w:tc>
          <w:tcPr/>
          <w:p>
            <w:pPr>
              <w:pStyle w:val="Compact"/>
              <w:jc w:val="left"/>
            </w:pPr>
            <w:r>
              <w:t xml:space="preserve">Mantido, mais contrato específico</w:t>
            </w:r>
          </w:p>
        </w:tc>
        <w:tc>
          <w:tcPr/>
          <w:p>
            <w:pPr>
              <w:pStyle w:val="Compact"/>
              <w:jc w:val="left"/>
            </w:pPr>
            <w:r>
              <w:t xml:space="preserve">Limite de 25% (art. 125); gestão do excedente pelo Consórcio; dependência da governança da AMSA</w:t>
            </w:r>
          </w:p>
        </w:tc>
      </w:tr>
      <w:tr>
        <w:tc>
          <w:tcPr/>
          <w:p>
            <w:pPr>
              <w:pStyle w:val="Compact"/>
              <w:jc w:val="left"/>
            </w:pPr>
            <w:r>
              <w:rPr>
                <w:bCs/>
                <w:b/>
              </w:rPr>
              <w:t xml:space="preserve">D. Contratação centralizada com contratos individuais</w:t>
            </w:r>
          </w:p>
        </w:tc>
        <w:tc>
          <w:tcPr/>
          <w:p>
            <w:pPr>
              <w:pStyle w:val="Compact"/>
              <w:jc w:val="left"/>
            </w:pPr>
            <w:r>
              <w:t xml:space="preserve">AMSA como central de compras ou gerenciadora de registro de preços; contratos assinados por cada município</w:t>
            </w:r>
          </w:p>
        </w:tc>
        <w:tc>
          <w:tcPr/>
          <w:p>
            <w:pPr>
              <w:pStyle w:val="Compact"/>
              <w:jc w:val="left"/>
            </w:pPr>
            <w:r>
              <w:t xml:space="preserve">Uma licitação (AMSA), vários contratos</w:t>
            </w:r>
          </w:p>
        </w:tc>
        <w:tc>
          <w:tcPr/>
          <w:p>
            <w:pPr>
              <w:pStyle w:val="Compact"/>
              <w:jc w:val="left"/>
            </w:pPr>
            <w:r>
              <w:t xml:space="preserve">Só administração</w:t>
            </w:r>
          </w:p>
        </w:tc>
        <w:tc>
          <w:tcPr/>
          <w:p>
            <w:pPr>
              <w:pStyle w:val="Compact"/>
              <w:jc w:val="left"/>
            </w:pPr>
            <w:r>
              <w:t xml:space="preserve">Base legal incerta sob a Lei n.º 14.133/2021 (art. 181; arts. 82 a 86); registro de preços para serviço contínuo é modelo frágil</w:t>
            </w:r>
          </w:p>
        </w:tc>
      </w:tr>
    </w:tbl>
    <w:p>
      <w:r>
        <w:pict>
          <v:rect style="width:0;height:1.5pt" o:hralign="center" o:hrstd="t" o:hr="t"/>
        </w:pict>
      </w:r>
    </w:p>
    <w:bookmarkEnd w:id="48"/>
    <w:bookmarkStart w:id="49" w:name="X2396e0095db1a9fad6601a7436024aecc2a7acb"/>
    <w:p>
      <w:pPr>
        <w:pStyle w:val="Heading2"/>
      </w:pPr>
      <w:r>
        <w:t xml:space="preserve">7. Checklist para o cenário B (dois contratos)</w:t>
      </w:r>
    </w:p>
    <w:p>
      <w:pPr>
        <w:numPr>
          <w:ilvl w:val="0"/>
          <w:numId w:val="1017"/>
        </w:numPr>
        <w:pStyle w:val="Compact"/>
      </w:pPr>
      <w:r>
        <w:t xml:space="preserve">Obter e ler o contrato atual de destinação final: contratante, objeto, quantitativos por município, exclusividade, volume mínimo, preço, vigência e prorrogações</w:t>
      </w:r>
      <w:r>
        <w:t xml:space="preserve"> </w:t>
      </w:r>
      <w:r>
        <w:rPr>
          <w:rStyle w:val="VerbatimChar"/>
        </w:rPr>
        <w:t xml:space="preserve">[PENDENTE]</w:t>
      </w:r>
      <w:r>
        <w:t xml:space="preserve">.</w:t>
      </w:r>
    </w:p>
    <w:p>
      <w:pPr>
        <w:numPr>
          <w:ilvl w:val="0"/>
          <w:numId w:val="1017"/>
        </w:numPr>
        <w:pStyle w:val="Compact"/>
      </w:pPr>
      <w:r>
        <w:t xml:space="preserve">Identificar o município excedente e confirmar que permanece consorciado (Baturité e Guaramiranga saíram em 26/06/2026).</w:t>
      </w:r>
    </w:p>
    <w:p>
      <w:pPr>
        <w:numPr>
          <w:ilvl w:val="0"/>
          <w:numId w:val="1017"/>
        </w:numPr>
        <w:pStyle w:val="Compact"/>
      </w:pPr>
      <w:r>
        <w:t xml:space="preserve">Verificar a existência do plano regional integrado homologado e do PMGIRS municipal; se necessário, incluir a solução por deliberação da Assembleia.</w:t>
      </w:r>
    </w:p>
    <w:p>
      <w:pPr>
        <w:numPr>
          <w:ilvl w:val="0"/>
          <w:numId w:val="1017"/>
        </w:numPr>
        <w:pStyle w:val="Compact"/>
      </w:pPr>
      <w:r>
        <w:t xml:space="preserve">Deliberação da Assembleia Geral (convocação com 30 dias, pauta expressa, presença dos prefeitos) que registre a cota do município no contrato do Consórcio e reconheça a contratação direta do excedente pela modalidade da cláusula 8.ª, § 3.º,</w:t>
      </w:r>
      <w:r>
        <w:t xml:space="preserve"> </w:t>
      </w:r>
      <w:r>
        <w:t xml:space="preserve">“</w:t>
      </w:r>
      <w:r>
        <w:t xml:space="preserve">a</w:t>
      </w:r>
      <w:r>
        <w:t xml:space="preserve">”</w:t>
      </w:r>
      <w:r>
        <w:t xml:space="preserve">.</w:t>
      </w:r>
    </w:p>
    <w:p>
      <w:pPr>
        <w:numPr>
          <w:ilvl w:val="0"/>
          <w:numId w:val="1017"/>
        </w:numPr>
        <w:pStyle w:val="Compact"/>
      </w:pPr>
      <w:r>
        <w:t xml:space="preserve">No contrato AMSA–UVS: cotas por município, medição por tonelada, sem exclusividade e sem volume mínimo para o município excedente.</w:t>
      </w:r>
    </w:p>
    <w:p>
      <w:pPr>
        <w:numPr>
          <w:ilvl w:val="0"/>
          <w:numId w:val="1017"/>
        </w:numPr>
        <w:pStyle w:val="Compact"/>
      </w:pPr>
      <w:r>
        <w:t xml:space="preserve">No contrato Município–UVS: objeto restrito ao excedente, controle de pesagem, relatórios cruzados com o Consórcio, prazo dos arts. 106 e 107 da Lei n.º 14.133/2021.</w:t>
      </w:r>
    </w:p>
    <w:p>
      <w:pPr>
        <w:numPr>
          <w:ilvl w:val="0"/>
          <w:numId w:val="1017"/>
        </w:numPr>
        <w:pStyle w:val="Compact"/>
      </w:pPr>
      <w:r>
        <w:t xml:space="preserve">ETP e pesquisa de preços que justifiquem o excedente e eventual diferença de preço em relação ao contrato do Consórcio (art. 23).</w:t>
      </w:r>
    </w:p>
    <w:p>
      <w:pPr>
        <w:numPr>
          <w:ilvl w:val="0"/>
          <w:numId w:val="1017"/>
        </w:numPr>
        <w:pStyle w:val="Compact"/>
      </w:pPr>
      <w:r>
        <w:t xml:space="preserve">Dotação e PPA; estimativa de impacto (art. 105 da Lei n.º 14.133/2021; arts. 16 e 17 da LRF, no que couber).</w:t>
      </w:r>
    </w:p>
    <w:p>
      <w:pPr>
        <w:numPr>
          <w:ilvl w:val="0"/>
          <w:numId w:val="1017"/>
        </w:numPr>
        <w:pStyle w:val="Compact"/>
      </w:pPr>
      <w:r>
        <w:t xml:space="preserve">Comunicação à entidade reguladora (ARCE) e registro no sistema de informações do Consórcio.</w:t>
      </w:r>
    </w:p>
    <w:p>
      <w:pPr>
        <w:numPr>
          <w:ilvl w:val="0"/>
          <w:numId w:val="1017"/>
        </w:numPr>
        <w:pStyle w:val="Compact"/>
      </w:pPr>
      <w:r>
        <w:t xml:space="preserve">Manter o rateio integral; se houver contrato de programa com a AMSA, formalizá-lo com dispensa do art. 2.º, § 1.º, inciso III, da Lei n.º 11.107/2005.</w:t>
      </w:r>
    </w:p>
    <w:p>
      <w:r>
        <w:pict>
          <v:rect style="width:0;height:1.5pt" o:hralign="center" o:hrstd="t" o:hr="t"/>
        </w:pict>
      </w:r>
    </w:p>
    <w:bookmarkEnd w:id="49"/>
    <w:bookmarkStart w:id="50" w:name="jurisprudência-e-doutrina"/>
    <w:p>
      <w:pPr>
        <w:pStyle w:val="Heading2"/>
      </w:pPr>
      <w:r>
        <w:t xml:space="preserve">8. Jurisprudência e doutrina</w:t>
      </w:r>
    </w:p>
    <w:p>
      <w:pPr>
        <w:numPr>
          <w:ilvl w:val="0"/>
          <w:numId w:val="1018"/>
        </w:numPr>
        <w:pStyle w:val="Compact"/>
      </w:pPr>
      <w:r>
        <w:t xml:space="preserve">Não localizei precedente específico sobre município consorciado que mantém contrato direto de destinação final em paralelo ao contrato do consórcio. Buscas no Jus IA (STJ, TJCE, TJSP, TJMG) retornaram apenas casos periféricos: TJSP, Apelação/Remessa Necessária n.º 1007008-27.2024.8.26.0048, 5.ª Câmara de Direito Público, Rel. Des. Maria Laura Tavares, j. 26/05/2025 (subcontratação parcial de destinação final em pregão de coleta; art. 122, § 1.º, da Lei n.º 14.133/2021)</w:t>
      </w:r>
      <w:r>
        <w:t xml:space="preserve"> </w:t>
      </w:r>
      <w:r>
        <w:rPr>
          <w:rStyle w:val="VerbatimChar"/>
        </w:rPr>
        <w:t xml:space="preserve">[VIT]</w:t>
      </w:r>
      <w:r>
        <w:t xml:space="preserve">; TJSP, Apelação/Remessa Necessária n.º 1000228-43.2020.8.26.0523, 1.ª Câmara de Direito Público, Rel. Des. Marcos Pimentel Tamassia, j. 14/10/2025 (cobrança por serviços de destinação final; pesagem a cargo de consórcio intermunicipal)</w:t>
      </w:r>
      <w:r>
        <w:t xml:space="preserve"> </w:t>
      </w:r>
      <w:r>
        <w:rPr>
          <w:rStyle w:val="VerbatimChar"/>
        </w:rPr>
        <w:t xml:space="preserve">[VIT]</w:t>
      </w:r>
      <w:r>
        <w:t xml:space="preserve">.</w:t>
      </w:r>
    </w:p>
    <w:p>
      <w:pPr>
        <w:numPr>
          <w:ilvl w:val="0"/>
          <w:numId w:val="1018"/>
        </w:numPr>
        <w:pStyle w:val="Compact"/>
      </w:pPr>
      <w:r>
        <w:t xml:space="preserve">A API Lei na Mão (TCU/TCE) não foi consultada porque a chave</w:t>
      </w:r>
      <w:r>
        <w:t xml:space="preserve"> </w:t>
      </w:r>
      <w:r>
        <w:rPr>
          <w:rStyle w:val="VerbatimChar"/>
        </w:rPr>
        <w:t xml:space="preserve">LEINAMAO_API_KEY</w:t>
      </w:r>
      <w:r>
        <w:t xml:space="preserve"> </w:t>
      </w:r>
      <w:r>
        <w:t xml:space="preserve">não está configurada neste ambiente. Recomenda-se busca por</w:t>
      </w:r>
      <w:r>
        <w:t xml:space="preserve"> </w:t>
      </w:r>
      <w:r>
        <w:t xml:space="preserve">“</w:t>
      </w:r>
      <w:r>
        <w:t xml:space="preserve">consórcio público</w:t>
      </w:r>
      <w:r>
        <w:t xml:space="preserve">”</w:t>
      </w:r>
      <w:r>
        <w:t xml:space="preserve"> </w:t>
      </w:r>
      <w:r>
        <w:t xml:space="preserve">+</w:t>
      </w:r>
      <w:r>
        <w:t xml:space="preserve"> </w:t>
      </w:r>
      <w:r>
        <w:t xml:space="preserve">“</w:t>
      </w:r>
      <w:r>
        <w:t xml:space="preserve">contrato de rateio</w:t>
      </w:r>
      <w:r>
        <w:t xml:space="preserve">”</w:t>
      </w:r>
      <w:r>
        <w:t xml:space="preserve"> </w:t>
      </w:r>
      <w:r>
        <w:t xml:space="preserve">+</w:t>
      </w:r>
      <w:r>
        <w:t xml:space="preserve"> </w:t>
      </w:r>
      <w:r>
        <w:t xml:space="preserve">“</w:t>
      </w:r>
      <w:r>
        <w:t xml:space="preserve">duplicidade</w:t>
      </w:r>
      <w:r>
        <w:t xml:space="preserve">”</w:t>
      </w:r>
      <w:r>
        <w:t xml:space="preserve"> </w:t>
      </w:r>
      <w:r>
        <w:t xml:space="preserve">e</w:t>
      </w:r>
      <w:r>
        <w:t xml:space="preserve"> </w:t>
      </w:r>
      <w:r>
        <w:t xml:space="preserve">“</w:t>
      </w:r>
      <w:r>
        <w:t xml:space="preserve">consórcio público</w:t>
      </w:r>
      <w:r>
        <w:t xml:space="preserve">”</w:t>
      </w:r>
      <w:r>
        <w:t xml:space="preserve"> </w:t>
      </w:r>
      <w:r>
        <w:t xml:space="preserve">+</w:t>
      </w:r>
      <w:r>
        <w:t xml:space="preserve"> </w:t>
      </w:r>
      <w:r>
        <w:t xml:space="preserve">“</w:t>
      </w:r>
      <w:r>
        <w:t xml:space="preserve">contratação direta</w:t>
      </w:r>
      <w:r>
        <w:t xml:space="preserve">”</w:t>
      </w:r>
      <w:r>
        <w:t xml:space="preserve"> </w:t>
      </w:r>
      <w:r>
        <w:t xml:space="preserve">+</w:t>
      </w:r>
      <w:r>
        <w:t xml:space="preserve"> </w:t>
      </w:r>
      <w:r>
        <w:t xml:space="preserve">“</w:t>
      </w:r>
      <w:r>
        <w:t xml:space="preserve">ente consorciado</w:t>
      </w:r>
      <w:r>
        <w:t xml:space="preserve">”</w:t>
      </w:r>
      <w:r>
        <w:t xml:space="preserve"> </w:t>
      </w:r>
      <w:r>
        <w:t xml:space="preserve">no TCE-CE e no TCU antes de qualquer peça.</w:t>
      </w:r>
    </w:p>
    <w:p>
      <w:pPr>
        <w:numPr>
          <w:ilvl w:val="0"/>
          <w:numId w:val="1018"/>
        </w:numPr>
        <w:pStyle w:val="Compact"/>
      </w:pPr>
      <w:r>
        <w:t xml:space="preserve">Doutrina: Marcelo Alexandrino e Vicente Paulo,</w:t>
      </w:r>
      <w:r>
        <w:t xml:space="preserve"> </w:t>
      </w:r>
      <w:r>
        <w:rPr>
          <w:iCs/>
          <w:i/>
        </w:rPr>
        <w:t xml:space="preserve">Direito Administrativo Descomplicado</w:t>
      </w:r>
      <w:r>
        <w:t xml:space="preserve">, 25.ª ed., São Paulo: Método, 2017, p. 161-166 (gestão associada não abrange necessariamente a prestação; contratação do consórcio por consorciado com dispensa; contrato de rateio).</w:t>
      </w:r>
    </w:p>
    <w:p>
      <w:r>
        <w:pict>
          <v:rect style="width:0;height:1.5pt" o:hralign="center" o:hrstd="t" o:hr="t"/>
        </w:pict>
      </w:r>
    </w:p>
    <w:bookmarkEnd w:id="50"/>
    <w:bookmarkStart w:id="51" w:name="X791b933fe8a3c6f7f9b5a7045eb07b6968ff49f"/>
    <w:p>
      <w:pPr>
        <w:pStyle w:val="Heading2"/>
      </w:pPr>
      <w:r>
        <w:t xml:space="preserve">9. Inventário dos normativos da página da AMSA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Normativo</w:t>
            </w:r>
          </w:p>
        </w:tc>
        <w:tc>
          <w:tcPr/>
          <w:p>
            <w:pPr>
              <w:pStyle w:val="Compact"/>
              <w:jc w:val="left"/>
            </w:pPr>
            <w:r>
              <w:t xml:space="preserve">Município</w:t>
            </w:r>
          </w:p>
        </w:tc>
        <w:tc>
          <w:tcPr/>
          <w:p>
            <w:pPr>
              <w:pStyle w:val="Compact"/>
              <w:jc w:val="left"/>
            </w:pPr>
            <w:r>
              <w:t xml:space="preserve">Publicado no portal</w:t>
            </w:r>
          </w:p>
        </w:tc>
        <w:tc>
          <w:tcPr/>
          <w:p>
            <w:pPr>
              <w:pStyle w:val="Compact"/>
              <w:jc w:val="left"/>
            </w:pPr>
            <w:r>
              <w:t xml:space="preserve">Conteúdo</w:t>
            </w:r>
          </w:p>
        </w:tc>
        <w:tc>
          <w:tcPr/>
          <w:p>
            <w:pPr>
              <w:pStyle w:val="Compact"/>
              <w:jc w:val="left"/>
            </w:pPr>
            <w:r>
              <w:t xml:space="preserve">Relevância para a pergunta</w:t>
            </w:r>
          </w:p>
        </w:tc>
        <w:tc>
          <w:tcPr/>
          <w:p>
            <w:pPr>
              <w:pStyle w:val="Compact"/>
              <w:jc w:val="left"/>
            </w:pPr>
            <w:r>
              <w:t xml:space="preserve">Leitura</w:t>
            </w:r>
          </w:p>
        </w:tc>
      </w:tr>
      <w:tr>
        <w:tc>
          <w:tcPr/>
          <w:p>
            <w:pPr>
              <w:pStyle w:val="Compact"/>
              <w:jc w:val="left"/>
            </w:pPr>
            <w:r>
              <w:t xml:space="preserve">1</w:t>
            </w:r>
          </w:p>
        </w:tc>
        <w:tc>
          <w:tcPr/>
          <w:p>
            <w:pPr>
              <w:pStyle w:val="Compact"/>
              <w:jc w:val="left"/>
            </w:pPr>
            <w:r>
              <w:t xml:space="preserve">Portaria 001/2026 (13/03/2026)</w:t>
            </w:r>
          </w:p>
        </w:tc>
        <w:tc>
          <w:tcPr/>
          <w:p>
            <w:pPr>
              <w:pStyle w:val="Compact"/>
              <w:jc w:val="left"/>
            </w:pPr>
            <w:r>
              <w:t xml:space="preserve">AMSA</w:t>
            </w:r>
          </w:p>
        </w:tc>
        <w:tc>
          <w:tcPr/>
          <w:p>
            <w:pPr>
              <w:pStyle w:val="Compact"/>
              <w:jc w:val="left"/>
            </w:pPr>
            <w:r>
              <w:t xml:space="preserve">13/03/2026</w:t>
            </w:r>
          </w:p>
        </w:tc>
        <w:tc>
          <w:tcPr/>
          <w:p>
            <w:pPr>
              <w:pStyle w:val="Compact"/>
              <w:jc w:val="left"/>
            </w:pPr>
            <w:r>
              <w:t xml:space="preserve">Exonera todos os comissionados e funções gratificadas</w:t>
            </w:r>
          </w:p>
        </w:tc>
        <w:tc>
          <w:tcPr/>
          <w:p>
            <w:pPr>
              <w:pStyle w:val="Compact"/>
              <w:jc w:val="left"/>
            </w:pPr>
            <w:r>
              <w:t xml:space="preserve">Contexto (troca de gestão)</w:t>
            </w:r>
          </w:p>
        </w:tc>
        <w:tc>
          <w:tcPr/>
          <w:p>
            <w:pPr>
              <w:pStyle w:val="Compact"/>
              <w:jc w:val="left"/>
            </w:pPr>
            <w:r>
              <w:t xml:space="preserve">Texto</w:t>
            </w:r>
          </w:p>
        </w:tc>
      </w:tr>
      <w:tr>
        <w:tc>
          <w:tcPr/>
          <w:p>
            <w:pPr>
              <w:pStyle w:val="Compact"/>
              <w:jc w:val="left"/>
            </w:pPr>
            <w:r>
              <w:t xml:space="preserve">2</w:t>
            </w:r>
          </w:p>
        </w:tc>
        <w:tc>
          <w:tcPr/>
          <w:p>
            <w:pPr>
              <w:pStyle w:val="Compact"/>
              <w:jc w:val="left"/>
            </w:pPr>
            <w:r>
              <w:t xml:space="preserve">Portaria 002/2026 (13/03/2026)</w:t>
            </w:r>
          </w:p>
        </w:tc>
        <w:tc>
          <w:tcPr/>
          <w:p>
            <w:pPr>
              <w:pStyle w:val="Compact"/>
              <w:jc w:val="left"/>
            </w:pPr>
            <w:r>
              <w:t xml:space="preserve">AMSA</w:t>
            </w:r>
          </w:p>
        </w:tc>
        <w:tc>
          <w:tcPr/>
          <w:p>
            <w:pPr>
              <w:pStyle w:val="Compact"/>
              <w:jc w:val="left"/>
            </w:pPr>
            <w:r>
              <w:t xml:space="preserve">13/03/2026</w:t>
            </w:r>
          </w:p>
        </w:tc>
        <w:tc>
          <w:tcPr/>
          <w:p>
            <w:pPr>
              <w:pStyle w:val="Compact"/>
              <w:jc w:val="left"/>
            </w:pPr>
            <w:r>
              <w:t xml:space="preserve">Nomeia superintendente, ad referendum da Assembleia (art. 30, II, do Estatuto)</w:t>
            </w:r>
          </w:p>
        </w:tc>
        <w:tc>
          <w:tcPr/>
          <w:p>
            <w:pPr>
              <w:pStyle w:val="Compact"/>
              <w:jc w:val="left"/>
            </w:pPr>
            <w:r>
              <w:t xml:space="preserve">Contexto</w:t>
            </w:r>
          </w:p>
        </w:tc>
        <w:tc>
          <w:tcPr/>
          <w:p>
            <w:pPr>
              <w:pStyle w:val="Compact"/>
              <w:jc w:val="left"/>
            </w:pPr>
            <w:r>
              <w:t xml:space="preserve">Texto</w:t>
            </w:r>
          </w:p>
        </w:tc>
      </w:tr>
      <w:tr>
        <w:tc>
          <w:tcPr/>
          <w:p>
            <w:pPr>
              <w:pStyle w:val="Compact"/>
              <w:jc w:val="left"/>
            </w:pPr>
            <w:r>
              <w:t xml:space="preserve">3</w:t>
            </w:r>
          </w:p>
        </w:tc>
        <w:tc>
          <w:tcPr/>
          <w:p>
            <w:pPr>
              <w:pStyle w:val="Compact"/>
              <w:jc w:val="left"/>
            </w:pPr>
            <w:r>
              <w:t xml:space="preserve">Lei 696/2023</w:t>
            </w:r>
          </w:p>
        </w:tc>
        <w:tc>
          <w:tcPr/>
          <w:p>
            <w:pPr>
              <w:pStyle w:val="Compact"/>
              <w:jc w:val="left"/>
            </w:pPr>
            <w:r>
              <w:t xml:space="preserve">Aratuba</w:t>
            </w:r>
          </w:p>
        </w:tc>
        <w:tc>
          <w:tcPr/>
          <w:p>
            <w:pPr>
              <w:pStyle w:val="Compact"/>
              <w:jc w:val="left"/>
            </w:pPr>
            <w:r>
              <w:t xml:space="preserve">06/11/2024</w:t>
            </w:r>
          </w:p>
        </w:tc>
        <w:tc>
          <w:tcPr/>
          <w:p>
            <w:pPr>
              <w:pStyle w:val="Compact"/>
              <w:jc w:val="left"/>
            </w:pPr>
            <w:r>
              <w:t xml:space="preserve">Política Municipal de Resíduos Sólidos (PMRS)</w:t>
            </w:r>
          </w:p>
        </w:tc>
        <w:tc>
          <w:tcPr/>
          <w:p>
            <w:pPr>
              <w:pStyle w:val="Compact"/>
              <w:jc w:val="left"/>
            </w:pPr>
            <w:r>
              <w:t xml:space="preserve">Diretriz de regionalização; sem exclusividade</w:t>
            </w:r>
          </w:p>
        </w:tc>
        <w:tc>
          <w:tcPr/>
          <w:p>
            <w:pPr>
              <w:pStyle w:val="Compact"/>
              <w:jc w:val="left"/>
            </w:pPr>
            <w:r>
              <w:t xml:space="preserve">Texto</w:t>
            </w:r>
          </w:p>
        </w:tc>
      </w:tr>
      <w:tr>
        <w:tc>
          <w:tcPr/>
          <w:p>
            <w:pPr>
              <w:pStyle w:val="Compact"/>
              <w:jc w:val="left"/>
            </w:pPr>
            <w:r>
              <w:t xml:space="preserve">4</w:t>
            </w:r>
          </w:p>
        </w:tc>
        <w:tc>
          <w:tcPr/>
          <w:p>
            <w:pPr>
              <w:pStyle w:val="Compact"/>
              <w:jc w:val="left"/>
            </w:pPr>
            <w:r>
              <w:t xml:space="preserve">Lei 1.161/2018</w:t>
            </w:r>
          </w:p>
        </w:tc>
        <w:tc>
          <w:tcPr/>
          <w:p>
            <w:pPr>
              <w:pStyle w:val="Compact"/>
              <w:jc w:val="left"/>
            </w:pPr>
            <w:r>
              <w:t xml:space="preserve">Capistrano</w:t>
            </w:r>
          </w:p>
        </w:tc>
        <w:tc>
          <w:tcPr/>
          <w:p>
            <w:pPr>
              <w:pStyle w:val="Compact"/>
              <w:jc w:val="left"/>
            </w:pPr>
            <w:r>
              <w:t xml:space="preserve">07/01/2024</w:t>
            </w:r>
          </w:p>
        </w:tc>
        <w:tc>
          <w:tcPr/>
          <w:p>
            <w:pPr>
              <w:pStyle w:val="Compact"/>
              <w:jc w:val="left"/>
            </w:pPr>
            <w:r>
              <w:t xml:space="preserve">Ratifica alteração do contrato de consórcio</w:t>
            </w:r>
          </w:p>
        </w:tc>
        <w:tc>
          <w:tcPr/>
          <w:p>
            <w:pPr>
              <w:pStyle w:val="Compact"/>
              <w:jc w:val="left"/>
            </w:pPr>
            <w:r>
              <w:t xml:space="preserve">Vincula o município ao contrato de 2018</w:t>
            </w:r>
          </w:p>
        </w:tc>
        <w:tc>
          <w:tcPr/>
          <w:p>
            <w:pPr>
              <w:pStyle w:val="Compact"/>
              <w:jc w:val="left"/>
            </w:pPr>
            <w:r>
              <w:t xml:space="preserve">OCR</w:t>
            </w:r>
          </w:p>
        </w:tc>
      </w:tr>
      <w:tr>
        <w:tc>
          <w:tcPr/>
          <w:p>
            <w:pPr>
              <w:pStyle w:val="Compact"/>
              <w:jc w:val="left"/>
            </w:pPr>
            <w:r>
              <w:t xml:space="preserve">5</w:t>
            </w:r>
          </w:p>
        </w:tc>
        <w:tc>
          <w:tcPr/>
          <w:p>
            <w:pPr>
              <w:pStyle w:val="Compact"/>
              <w:jc w:val="left"/>
            </w:pPr>
            <w:r>
              <w:t xml:space="preserve">Lei 1.641/2018</w:t>
            </w:r>
          </w:p>
        </w:tc>
        <w:tc>
          <w:tcPr/>
          <w:p>
            <w:pPr>
              <w:pStyle w:val="Compact"/>
              <w:jc w:val="left"/>
            </w:pPr>
            <w:r>
              <w:t xml:space="preserve">Pacoti</w:t>
            </w:r>
          </w:p>
        </w:tc>
        <w:tc>
          <w:tcPr/>
          <w:p>
            <w:pPr>
              <w:pStyle w:val="Compact"/>
              <w:jc w:val="left"/>
            </w:pPr>
            <w:r>
              <w:t xml:space="preserve">07/01/2024</w:t>
            </w:r>
          </w:p>
        </w:tc>
        <w:tc>
          <w:tcPr/>
          <w:p>
            <w:pPr>
              <w:pStyle w:val="Compact"/>
              <w:jc w:val="left"/>
            </w:pPr>
            <w:r>
              <w:t xml:space="preserve">Ratifica; art. 3.º condiciona a taxa de resíduos</w:t>
            </w:r>
          </w:p>
        </w:tc>
        <w:tc>
          <w:tcPr/>
          <w:p>
            <w:pPr>
              <w:pStyle w:val="Compact"/>
              <w:jc w:val="left"/>
            </w:pPr>
            <w:r>
              <w:t xml:space="preserve">Idem; taxa condicionada ao ICMS socioambiental</w:t>
            </w:r>
          </w:p>
        </w:tc>
        <w:tc>
          <w:tcPr/>
          <w:p>
            <w:pPr>
              <w:pStyle w:val="Compact"/>
              <w:jc w:val="left"/>
            </w:pPr>
            <w:r>
              <w:t xml:space="preserve">OCR</w:t>
            </w:r>
          </w:p>
        </w:tc>
      </w:tr>
      <w:tr>
        <w:tc>
          <w:tcPr/>
          <w:p>
            <w:pPr>
              <w:pStyle w:val="Compact"/>
              <w:jc w:val="left"/>
            </w:pPr>
            <w:r>
              <w:t xml:space="preserve">6</w:t>
            </w:r>
          </w:p>
        </w:tc>
        <w:tc>
          <w:tcPr/>
          <w:p>
            <w:pPr>
              <w:pStyle w:val="Compact"/>
              <w:jc w:val="left"/>
            </w:pPr>
            <w:r>
              <w:t xml:space="preserve">Lei 400/2018</w:t>
            </w:r>
          </w:p>
        </w:tc>
        <w:tc>
          <w:tcPr/>
          <w:p>
            <w:pPr>
              <w:pStyle w:val="Compact"/>
              <w:jc w:val="left"/>
            </w:pPr>
            <w:r>
              <w:t xml:space="preserve">Palmácia</w:t>
            </w:r>
          </w:p>
        </w:tc>
        <w:tc>
          <w:tcPr/>
          <w:p>
            <w:pPr>
              <w:pStyle w:val="Compact"/>
              <w:jc w:val="left"/>
            </w:pPr>
            <w:r>
              <w:t xml:space="preserve">07/01/2024</w:t>
            </w:r>
          </w:p>
        </w:tc>
        <w:tc>
          <w:tcPr/>
          <w:p>
            <w:pPr>
              <w:pStyle w:val="Compact"/>
              <w:jc w:val="left"/>
            </w:pPr>
            <w:r>
              <w:t xml:space="preserve">Ratifica (67 p., com anexo)</w:t>
            </w:r>
          </w:p>
        </w:tc>
        <w:tc>
          <w:tcPr/>
          <w:p>
            <w:pPr>
              <w:pStyle w:val="Compact"/>
              <w:jc w:val="left"/>
            </w:pPr>
            <w:r>
              <w:t xml:space="preserve">Idem</w:t>
            </w:r>
          </w:p>
        </w:tc>
        <w:tc>
          <w:tcPr/>
          <w:p>
            <w:pPr>
              <w:pStyle w:val="Compact"/>
              <w:jc w:val="left"/>
            </w:pPr>
            <w:r>
              <w:t xml:space="preserve">Não lida (escaneada; mesmo anexo de Mulungu)</w:t>
            </w:r>
          </w:p>
        </w:tc>
      </w:tr>
      <w:tr>
        <w:tc>
          <w:tcPr/>
          <w:p>
            <w:pPr>
              <w:pStyle w:val="Compact"/>
              <w:jc w:val="left"/>
            </w:pPr>
            <w:r>
              <w:t xml:space="preserve">7</w:t>
            </w:r>
          </w:p>
        </w:tc>
        <w:tc>
          <w:tcPr/>
          <w:p>
            <w:pPr>
              <w:pStyle w:val="Compact"/>
              <w:jc w:val="left"/>
            </w:pPr>
            <w:r>
              <w:t xml:space="preserve">Lei 334/2018</w:t>
            </w:r>
          </w:p>
        </w:tc>
        <w:tc>
          <w:tcPr/>
          <w:p>
            <w:pPr>
              <w:pStyle w:val="Compact"/>
              <w:jc w:val="left"/>
            </w:pPr>
            <w:r>
              <w:t xml:space="preserve">Mulungu</w:t>
            </w:r>
          </w:p>
        </w:tc>
        <w:tc>
          <w:tcPr/>
          <w:p>
            <w:pPr>
              <w:pStyle w:val="Compact"/>
              <w:jc w:val="left"/>
            </w:pPr>
            <w:r>
              <w:t xml:space="preserve">07/01/2024</w:t>
            </w:r>
          </w:p>
        </w:tc>
        <w:tc>
          <w:tcPr/>
          <w:p>
            <w:pPr>
              <w:pStyle w:val="Compact"/>
              <w:jc w:val="left"/>
            </w:pPr>
            <w:r>
              <w:t xml:space="preserve">Ratifica; anexa o Instrumento de Alteração do Contrato de Consórcio (68 p.)</w:t>
            </w:r>
          </w:p>
        </w:tc>
        <w:tc>
          <w:tcPr/>
          <w:p>
            <w:pPr>
              <w:pStyle w:val="Compact"/>
              <w:jc w:val="left"/>
            </w:pPr>
            <w:r>
              <w:t xml:space="preserve">Fonte do contrato de consórcio</w:t>
            </w:r>
          </w:p>
        </w:tc>
        <w:tc>
          <w:tcPr/>
          <w:p>
            <w:pPr>
              <w:pStyle w:val="Compact"/>
              <w:jc w:val="left"/>
            </w:pPr>
            <w:r>
              <w:t xml:space="preserve">Imagem, integral</w:t>
            </w:r>
          </w:p>
        </w:tc>
      </w:tr>
      <w:tr>
        <w:tc>
          <w:tcPr/>
          <w:p>
            <w:pPr>
              <w:pStyle w:val="Compact"/>
              <w:jc w:val="left"/>
            </w:pPr>
            <w:r>
              <w:t xml:space="preserve">8</w:t>
            </w:r>
          </w:p>
        </w:tc>
        <w:tc>
          <w:tcPr/>
          <w:p>
            <w:pPr>
              <w:pStyle w:val="Compact"/>
              <w:jc w:val="left"/>
            </w:pPr>
            <w:r>
              <w:t xml:space="preserve">Lei 848/2018</w:t>
            </w:r>
          </w:p>
        </w:tc>
        <w:tc>
          <w:tcPr/>
          <w:p>
            <w:pPr>
              <w:pStyle w:val="Compact"/>
              <w:jc w:val="left"/>
            </w:pPr>
            <w:r>
              <w:t xml:space="preserve">Itapiúna</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Vincula</w:t>
            </w:r>
          </w:p>
        </w:tc>
        <w:tc>
          <w:tcPr/>
          <w:p>
            <w:pPr>
              <w:pStyle w:val="Compact"/>
              <w:jc w:val="left"/>
            </w:pPr>
            <w:r>
              <w:t xml:space="preserve">OCR</w:t>
            </w:r>
          </w:p>
        </w:tc>
      </w:tr>
      <w:tr>
        <w:tc>
          <w:tcPr/>
          <w:p>
            <w:pPr>
              <w:pStyle w:val="Compact"/>
              <w:jc w:val="left"/>
            </w:pPr>
            <w:r>
              <w:t xml:space="preserve">9</w:t>
            </w:r>
          </w:p>
        </w:tc>
        <w:tc>
          <w:tcPr/>
          <w:p>
            <w:pPr>
              <w:pStyle w:val="Compact"/>
              <w:jc w:val="left"/>
            </w:pPr>
            <w:r>
              <w:t xml:space="preserve">Lei 561/2018</w:t>
            </w:r>
          </w:p>
        </w:tc>
        <w:tc>
          <w:tcPr/>
          <w:p>
            <w:pPr>
              <w:pStyle w:val="Compact"/>
              <w:jc w:val="left"/>
            </w:pPr>
            <w:r>
              <w:t xml:space="preserve">Aratuba</w:t>
            </w:r>
          </w:p>
        </w:tc>
        <w:tc>
          <w:tcPr/>
          <w:p>
            <w:pPr>
              <w:pStyle w:val="Compact"/>
              <w:jc w:val="left"/>
            </w:pPr>
            <w:r>
              <w:t xml:space="preserve">07/01/2024</w:t>
            </w:r>
          </w:p>
        </w:tc>
        <w:tc>
          <w:tcPr/>
          <w:p>
            <w:pPr>
              <w:pStyle w:val="Compact"/>
              <w:jc w:val="left"/>
            </w:pPr>
            <w:r>
              <w:t xml:space="preserve">Ratifica; revoga a Lei 1.320/2007</w:t>
            </w:r>
          </w:p>
        </w:tc>
        <w:tc>
          <w:tcPr/>
          <w:p>
            <w:pPr>
              <w:pStyle w:val="Compact"/>
              <w:jc w:val="left"/>
            </w:pPr>
            <w:r>
              <w:t xml:space="preserve">Vincula</w:t>
            </w:r>
          </w:p>
        </w:tc>
        <w:tc>
          <w:tcPr/>
          <w:p>
            <w:pPr>
              <w:pStyle w:val="Compact"/>
              <w:jc w:val="left"/>
            </w:pPr>
            <w:r>
              <w:t xml:space="preserve">OCR</w:t>
            </w:r>
          </w:p>
        </w:tc>
      </w:tr>
      <w:tr>
        <w:tc>
          <w:tcPr/>
          <w:p>
            <w:pPr>
              <w:pStyle w:val="Compact"/>
              <w:jc w:val="left"/>
            </w:pPr>
            <w:r>
              <w:t xml:space="preserve">10</w:t>
            </w:r>
          </w:p>
        </w:tc>
        <w:tc>
          <w:tcPr/>
          <w:p>
            <w:pPr>
              <w:pStyle w:val="Compact"/>
              <w:jc w:val="left"/>
            </w:pPr>
            <w:r>
              <w:t xml:space="preserve">Lei 538/2018</w:t>
            </w:r>
          </w:p>
        </w:tc>
        <w:tc>
          <w:tcPr/>
          <w:p>
            <w:pPr>
              <w:pStyle w:val="Compact"/>
              <w:jc w:val="left"/>
            </w:pPr>
            <w:r>
              <w:t xml:space="preserve">Acarape</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Vincula</w:t>
            </w:r>
          </w:p>
        </w:tc>
        <w:tc>
          <w:tcPr/>
          <w:p>
            <w:pPr>
              <w:pStyle w:val="Compact"/>
              <w:jc w:val="left"/>
            </w:pPr>
            <w:r>
              <w:t xml:space="preserve">OCR</w:t>
            </w:r>
          </w:p>
        </w:tc>
      </w:tr>
      <w:tr>
        <w:tc>
          <w:tcPr/>
          <w:p>
            <w:pPr>
              <w:pStyle w:val="Compact"/>
              <w:jc w:val="left"/>
            </w:pPr>
            <w:r>
              <w:t xml:space="preserve">11</w:t>
            </w:r>
          </w:p>
        </w:tc>
        <w:tc>
          <w:tcPr/>
          <w:p>
            <w:pPr>
              <w:pStyle w:val="Compact"/>
              <w:jc w:val="left"/>
            </w:pPr>
            <w:r>
              <w:t xml:space="preserve">Lei 1.682/2018</w:t>
            </w:r>
          </w:p>
        </w:tc>
        <w:tc>
          <w:tcPr/>
          <w:p>
            <w:pPr>
              <w:pStyle w:val="Compact"/>
              <w:jc w:val="left"/>
            </w:pPr>
            <w:r>
              <w:t xml:space="preserve">Redenção</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Vincula</w:t>
            </w:r>
          </w:p>
        </w:tc>
        <w:tc>
          <w:tcPr/>
          <w:p>
            <w:pPr>
              <w:pStyle w:val="Compact"/>
              <w:jc w:val="left"/>
            </w:pPr>
            <w:r>
              <w:t xml:space="preserve">OCR</w:t>
            </w:r>
          </w:p>
        </w:tc>
      </w:tr>
      <w:tr>
        <w:tc>
          <w:tcPr/>
          <w:p>
            <w:pPr>
              <w:pStyle w:val="Compact"/>
              <w:jc w:val="left"/>
            </w:pPr>
            <w:r>
              <w:t xml:space="preserve">12</w:t>
            </w:r>
          </w:p>
        </w:tc>
        <w:tc>
          <w:tcPr/>
          <w:p>
            <w:pPr>
              <w:pStyle w:val="Compact"/>
              <w:jc w:val="left"/>
            </w:pPr>
            <w:r>
              <w:t xml:space="preserve">Lei 399/2018</w:t>
            </w:r>
          </w:p>
        </w:tc>
        <w:tc>
          <w:tcPr/>
          <w:p>
            <w:pPr>
              <w:pStyle w:val="Compact"/>
              <w:jc w:val="left"/>
            </w:pPr>
            <w:r>
              <w:t xml:space="preserve">Palmácia</w:t>
            </w:r>
          </w:p>
        </w:tc>
        <w:tc>
          <w:tcPr/>
          <w:p>
            <w:pPr>
              <w:pStyle w:val="Compact"/>
              <w:jc w:val="left"/>
            </w:pPr>
            <w:r>
              <w:t xml:space="preserve">07/01/2024</w:t>
            </w:r>
          </w:p>
        </w:tc>
        <w:tc>
          <w:tcPr/>
          <w:p>
            <w:pPr>
              <w:pStyle w:val="Compact"/>
              <w:jc w:val="left"/>
            </w:pPr>
            <w:r>
              <w:t xml:space="preserve">Cria o Fundo Municipal de Meio Ambiente</w:t>
            </w:r>
          </w:p>
        </w:tc>
        <w:tc>
          <w:tcPr/>
          <w:p>
            <w:pPr>
              <w:pStyle w:val="Compact"/>
              <w:jc w:val="left"/>
            </w:pPr>
            <w:r>
              <w:t xml:space="preserve">Receptor do ICMS socioambiental</w:t>
            </w:r>
          </w:p>
        </w:tc>
        <w:tc>
          <w:tcPr/>
          <w:p>
            <w:pPr>
              <w:pStyle w:val="Compact"/>
              <w:jc w:val="left"/>
            </w:pPr>
            <w:r>
              <w:t xml:space="preserve">OCR parcial</w:t>
            </w:r>
          </w:p>
        </w:tc>
      </w:tr>
      <w:tr>
        <w:tc>
          <w:tcPr/>
          <w:p>
            <w:pPr>
              <w:pStyle w:val="Compact"/>
              <w:jc w:val="left"/>
            </w:pPr>
            <w:r>
              <w:t xml:space="preserve">13</w:t>
            </w:r>
          </w:p>
        </w:tc>
        <w:tc>
          <w:tcPr/>
          <w:p>
            <w:pPr>
              <w:pStyle w:val="Compact"/>
              <w:jc w:val="left"/>
            </w:pPr>
            <w:r>
              <w:t xml:space="preserve">Lei 341/2018</w:t>
            </w:r>
          </w:p>
        </w:tc>
        <w:tc>
          <w:tcPr/>
          <w:p>
            <w:pPr>
              <w:pStyle w:val="Compact"/>
              <w:jc w:val="left"/>
            </w:pPr>
            <w:r>
              <w:t xml:space="preserve">Guaramiranga</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Município retirado em 26/06/2026</w:t>
            </w:r>
          </w:p>
        </w:tc>
        <w:tc>
          <w:tcPr/>
          <w:p>
            <w:pPr>
              <w:pStyle w:val="Compact"/>
              <w:jc w:val="left"/>
            </w:pPr>
            <w:r>
              <w:t xml:space="preserve">OCR</w:t>
            </w:r>
          </w:p>
        </w:tc>
      </w:tr>
      <w:tr>
        <w:tc>
          <w:tcPr/>
          <w:p>
            <w:pPr>
              <w:pStyle w:val="Compact"/>
              <w:jc w:val="left"/>
            </w:pPr>
            <w:r>
              <w:t xml:space="preserve">14</w:t>
            </w:r>
          </w:p>
        </w:tc>
        <w:tc>
          <w:tcPr/>
          <w:p>
            <w:pPr>
              <w:pStyle w:val="Compact"/>
              <w:jc w:val="left"/>
            </w:pPr>
            <w:r>
              <w:t xml:space="preserve">Lei 1.802/2018</w:t>
            </w:r>
          </w:p>
        </w:tc>
        <w:tc>
          <w:tcPr/>
          <w:p>
            <w:pPr>
              <w:pStyle w:val="Compact"/>
              <w:jc w:val="left"/>
            </w:pPr>
            <w:r>
              <w:t xml:space="preserve">Baturité</w:t>
            </w:r>
          </w:p>
        </w:tc>
        <w:tc>
          <w:tcPr/>
          <w:p>
            <w:pPr>
              <w:pStyle w:val="Compact"/>
              <w:jc w:val="left"/>
            </w:pPr>
            <w:r>
              <w:t xml:space="preserve">07/01/2024</w:t>
            </w:r>
          </w:p>
        </w:tc>
        <w:tc>
          <w:tcPr/>
          <w:p>
            <w:pPr>
              <w:pStyle w:val="Compact"/>
              <w:jc w:val="left"/>
            </w:pPr>
            <w:r>
              <w:t xml:space="preserve">Ratifica; altera a Lei 1.320/2007; art. 3.º condiciona a taxa</w:t>
            </w:r>
          </w:p>
        </w:tc>
        <w:tc>
          <w:tcPr/>
          <w:p>
            <w:pPr>
              <w:pStyle w:val="Compact"/>
              <w:jc w:val="left"/>
            </w:pPr>
            <w:r>
              <w:t xml:space="preserve">Município retirado em 26/06/2026</w:t>
            </w:r>
          </w:p>
        </w:tc>
        <w:tc>
          <w:tcPr/>
          <w:p>
            <w:pPr>
              <w:pStyle w:val="Compact"/>
              <w:jc w:val="left"/>
            </w:pPr>
            <w:r>
              <w:t xml:space="preserve">OCR</w:t>
            </w:r>
          </w:p>
        </w:tc>
      </w:tr>
      <w:tr>
        <w:tc>
          <w:tcPr/>
          <w:p>
            <w:pPr>
              <w:pStyle w:val="Compact"/>
              <w:jc w:val="left"/>
            </w:pPr>
            <w:r>
              <w:t xml:space="preserve">15</w:t>
            </w:r>
          </w:p>
        </w:tc>
        <w:tc>
          <w:tcPr/>
          <w:p>
            <w:pPr>
              <w:pStyle w:val="Compact"/>
              <w:jc w:val="left"/>
            </w:pPr>
            <w:r>
              <w:t xml:space="preserve">Lei 1.254/2018</w:t>
            </w:r>
          </w:p>
        </w:tc>
        <w:tc>
          <w:tcPr/>
          <w:p>
            <w:pPr>
              <w:pStyle w:val="Compact"/>
              <w:jc w:val="left"/>
            </w:pPr>
            <w:r>
              <w:t xml:space="preserve">Aracoiaba</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Vincula</w:t>
            </w:r>
          </w:p>
        </w:tc>
        <w:tc>
          <w:tcPr/>
          <w:p>
            <w:pPr>
              <w:pStyle w:val="Compact"/>
              <w:jc w:val="left"/>
            </w:pPr>
            <w:r>
              <w:t xml:space="preserve">Texto</w:t>
            </w:r>
          </w:p>
        </w:tc>
      </w:tr>
      <w:tr>
        <w:tc>
          <w:tcPr/>
          <w:p>
            <w:pPr>
              <w:pStyle w:val="Compact"/>
              <w:jc w:val="left"/>
            </w:pPr>
            <w:r>
              <w:t xml:space="preserve">16</w:t>
            </w:r>
          </w:p>
        </w:tc>
        <w:tc>
          <w:tcPr/>
          <w:p>
            <w:pPr>
              <w:pStyle w:val="Compact"/>
              <w:jc w:val="left"/>
            </w:pPr>
            <w:r>
              <w:t xml:space="preserve">Lei 593/2018</w:t>
            </w:r>
          </w:p>
        </w:tc>
        <w:tc>
          <w:tcPr/>
          <w:p>
            <w:pPr>
              <w:pStyle w:val="Compact"/>
              <w:jc w:val="left"/>
            </w:pPr>
            <w:r>
              <w:t xml:space="preserve">Barreira</w:t>
            </w:r>
          </w:p>
        </w:tc>
        <w:tc>
          <w:tcPr/>
          <w:p>
            <w:pPr>
              <w:pStyle w:val="Compact"/>
              <w:jc w:val="left"/>
            </w:pPr>
            <w:r>
              <w:t xml:space="preserve">07/01/2024</w:t>
            </w:r>
          </w:p>
        </w:tc>
        <w:tc>
          <w:tcPr/>
          <w:p>
            <w:pPr>
              <w:pStyle w:val="Compact"/>
              <w:jc w:val="left"/>
            </w:pPr>
            <w:r>
              <w:t xml:space="preserve">Ratifica</w:t>
            </w:r>
          </w:p>
        </w:tc>
        <w:tc>
          <w:tcPr/>
          <w:p>
            <w:pPr>
              <w:pStyle w:val="Compact"/>
              <w:jc w:val="left"/>
            </w:pPr>
            <w:r>
              <w:t xml:space="preserve">Vincula</w:t>
            </w:r>
          </w:p>
        </w:tc>
        <w:tc>
          <w:tcPr/>
          <w:p>
            <w:pPr>
              <w:pStyle w:val="Compact"/>
              <w:jc w:val="left"/>
            </w:pPr>
            <w:r>
              <w:t xml:space="preserve">OCR</w:t>
            </w:r>
          </w:p>
        </w:tc>
      </w:tr>
      <w:tr>
        <w:tc>
          <w:tcPr/>
          <w:p>
            <w:pPr>
              <w:pStyle w:val="Compact"/>
              <w:jc w:val="left"/>
            </w:pPr>
            <w:r>
              <w:t xml:space="preserve">17</w:t>
            </w:r>
          </w:p>
        </w:tc>
        <w:tc>
          <w:tcPr/>
          <w:p>
            <w:pPr>
              <w:pStyle w:val="Compact"/>
              <w:jc w:val="left"/>
            </w:pPr>
            <w:r>
              <w:t xml:space="preserve">Lei 1.186/2019</w:t>
            </w:r>
          </w:p>
        </w:tc>
        <w:tc>
          <w:tcPr/>
          <w:p>
            <w:pPr>
              <w:pStyle w:val="Compact"/>
              <w:jc w:val="left"/>
            </w:pPr>
            <w:r>
              <w:t xml:space="preserve">Capistrano</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Diretriz de regionalização</w:t>
            </w:r>
          </w:p>
        </w:tc>
        <w:tc>
          <w:tcPr/>
          <w:p>
            <w:pPr>
              <w:pStyle w:val="Compact"/>
              <w:jc w:val="left"/>
            </w:pPr>
            <w:r>
              <w:t xml:space="preserve">Texto</w:t>
            </w:r>
          </w:p>
        </w:tc>
      </w:tr>
      <w:tr>
        <w:tc>
          <w:tcPr/>
          <w:p>
            <w:pPr>
              <w:pStyle w:val="Compact"/>
              <w:jc w:val="left"/>
            </w:pPr>
            <w:r>
              <w:t xml:space="preserve">18</w:t>
            </w:r>
          </w:p>
        </w:tc>
        <w:tc>
          <w:tcPr/>
          <w:p>
            <w:pPr>
              <w:pStyle w:val="Compact"/>
              <w:jc w:val="left"/>
            </w:pPr>
            <w:r>
              <w:t xml:space="preserve">Lei 424/2023</w:t>
            </w:r>
          </w:p>
        </w:tc>
        <w:tc>
          <w:tcPr/>
          <w:p>
            <w:pPr>
              <w:pStyle w:val="Compact"/>
              <w:jc w:val="left"/>
            </w:pPr>
            <w:r>
              <w:t xml:space="preserve">Guaramiranga</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Texto</w:t>
            </w:r>
          </w:p>
        </w:tc>
      </w:tr>
      <w:tr>
        <w:tc>
          <w:tcPr/>
          <w:p>
            <w:pPr>
              <w:pStyle w:val="Compact"/>
              <w:jc w:val="left"/>
            </w:pPr>
            <w:r>
              <w:t xml:space="preserve">19</w:t>
            </w:r>
          </w:p>
        </w:tc>
        <w:tc>
          <w:tcPr/>
          <w:p>
            <w:pPr>
              <w:pStyle w:val="Compact"/>
              <w:jc w:val="left"/>
            </w:pPr>
            <w:r>
              <w:t xml:space="preserve">Lei 463/2023</w:t>
            </w:r>
          </w:p>
        </w:tc>
        <w:tc>
          <w:tcPr/>
          <w:p>
            <w:pPr>
              <w:pStyle w:val="Compact"/>
              <w:jc w:val="left"/>
            </w:pPr>
            <w:r>
              <w:t xml:space="preserve">Mulungu</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OCR</w:t>
            </w:r>
          </w:p>
        </w:tc>
      </w:tr>
      <w:tr>
        <w:tc>
          <w:tcPr/>
          <w:p>
            <w:pPr>
              <w:pStyle w:val="Compact"/>
              <w:jc w:val="left"/>
            </w:pPr>
            <w:r>
              <w:t xml:space="preserve">20</w:t>
            </w:r>
          </w:p>
        </w:tc>
        <w:tc>
          <w:tcPr/>
          <w:p>
            <w:pPr>
              <w:pStyle w:val="Compact"/>
              <w:jc w:val="left"/>
            </w:pPr>
            <w:r>
              <w:t xml:space="preserve">Lei 528/2023</w:t>
            </w:r>
          </w:p>
        </w:tc>
        <w:tc>
          <w:tcPr/>
          <w:p>
            <w:pPr>
              <w:pStyle w:val="Compact"/>
              <w:jc w:val="left"/>
            </w:pPr>
            <w:r>
              <w:t xml:space="preserve">Palmácia</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Texto</w:t>
            </w:r>
          </w:p>
        </w:tc>
      </w:tr>
      <w:tr>
        <w:tc>
          <w:tcPr/>
          <w:p>
            <w:pPr>
              <w:pStyle w:val="Compact"/>
              <w:jc w:val="left"/>
            </w:pPr>
            <w:r>
              <w:t xml:space="preserve">21</w:t>
            </w:r>
          </w:p>
        </w:tc>
        <w:tc>
          <w:tcPr/>
          <w:p>
            <w:pPr>
              <w:pStyle w:val="Compact"/>
              <w:jc w:val="left"/>
            </w:pPr>
            <w:r>
              <w:t xml:space="preserve">Lei 543/2015</w:t>
            </w:r>
          </w:p>
        </w:tc>
        <w:tc>
          <w:tcPr/>
          <w:p>
            <w:pPr>
              <w:pStyle w:val="Compact"/>
              <w:jc w:val="left"/>
            </w:pPr>
            <w:r>
              <w:t xml:space="preserve">Barreira</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 (art. 30 reproduz o art. 45 da PNRS)</w:t>
            </w:r>
          </w:p>
        </w:tc>
        <w:tc>
          <w:tcPr/>
          <w:p>
            <w:pPr>
              <w:pStyle w:val="Compact"/>
              <w:jc w:val="left"/>
            </w:pPr>
            <w:r>
              <w:t xml:space="preserve">OCR</w:t>
            </w:r>
          </w:p>
        </w:tc>
      </w:tr>
      <w:tr>
        <w:tc>
          <w:tcPr/>
          <w:p>
            <w:pPr>
              <w:pStyle w:val="Compact"/>
              <w:jc w:val="left"/>
            </w:pPr>
            <w:r>
              <w:t xml:space="preserve">22</w:t>
            </w:r>
          </w:p>
        </w:tc>
        <w:tc>
          <w:tcPr/>
          <w:p>
            <w:pPr>
              <w:pStyle w:val="Compact"/>
              <w:jc w:val="left"/>
            </w:pPr>
            <w:r>
              <w:t xml:space="preserve">Lei 662/2023</w:t>
            </w:r>
          </w:p>
        </w:tc>
        <w:tc>
          <w:tcPr/>
          <w:p>
            <w:pPr>
              <w:pStyle w:val="Compact"/>
              <w:jc w:val="left"/>
            </w:pPr>
            <w:r>
              <w:t xml:space="preserve">Acarape</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OCR</w:t>
            </w:r>
          </w:p>
        </w:tc>
      </w:tr>
      <w:tr>
        <w:tc>
          <w:tcPr/>
          <w:p>
            <w:pPr>
              <w:pStyle w:val="Compact"/>
              <w:jc w:val="left"/>
            </w:pPr>
            <w:r>
              <w:t xml:space="preserve">23</w:t>
            </w:r>
          </w:p>
        </w:tc>
        <w:tc>
          <w:tcPr/>
          <w:p>
            <w:pPr>
              <w:pStyle w:val="Compact"/>
              <w:jc w:val="left"/>
            </w:pPr>
            <w:r>
              <w:t xml:space="preserve">Lei 952/2023</w:t>
            </w:r>
          </w:p>
        </w:tc>
        <w:tc>
          <w:tcPr/>
          <w:p>
            <w:pPr>
              <w:pStyle w:val="Compact"/>
              <w:jc w:val="left"/>
            </w:pPr>
            <w:r>
              <w:t xml:space="preserve">Itapiúna</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OCR</w:t>
            </w:r>
          </w:p>
        </w:tc>
      </w:tr>
      <w:tr>
        <w:tc>
          <w:tcPr/>
          <w:p>
            <w:pPr>
              <w:pStyle w:val="Compact"/>
              <w:jc w:val="left"/>
            </w:pPr>
            <w:r>
              <w:t xml:space="preserve">24</w:t>
            </w:r>
          </w:p>
        </w:tc>
        <w:tc>
          <w:tcPr/>
          <w:p>
            <w:pPr>
              <w:pStyle w:val="Compact"/>
              <w:jc w:val="left"/>
            </w:pPr>
            <w:r>
              <w:t xml:space="preserve">Lei 1.399/2023</w:t>
            </w:r>
          </w:p>
        </w:tc>
        <w:tc>
          <w:tcPr/>
          <w:p>
            <w:pPr>
              <w:pStyle w:val="Compact"/>
              <w:jc w:val="left"/>
            </w:pPr>
            <w:r>
              <w:t xml:space="preserve">Aracoiaba</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Texto</w:t>
            </w:r>
          </w:p>
        </w:tc>
      </w:tr>
      <w:tr>
        <w:tc>
          <w:tcPr/>
          <w:p>
            <w:pPr>
              <w:pStyle w:val="Compact"/>
              <w:jc w:val="left"/>
            </w:pPr>
            <w:r>
              <w:t xml:space="preserve">25</w:t>
            </w:r>
          </w:p>
        </w:tc>
        <w:tc>
          <w:tcPr/>
          <w:p>
            <w:pPr>
              <w:pStyle w:val="Compact"/>
              <w:jc w:val="left"/>
            </w:pPr>
            <w:r>
              <w:t xml:space="preserve">Lei 1.744/2023</w:t>
            </w:r>
          </w:p>
        </w:tc>
        <w:tc>
          <w:tcPr/>
          <w:p>
            <w:pPr>
              <w:pStyle w:val="Compact"/>
              <w:jc w:val="left"/>
            </w:pPr>
            <w:r>
              <w:t xml:space="preserve">Pacoti</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Texto</w:t>
            </w:r>
          </w:p>
        </w:tc>
      </w:tr>
      <w:tr>
        <w:tc>
          <w:tcPr/>
          <w:p>
            <w:pPr>
              <w:pStyle w:val="Compact"/>
              <w:jc w:val="left"/>
            </w:pPr>
            <w:r>
              <w:t xml:space="preserve">26</w:t>
            </w:r>
          </w:p>
        </w:tc>
        <w:tc>
          <w:tcPr/>
          <w:p>
            <w:pPr>
              <w:pStyle w:val="Compact"/>
              <w:jc w:val="left"/>
            </w:pPr>
            <w:r>
              <w:t xml:space="preserve">Lei 1.878/2023</w:t>
            </w:r>
          </w:p>
        </w:tc>
        <w:tc>
          <w:tcPr/>
          <w:p>
            <w:pPr>
              <w:pStyle w:val="Compact"/>
              <w:jc w:val="left"/>
            </w:pPr>
            <w:r>
              <w:t xml:space="preserve">Redenção</w:t>
            </w:r>
          </w:p>
        </w:tc>
        <w:tc>
          <w:tcPr/>
          <w:p>
            <w:pPr>
              <w:pStyle w:val="Compact"/>
              <w:jc w:val="left"/>
            </w:pPr>
            <w:r>
              <w:t xml:space="preserve">06/01/2024</w:t>
            </w:r>
          </w:p>
        </w:tc>
        <w:tc>
          <w:tcPr/>
          <w:p>
            <w:pPr>
              <w:pStyle w:val="Compact"/>
              <w:jc w:val="left"/>
            </w:pPr>
            <w:r>
              <w:t xml:space="preserve">PMRS</w:t>
            </w:r>
          </w:p>
        </w:tc>
        <w:tc>
          <w:tcPr/>
          <w:p>
            <w:pPr>
              <w:pStyle w:val="Compact"/>
              <w:jc w:val="left"/>
            </w:pPr>
            <w:r>
              <w:t xml:space="preserve">Idem</w:t>
            </w:r>
          </w:p>
        </w:tc>
        <w:tc>
          <w:tcPr/>
          <w:p>
            <w:pPr>
              <w:pStyle w:val="Compact"/>
              <w:jc w:val="left"/>
            </w:pPr>
            <w:r>
              <w:t xml:space="preserve">Texto</w:t>
            </w:r>
          </w:p>
        </w:tc>
      </w:tr>
      <w:tr>
        <w:tc>
          <w:tcPr/>
          <w:p>
            <w:pPr>
              <w:pStyle w:val="Compact"/>
              <w:jc w:val="left"/>
            </w:pPr>
            <w:r>
              <w:t xml:space="preserve">27</w:t>
            </w:r>
          </w:p>
        </w:tc>
        <w:tc>
          <w:tcPr/>
          <w:p>
            <w:pPr>
              <w:pStyle w:val="Compact"/>
              <w:jc w:val="left"/>
            </w:pPr>
            <w:r>
              <w:t xml:space="preserve">Lei 607/2021</w:t>
            </w:r>
          </w:p>
        </w:tc>
        <w:tc>
          <w:tcPr/>
          <w:p>
            <w:pPr>
              <w:pStyle w:val="Compact"/>
              <w:jc w:val="left"/>
            </w:pPr>
            <w:r>
              <w:t xml:space="preserve">Acarape</w:t>
            </w:r>
          </w:p>
        </w:tc>
        <w:tc>
          <w:tcPr/>
          <w:p>
            <w:pPr>
              <w:pStyle w:val="Compact"/>
              <w:jc w:val="left"/>
            </w:pPr>
            <w:r>
              <w:t xml:space="preserve">06/01/2024</w:t>
            </w:r>
          </w:p>
        </w:tc>
        <w:tc>
          <w:tcPr/>
          <w:p>
            <w:pPr>
              <w:pStyle w:val="Compact"/>
              <w:jc w:val="left"/>
            </w:pPr>
            <w:r>
              <w:t xml:space="preserve">Fundo Municipal de Meio Ambiente</w:t>
            </w:r>
          </w:p>
        </w:tc>
        <w:tc>
          <w:tcPr/>
          <w:p>
            <w:pPr>
              <w:pStyle w:val="Compact"/>
              <w:jc w:val="left"/>
            </w:pPr>
            <w:r>
              <w:t xml:space="preserve">Receptor do ICMS socioambiental</w:t>
            </w:r>
          </w:p>
        </w:tc>
        <w:tc>
          <w:tcPr/>
          <w:p>
            <w:pPr>
              <w:pStyle w:val="Compact"/>
              <w:jc w:val="left"/>
            </w:pPr>
            <w:r>
              <w:t xml:space="preserve">OCR</w:t>
            </w:r>
          </w:p>
        </w:tc>
      </w:tr>
      <w:tr>
        <w:tc>
          <w:tcPr/>
          <w:p>
            <w:pPr>
              <w:pStyle w:val="Compact"/>
              <w:jc w:val="left"/>
            </w:pPr>
            <w:r>
              <w:t xml:space="preserve">28</w:t>
            </w:r>
          </w:p>
        </w:tc>
        <w:tc>
          <w:tcPr/>
          <w:p>
            <w:pPr>
              <w:pStyle w:val="Compact"/>
              <w:jc w:val="left"/>
            </w:pPr>
            <w:r>
              <w:t xml:space="preserve">Lei 563/2018</w:t>
            </w:r>
          </w:p>
        </w:tc>
        <w:tc>
          <w:tcPr/>
          <w:p>
            <w:pPr>
              <w:pStyle w:val="Compact"/>
              <w:jc w:val="left"/>
            </w:pPr>
            <w:r>
              <w:t xml:space="preserve">Aratuba</w:t>
            </w:r>
          </w:p>
        </w:tc>
        <w:tc>
          <w:tcPr/>
          <w:p>
            <w:pPr>
              <w:pStyle w:val="Compact"/>
              <w:jc w:val="left"/>
            </w:pPr>
            <w:r>
              <w:t xml:space="preserve">05/01/2024</w:t>
            </w:r>
          </w:p>
        </w:tc>
        <w:tc>
          <w:tcPr/>
          <w:p>
            <w:pPr>
              <w:pStyle w:val="Compact"/>
              <w:jc w:val="left"/>
            </w:pPr>
            <w:r>
              <w:t xml:space="preserve">Fundo Municipal de Meio Ambiente</w:t>
            </w:r>
          </w:p>
        </w:tc>
        <w:tc>
          <w:tcPr/>
          <w:p>
            <w:pPr>
              <w:pStyle w:val="Compact"/>
              <w:jc w:val="left"/>
            </w:pPr>
            <w:r>
              <w:t xml:space="preserve">Idem</w:t>
            </w:r>
          </w:p>
        </w:tc>
        <w:tc>
          <w:tcPr/>
          <w:p>
            <w:pPr>
              <w:pStyle w:val="Compact"/>
              <w:jc w:val="left"/>
            </w:pPr>
            <w:r>
              <w:t xml:space="preserve">Não lida (OCR pendente)</w:t>
            </w:r>
          </w:p>
        </w:tc>
      </w:tr>
      <w:tr>
        <w:tc>
          <w:tcPr/>
          <w:p>
            <w:pPr>
              <w:pStyle w:val="Compact"/>
              <w:jc w:val="left"/>
            </w:pPr>
            <w:r>
              <w:t xml:space="preserve">29</w:t>
            </w:r>
          </w:p>
        </w:tc>
        <w:tc>
          <w:tcPr/>
          <w:p>
            <w:pPr>
              <w:pStyle w:val="Compact"/>
              <w:jc w:val="left"/>
            </w:pPr>
            <w:r>
              <w:t xml:space="preserve">Lei 1.681/2018</w:t>
            </w:r>
          </w:p>
        </w:tc>
        <w:tc>
          <w:tcPr/>
          <w:p>
            <w:pPr>
              <w:pStyle w:val="Compact"/>
              <w:jc w:val="left"/>
            </w:pPr>
            <w:r>
              <w:t xml:space="preserve">Redenção</w:t>
            </w:r>
          </w:p>
        </w:tc>
        <w:tc>
          <w:tcPr/>
          <w:p>
            <w:pPr>
              <w:pStyle w:val="Compact"/>
              <w:jc w:val="left"/>
            </w:pPr>
            <w:r>
              <w:t xml:space="preserve">05/01/2024</w:t>
            </w:r>
          </w:p>
        </w:tc>
        <w:tc>
          <w:tcPr/>
          <w:p>
            <w:pPr>
              <w:pStyle w:val="Compact"/>
              <w:jc w:val="left"/>
            </w:pPr>
            <w:r>
              <w:t xml:space="preserve">Fundo Municipal de Meio Ambiente</w:t>
            </w:r>
          </w:p>
        </w:tc>
        <w:tc>
          <w:tcPr/>
          <w:p>
            <w:pPr>
              <w:pStyle w:val="Compact"/>
              <w:jc w:val="left"/>
            </w:pPr>
            <w:r>
              <w:t xml:space="preserve">Idem</w:t>
            </w:r>
          </w:p>
        </w:tc>
        <w:tc>
          <w:tcPr/>
          <w:p>
            <w:pPr>
              <w:pStyle w:val="Compact"/>
              <w:jc w:val="left"/>
            </w:pPr>
            <w:r>
              <w:t xml:space="preserve">OCR</w:t>
            </w:r>
          </w:p>
        </w:tc>
      </w:tr>
      <w:tr>
        <w:tc>
          <w:tcPr/>
          <w:p>
            <w:pPr>
              <w:pStyle w:val="Compact"/>
              <w:jc w:val="left"/>
            </w:pPr>
            <w:r>
              <w:t xml:space="preserve">30</w:t>
            </w:r>
          </w:p>
        </w:tc>
        <w:tc>
          <w:tcPr/>
          <w:p>
            <w:pPr>
              <w:pStyle w:val="Compact"/>
              <w:jc w:val="left"/>
            </w:pPr>
            <w:r>
              <w:t xml:space="preserve">Lei 225/2011</w:t>
            </w:r>
          </w:p>
        </w:tc>
        <w:tc>
          <w:tcPr/>
          <w:p>
            <w:pPr>
              <w:pStyle w:val="Compact"/>
              <w:jc w:val="left"/>
            </w:pPr>
            <w:r>
              <w:t xml:space="preserve">Guaramiranga</w:t>
            </w:r>
          </w:p>
        </w:tc>
        <w:tc>
          <w:tcPr/>
          <w:p>
            <w:pPr>
              <w:pStyle w:val="Compact"/>
              <w:jc w:val="left"/>
            </w:pPr>
            <w:r>
              <w:t xml:space="preserve">05/01/2024</w:t>
            </w:r>
          </w:p>
        </w:tc>
        <w:tc>
          <w:tcPr/>
          <w:p>
            <w:pPr>
              <w:pStyle w:val="Compact"/>
              <w:jc w:val="left"/>
            </w:pPr>
            <w:r>
              <w:t xml:space="preserve">Fundo Municipal de Meio Ambiente</w:t>
            </w:r>
          </w:p>
        </w:tc>
        <w:tc>
          <w:tcPr/>
          <w:p>
            <w:pPr>
              <w:pStyle w:val="Compact"/>
              <w:jc w:val="left"/>
            </w:pPr>
            <w:r>
              <w:t xml:space="preserve">Idem</w:t>
            </w:r>
          </w:p>
        </w:tc>
        <w:tc>
          <w:tcPr/>
          <w:p>
            <w:pPr>
              <w:pStyle w:val="Compact"/>
              <w:jc w:val="left"/>
            </w:pPr>
            <w:r>
              <w:t xml:space="preserve">Não lida (OCR pendente)</w:t>
            </w:r>
          </w:p>
        </w:tc>
      </w:tr>
    </w:tbl>
    <w:p>
      <w:pPr>
        <w:pStyle w:val="BodyText"/>
      </w:pPr>
      <w:r>
        <w:t xml:space="preserve">Fora da página de normativos, foram lidos: Estatuto 2018 (publicação 124), Estatuto 2026 (publicação 153), atas (publicações 103, 104, 146, 152, 174), editais de convocação (101, 102, 125, 126, 127, 140, 141, 142, 149, 154, 168, 175), Contrato de Rateio 04/2025 de Baturité (publicação 110), despacho e recomendação do MP (148, 151), Plano de Contratação Anual 2026 (155) e RREO (173).</w:t>
      </w:r>
    </w:p>
    <w:p>
      <w:r>
        <w:pict>
          <v:rect style="width:0;height:1.5pt" o:hralign="center" o:hrstd="t" o:hr="t"/>
        </w:pict>
      </w:r>
    </w:p>
    <w:bookmarkEnd w:id="51"/>
    <w:bookmarkStart w:id="52" w:name="flags"/>
    <w:p>
      <w:pPr>
        <w:pStyle w:val="Heading2"/>
      </w:pPr>
      <w:r>
        <w:t xml:space="preserve">10. Flags</w:t>
      </w:r>
    </w:p>
    <w:p>
      <w:pPr>
        <w:numPr>
          <w:ilvl w:val="0"/>
          <w:numId w:val="1019"/>
        </w:numPr>
        <w:pStyle w:val="Compact"/>
      </w:pPr>
      <w:r>
        <w:rPr>
          <w:rStyle w:val="VerbatimChar"/>
        </w:rPr>
        <w:t xml:space="preserve">[PENDENTE]</w:t>
      </w:r>
      <w:r>
        <w:t xml:space="preserve"> </w:t>
      </w:r>
      <w:r>
        <w:t xml:space="preserve">contrato atual de destinação final; plano regional homologado; resolução do Fundo Regional; contratos de programa; identificação do município excedente.</w:t>
      </w:r>
    </w:p>
    <w:p>
      <w:pPr>
        <w:numPr>
          <w:ilvl w:val="0"/>
          <w:numId w:val="1019"/>
        </w:numPr>
        <w:pStyle w:val="Compact"/>
      </w:pPr>
      <w:r>
        <w:rPr>
          <w:rStyle w:val="VerbatimChar"/>
        </w:rPr>
        <w:t xml:space="preserve">[VIT]</w:t>
      </w:r>
      <w:r>
        <w:t xml:space="preserve"> </w:t>
      </w:r>
      <w:r>
        <w:t xml:space="preserve">Lei Estadual 16.032/2016 (arts. 10, 11, 49, 52), Decretos Estaduais 36.618/2025 e 37.051/2025, valor de R$ 65.492,11 do Decreto 12.807/2025, precedentes do TJSP citados, custo de R$ 100/t divulgado pela imprensa.</w:t>
      </w:r>
    </w:p>
    <w:p>
      <w:pPr>
        <w:numPr>
          <w:ilvl w:val="0"/>
          <w:numId w:val="1019"/>
        </w:numPr>
        <w:pStyle w:val="Compact"/>
      </w:pPr>
      <w:r>
        <w:rPr>
          <w:rStyle w:val="VerbatimChar"/>
        </w:rPr>
        <w:t xml:space="preserve">[VALIDAÇÃO TÉCNICA]</w:t>
      </w:r>
      <w:r>
        <w:t xml:space="preserve"> </w:t>
      </w:r>
      <w:r>
        <w:t xml:space="preserve">instalação e licença da destinação atual; estimativa do excedente; inviabilidade de competição, se cogitada inexigibilidade.</w:t>
      </w:r>
    </w:p>
    <w:p>
      <w:pPr>
        <w:numPr>
          <w:ilvl w:val="0"/>
          <w:numId w:val="1019"/>
        </w:numPr>
        <w:pStyle w:val="Compact"/>
      </w:pPr>
      <w:r>
        <w:rPr>
          <w:rStyle w:val="VerbatimChar"/>
        </w:rPr>
        <w:t xml:space="preserve">[RESERVA]</w:t>
      </w:r>
      <w:r>
        <w:t xml:space="preserve"> </w:t>
      </w:r>
      <w:r>
        <w:t xml:space="preserve">a tensão entre os incisos I e II do § 1.º do art. 8.º da Lei n.º 11.445/2007 e a ausência de contratos de programa município–AMSA são pontos que fragilizam o braço consorcial; levantá-los publicamente afeta o próprio contrato AMSA–UVS. Decisão do advogado.</w:t>
      </w:r>
    </w:p>
    <w:p>
      <w:pPr>
        <w:numPr>
          <w:ilvl w:val="0"/>
          <w:numId w:val="1019"/>
        </w:numPr>
        <w:pStyle w:val="Compact"/>
      </w:pPr>
      <w:r>
        <w:rPr>
          <w:rStyle w:val="VerbatimChar"/>
        </w:rPr>
        <w:t xml:space="preserve">[DECISAO_COMERCIAL]</w:t>
      </w:r>
      <w:r>
        <w:t xml:space="preserve"> </w:t>
      </w:r>
      <w:r>
        <w:t xml:space="preserve">escolha entre os cenários A a D do item 6.</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360" w:lineRule="auto"/>
        <w:jc w:val="both"/>
      </w:pPr>
    </w:pPrDefault>
  </w:docDefaults>
  <w:latentStyles w:count="276" w:defLockedState="0" w:defQFormat="0" w:defSemiHidden="0" w:defUIPriority="0" w:defUnhideWhenUsed="0"/>
  <w:style w:default="1" w:styleId="Normal" w:type="paragraph">
    <w:pPr>
      <w:spacing w:after="120" w:before="0" w:line="360" w:lineRule="auto"/>
      <w:jc w:val="both"/>
    </w:pPr>
    <w:name w:val="Normal"/>
    <w:qFormat/>
  </w:style>
  <w:style w:styleId="BodyText" w:type="paragraph">
    <w:name w:val="Body Text"/>
    <w:basedOn w:val="Normal"/>
    <w:link w:val="BodyTextChar"/>
    <w:pPr>
      <w:spacing w:after="120" w:before="0" w:line="360" w:lineRule="auto"/>
      <w:jc w:val="both"/>
    </w:pPr>
    <w:qFormat/>
  </w:style>
  <w:style w:customStyle="1" w:styleId="FirstParagraph" w:type="paragraph">
    <w:pPr>
      <w:spacing w:after="120" w:before="0" w:line="360" w:lineRule="auto"/>
      <w:jc w:val="both"/>
    </w:pPr>
    <w:name w:val="First Paragraph"/>
    <w:basedOn w:val="BodyText"/>
    <w:next w:val="BodyText"/>
    <w:qFormat/>
  </w:style>
  <w:style w:customStyle="1" w:styleId="Compact" w:type="paragraph">
    <w:name w:val="Compact"/>
    <w:basedOn w:val="BodyText"/>
    <w:qFormat/>
    <w:pPr>
      <w:spacing w:after="60" w:before="0" w:line="276" w:lineRule="auto"/>
      <w:jc w:val="both"/>
    </w:pPr>
  </w:style>
  <w:style w:styleId="Title" w:type="paragraph">
    <w:name w:val="Title"/>
    <w:basedOn w:val="Normal"/>
    <w:next w:val="BodyText"/>
    <w:qFormat/>
    <w:pPr>
      <w:spacing w:after="120" w:before="0" w:line="276" w:lineRule="auto"/>
      <w:jc w:val="left"/>
      <w:keepNext/>
      <w:keepLines/>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20" w:before="240" w:line="276" w:lineRule="auto"/>
      <w:jc w:val="left"/>
      <w:keepNext/>
      <w:keepLines/>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spacing w:after="120" w:before="240" w:line="276" w:lineRule="auto"/>
      <w:jc w:val="left"/>
      <w:keepNext/>
      <w:keepLines/>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spacing w:after="120" w:before="200" w:line="276" w:lineRule="auto"/>
      <w:jc w:val="left"/>
      <w:keepNext/>
      <w:keepLines/>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spacing w:after="120" w:before="160" w:line="276" w:lineRule="auto"/>
      <w:jc w:val="left"/>
      <w:keepNext/>
      <w:keepLines/>
      <w:outlineLvl w:val="3"/>
    </w:pPr>
    <w:rPr>
      <w:b/>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2026-09-04T14:03:59Z</dcterms:created>
  <dcterms:modified xsi:type="dcterms:W3CDTF">2026-09-04T14:03:59Z</dcterms:modified>
</cp:coreProperties>
</file>

<file path=docProps/custom.xml><?xml version="1.0" encoding="utf-8"?>
<Properties xmlns="http://schemas.openxmlformats.org/officeDocument/2006/custom-properties" xmlns:vt="http://schemas.openxmlformats.org/officeDocument/2006/docPropsVTypes"/>
</file>