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PROTEÇÃO CONTRATUAL PÓS-ADJUDICAÇÃO</w:t>
      </w:r>
    </w:p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Termo de Assunção Operacional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CC0000"/>
          <w:sz w:val="24"/>
          <w:szCs w:val="24"/>
        </w:rPr>
        <w:t xml:space="preserve">[RESERVA — USO INTERNO]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PE 30/2026 (Reabertura) — Porto Ferreira/SP — Agosto/2026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assinar o termo de assunção operacional prometido pela Administração na resposta à 6.ª impugnação, documentando as condições reais da Vala 05. O laudo atestará o não atendimento da Exigência Técnica 08 da LO, tornando inviável a continuidade da disposição na vala (Item 2). A consequência contratual é a transição para o Item 3 (destinação externa).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Lógica: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Vala 05 não reúne as condições exigidas pela ET-08 da LO CETESB n.º 4011055. O termo de assunção documenta essa realidade. Se a vala não atende as exigências técnicas da licença de operação, a disposição de resíduos ali (Item 2) não pode prosseguir sem que o Município, titular da licença e do ativo, regularize a situação. Até lá, opera-se pelo Item 3.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O que a Administração já declarou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400"/>
        <w:gridCol w:w="32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Declaração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Situação atual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contratada não responderá por passivos ambientais, estruturais ou operacionais anteriores ao início da execução"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 (T15, C-063)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"Registro das condições iniciais da unidade por ocasião da assunção"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ET-08 da LO: "Implantar em toda a Vala nº 05 sistema de drenagem de chorume, impermeabilização (manta de PEAD) e drenagem de gases"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4011055, Exigência Técnica 08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Condicionante ativa da licença; não atendida integralmente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Observação 05 da LO: descumprimento de exigências técnicas implica cancelamento automático da licença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Aplica-se à ET-08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5.5.5–5.5.15: contratada deve "garantir" impermeabilização, drenagem de chorume e drenagem de gases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do edital reaberto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Obrigação transferida sem registro do estado atual dos sistemas</w:t>
            </w:r>
          </w:p>
        </w:tc>
      </w:tr>
    </w:tbl>
    <w:p>
      <w:pPr>
        <w:spacing w:after="200" w:before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 resposta à 6.ª impugnação, embora não incorporada formalmente, vincula a Administração (art. 164, parágrafo único, Lei n.º 14.133/2021) e é a base para solicitar o termo de assunção na execução do contrato.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Estrutura contratual: Item 2 vs. Item 3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edital estrutura a destinação final em dois itens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mutuamente excludentes e sucessivos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não simultâneos. O Item 3 só começa quando o Item 2 termina. A vedação é expressa: "fica expressamente vedada a cobrança do Item 2 do objeto, passando a ser faturado exclusivamente o Item 3" (TR 5.1.6.3).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50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Previsão editalícia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2 — Destinação no aterro municipal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Disposição na Vala 05, licenciada pela LO CETESB n.º 4011055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1.1, Lote 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3 — Destinação externa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Disposição em aterro licenciado em outro município, sob responsabilidade da contratada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1.1, Lote 1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Quantitativo estimado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12.480 t/ano para cada item (mesma tonelagem, nunca simultânea)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1.1; ETP item 7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Preço unitário referencial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Item 2: R$ 168,77/t · Item 3: R$ 249,28/t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Quadro Comparativo de Preços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Gatilho da transição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"É de responsabilidade dos técnicos da CONTRATANTE a validação contínua da utilização da vala, monitorando a capacidade de carga e estabilidade dos taludes"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5.5.18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Vedação de cumulatividade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partir da constatação do encerramento do Aterro Municipal, fica expressamente vedada a cobrança do Item 2"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5.1.6.3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 estimada de esgotamento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"Provavelmente no primeiro semestre de 2027"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2.4, 5.1.6.2, 5.5.17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Ponto central: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decisão de quando encerrar o Item 2 e iniciar o Item 3 é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unilateral dos técnicos do Município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sem parâmetro técnico objetivo, sem procedimento formal, sem laudo, sem prazo de aviso prévio e sem participação da contratada (TR 5.5.18). O termo de assunção cria o fundamento técnico da contratada para provocar a transição, em vez de ficar à mercê de uma constatação unilateral.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Teto diário da LO vs. tonelagem do edital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600"/>
        <w:gridCol w:w="30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Parâmetro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Teto diário licenciado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60 t/dia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Observação 01 da LO CETESB n.º 4011055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Média diária estimada (dias úteis)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~40 t/dia (12.480 t/ano ÷ 312 dias úteis)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1.1; cálculo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Premissa da tabela de transbordo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 t/dia (1,5 viagens × 30 t)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Tabela de Quilometragem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Tonelagem pré-Decreto 3.367/2026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~50 t/dia (1.300 t/mês ÷ 26 dias)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ETP item 7</w:t>
            </w:r>
          </w:p>
        </w:tc>
      </w:tr>
    </w:tbl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média, a operação fica abaixo do teto de 60 t/dia. Nos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picos de segunda-feira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porém, a concentração de coleta (região central diária + regiões alternadas + resíduo represado de domingo) pode se aproximar ou ultrapassar o limite licenciado. O edital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prevê regra de escalonamento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da descarga para administrar esses picos. A contratada fica entre a penalidade contratual por atraso (se não descarregar) e a operação em desacordo com a licença ambiental (se descarregar acima do teto — art. 60 da Lei n.º 9.605/1998).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Este é um risco operacional adicional do Item 2 que o termo de assunção pode documentar — reforçando a conveniência da transição ao Item 3.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Sequência pós-adjudicação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Pressupõe vitória no certame.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1 — Solicitação do termo de assunção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imediatamente após a assinatura do contrato.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ofício formal ao CONTRATANTE solicitando a lavratura do termo de assunção operacional, nos termos do compromisso da resposta à 6.ª impugnação.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Fundamento: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art. 5.º da Lei n.º 14.133/2021 (boa-fé, vinculação ao edital); art. 164, parágrafo único (vinculação da resposta); art. 92, XIV (responsabilidades das partes).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Conteúdo do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Referência à resposta à 6.ª impugnação;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Rol de itens a registrar: (a) levantamento planialtimétrico da Vala 05; (b) estado da impermeabilização de base (manta PEAD); (c) estado dos sistemas de drenagem de chorume; (d) estado dos sistemas de drenagem de gases; (e) capacidade volumétrica remanescente; (f) condicionantes ativas da LO; (g) registro fotográfico georreferenciado;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Proposta de vistoria conjunta (CONTRATANTE + CONTRATADA + engenheiro RT).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o Município protelar, a contratada reitera o ofício e, se necessário, realiza o levantamento por conta própria (laudo com ART/RRT), notificando o CONTRATANTE para acompanhar — preserva a boa-fé e documenta o estado independentemente da adesão do fiscal.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2 — Vistoria e lavratura do termo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primeiros 15–30 dias de contrato (antes do início efetivo da operação da vala, se possível).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Execução: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equipe de engenharia da contratada, preferencialmente acompanhada do fiscal do contrato, realiza vistoria técnica na Vala 05: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 que registrar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Impermeabilização (PEAD)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Presença/ausência em toda a vala; integridade; trechos sem cobertura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chorume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Existência; dimensionamento; estado;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gases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 de drenos; espaçamento;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Topografia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Levantamento planialtimétrico; capacidade remanescente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Cobertura diária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Camada sobre resíduos expostos (ET-01)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pluvial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Estado do sistema (ET-04)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Passivos aparentes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Chorume aflorante, erosão, vetores, situação geral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laudo técnico com ART/RRT, formalizado como Termo de Assunção Operacional, entregue ao CONTRATANTE por protocolo.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3 — Constatação do não atendimento da ET-08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ET-08 exige implantação "em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Vala nº 05" de três sistemas: drenagem de chorume, impermeabilização com manta PEAD e drenagem de gases. A implantação retroativa desses sistemas em trechos já aterrados é tecnicamente inviável. A vala não atende integralmente a ET-08.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laudo do termo de assunção documentará essa não conformidade. O registro cumpre duas funções: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Segregação de responsabilidade: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 não atendimento da ET-08 é anterior à assunção — documentado no termo de assunção, é passivo do titular do ativo (Município), conforme o compromisso da 6.ª impugnação.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Inviabilidade da operação pelo Item 2: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 a vala não atende as exigências técnicas da LO, a disposição de resíduos ali não pode prosseguir sem regularização pelo titular da licença. A contratada não pode operar em desacordo com as condicionantes da licença ambiental.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4 — Comunicação ao CONTRATANTE e transição ao Item 3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após a conclusão do laudo.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Ofício ao CONTRATANTE comunicando os achados do termo de assunção e a consequência contratual. Tom cooperativo — a contratada está compartilhando o resultado do levantamento e solicitando a transição prevista no contrato.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Apresenta os achados do termo de assunção quanto à ET-08;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Registra que a vala não atende as exigências técnicas da LO, e que operar nessas condições expõe tanto a contratada quanto o Município;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Registra que, sendo o Município o titular da LO e do ativo, a regularização de condicionantes preexistentes é de sua competência;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Conclui que, não sendo possível a disposição na Vala 05 nas condições atuais, a operação deve transitar para o Item 3 (destinação externa), nos termos do contrato;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Solicita orientação formal do CONTRATANTE para a transição.</w:t>
      </w:r>
    </w:p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Desdobramentos possíveis: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Resposta do Município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Encaminhamento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Aceita a transição para o Item 3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Transição documentada por decisão do CONTRATANTE — cenário-alvo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Providencia a regularização da ET-08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colabora operacionalmente dentro do que o contrato prevê e remunera; Item 2 retomado após regularização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Orienta a operação normal sem regularização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registra o risco, opera conforme a orientação formal do CONTRATANTE, com o termo de assunção nos autos — a responsabilidade está segregada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Silêncio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reitera o ofício; se necessário, provoca o fiscal do contrato (art. 117, Lei 14.133/2021)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Proteção da contratada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600"/>
        <w:gridCol w:w="5200"/>
      </w:tblGrid>
      <w:tr>
        <w:trPr>
          <w:tblHeader/>
        </w:trP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Vinculação ao compromisso da Administração; boa-fé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com ART/RRT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Condições preexistentes documentadas; responsabilidade segregada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Constatação de não conformidade com a ET-08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Registro técnico do fato; inviabilidade do Item 2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ao CONTRATANTE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cooperativa; transição ao Item 3 fundamentada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qualquer cenário, a contratada não decide sozinha — solicita orientação do CONTRATANTE, que é o titular da licença e do ativo.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Cronograma estimado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4400"/>
      </w:tblGrid>
      <w:tr>
        <w:trPr>
          <w:tblHeader/>
        </w:trP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Prazo estimado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Assinatura do contrato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Vistoria e lavratura do termo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D+15 a D+30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concluído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D+30 a D+45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dos achados e pedido de transição ao Item 3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D+45 a D+50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Resposta/orientação do CONTRATANTE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D+50 a D+65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Riscos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6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Município regulariza a ET-08 antes da assunção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vala passa a operar regularmente — risco operacional mitigado; Item 2 opera normalmente até esgotamento da vida útil (1.º semestre de 2027 pelo TR), depois transita ao Item 3 de qualquer forma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alega que a contratada deveria ter identificado a situação antes de contratar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não tinha acesso aos dados técnicos (T9 — dados não divulgados); a visita técnica facultada não substitui levantamento de engenharia; a própria Administração reconheceu a necessidade de registro das condições iniciais na 6.ª impugnação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orienta operação normal sem regularizar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opera conforme a orientação formal do CONTRATANTE, com o termo de assunção nos autos — segregação de responsabilidade documentada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spacing w:after="120" w:before="20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Documento de estratégia interno. Não protocolar. A decisão de adotar este caminho é exclusiva do advogado, em coordenação com a engenharia e a área comercial.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2026-08-24T13:20:02.413Z</dcterms:created>
  <dcterms:modified xsi:type="dcterms:W3CDTF">2026-08-24T13:20:02.430Z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