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PE 30/2026 (REABERTURA) — Porto Ferreira/SP</w:t>
      </w:r>
    </w:p>
    <w:p>
      <w:pPr>
        <w:jc w:val="center"/>
      </w:pPr>
      <w:r>
        <w:rPr>
          <w:rFonts w:ascii="Times New Roman" w:hAnsi="Times New Roman"/>
          <w:b/>
          <w:sz w:val="24"/>
        </w:rPr>
        <w:t>Matriz de Argumentos — Fase 2</w:t>
      </w:r>
    </w:p>
    <w:p>
      <w:pPr>
        <w:spacing w:after="240"/>
        <w:jc w:val="left"/>
      </w:pPr>
      <w:r>
        <w:rPr>
          <w:rFonts w:ascii="Times New Roman" w:hAnsi="Times New Roman"/>
          <w:sz w:val="20"/>
        </w:rPr>
        <w:t>[USO INTERNO]</w:t>
        <w:br/>
        <w:t>Órgão: Prefeitura Municipal de Porto Ferreira/SP</w:t>
        <w:br/>
        <w:t>Modalidade: Pregão Eletrônico n.º 30/2026 (Reabertura)</w:t>
        <w:br/>
        <w:t>Objeto: Contratação de serviços de coleta, transporte e destinação final de RSU, com operação de aterro sanitário municipal e fornecimento de contêineres</w:t>
        <w:br/>
        <w:t>Regime: Lei n.º 14.133/2021 — Serviço comum contínuo</w:t>
        <w:br/>
        <w:t>Data de referência: agosto/2026</w:t>
        <w:br/>
        <w:t>Pipeline: Fase 1 (E1-E4 → C: 300 pontos) → Fase 2 (AN+R: 18 macro-questões + 7 reservas)</w:t>
        <w:br/>
        <w:t>Jurisprudência: Lei na Mão (TCU/TCE-SP) + Jus IA (STJ/TJs). Citações de busca automatizada marcadas [VIT].</w:t>
      </w:r>
    </w:p>
    <w:p/>
    <w:tbl>
      <w:tblPr>
        <w:tblStyle w:val="TableGrid"/>
        <w:tblW w:type="auto" w:w="0"/>
        <w:jc w:val="center"/>
        <w:tblLook w:firstColumn="1" w:firstRow="1" w:lastColumn="0" w:lastRow="0" w:noHBand="0" w:noVBand="1" w:val="04A0"/>
      </w:tblPr>
      <w:tblGrid>
        <w:gridCol w:w="2163"/>
        <w:gridCol w:w="2163"/>
        <w:gridCol w:w="2163"/>
        <w:gridCol w:w="2163"/>
        <w:gridCol w:w="2163"/>
        <w:gridCol w:w="2163"/>
        <w:gridCol w:w="2163"/>
      </w:tblGrid>
      <w:tr>
        <w:tc>
          <w:tcPr>
            <w:tcW w:type="dxa" w:w="680"/>
            <w:shd w:fill="1F4E79" w:val="clear"/>
          </w:tcPr>
          <w:p>
            <w:pPr>
              <w:spacing w:after="40" w:before="40" w:line="260" w:lineRule="exact"/>
              <w:jc w:val="center"/>
            </w:pPr>
            <w:r>
              <w:rPr>
                <w:color w:val="FFFFFF"/>
              </w:rPr>
            </w:r>
            <w:r>
              <w:rPr>
                <w:rFonts w:ascii="Times New Roman" w:hAnsi="Times New Roman"/>
                <w:b/>
                <w:color w:val="FFFFFF"/>
                <w:sz w:val="18"/>
              </w:rPr>
              <w:t>Nº</w:t>
            </w:r>
          </w:p>
        </w:tc>
        <w:tc>
          <w:tcPr>
            <w:tcW w:type="dxa" w:w="1304"/>
            <w:shd w:fill="1F4E79" w:val="clear"/>
          </w:tcPr>
          <w:p>
            <w:pPr>
              <w:spacing w:after="40" w:before="40" w:line="260" w:lineRule="exact"/>
              <w:jc w:val="center"/>
            </w:pPr>
            <w:r>
              <w:rPr>
                <w:color w:val="FFFFFF"/>
              </w:rPr>
            </w:r>
            <w:r>
              <w:rPr>
                <w:rFonts w:ascii="Times New Roman" w:hAnsi="Times New Roman"/>
                <w:b/>
                <w:color w:val="FFFFFF"/>
                <w:sz w:val="18"/>
              </w:rPr>
              <w:t>Tema</w:t>
            </w:r>
          </w:p>
        </w:tc>
        <w:tc>
          <w:tcPr>
            <w:tcW w:type="dxa" w:w="1871"/>
            <w:shd w:fill="1F4E79" w:val="clear"/>
          </w:tcPr>
          <w:p>
            <w:pPr>
              <w:spacing w:after="40" w:before="40" w:line="260" w:lineRule="exact"/>
              <w:jc w:val="center"/>
            </w:pPr>
            <w:r>
              <w:rPr>
                <w:color w:val="FFFFFF"/>
              </w:rPr>
            </w:r>
            <w:r>
              <w:rPr>
                <w:rFonts w:ascii="Times New Roman" w:hAnsi="Times New Roman"/>
                <w:b/>
                <w:color w:val="FFFFFF"/>
                <w:sz w:val="18"/>
              </w:rPr>
              <w:t>Problema</w:t>
            </w:r>
          </w:p>
        </w:tc>
        <w:tc>
          <w:tcPr>
            <w:tcW w:type="dxa" w:w="5669"/>
            <w:shd w:fill="1F4E79" w:val="clear"/>
          </w:tcPr>
          <w:p>
            <w:pPr>
              <w:spacing w:after="40" w:before="40" w:line="260" w:lineRule="exact"/>
              <w:jc w:val="center"/>
            </w:pPr>
            <w:r>
              <w:rPr>
                <w:color w:val="FFFFFF"/>
              </w:rPr>
            </w:r>
            <w:r>
              <w:rPr>
                <w:rFonts w:ascii="Times New Roman" w:hAnsi="Times New Roman"/>
                <w:b/>
                <w:color w:val="FFFFFF"/>
                <w:sz w:val="18"/>
              </w:rPr>
              <w:t>Argumento</w:t>
            </w:r>
          </w:p>
        </w:tc>
        <w:tc>
          <w:tcPr>
            <w:tcW w:type="dxa" w:w="3798"/>
            <w:shd w:fill="1F4E79" w:val="clear"/>
          </w:tcPr>
          <w:p>
            <w:pPr>
              <w:spacing w:after="40" w:before="40" w:line="260" w:lineRule="exact"/>
              <w:jc w:val="center"/>
            </w:pPr>
            <w:r>
              <w:rPr>
                <w:color w:val="FFFFFF"/>
              </w:rPr>
            </w:r>
            <w:r>
              <w:rPr>
                <w:rFonts w:ascii="Times New Roman" w:hAnsi="Times New Roman"/>
                <w:b/>
                <w:color w:val="FFFFFF"/>
                <w:sz w:val="18"/>
              </w:rPr>
              <w:t>Fundamento</w:t>
            </w:r>
          </w:p>
        </w:tc>
        <w:tc>
          <w:tcPr>
            <w:tcW w:type="dxa" w:w="680"/>
            <w:shd w:fill="1F4E79" w:val="clear"/>
          </w:tcPr>
          <w:p>
            <w:pPr>
              <w:spacing w:after="40" w:before="40" w:line="260" w:lineRule="exact"/>
              <w:jc w:val="center"/>
            </w:pPr>
            <w:r>
              <w:rPr>
                <w:color w:val="FFFFFF"/>
              </w:rPr>
            </w:r>
            <w:r>
              <w:rPr>
                <w:rFonts w:ascii="Times New Roman" w:hAnsi="Times New Roman"/>
                <w:b/>
                <w:color w:val="FFFFFF"/>
                <w:sz w:val="18"/>
              </w:rPr>
              <w:t>Escl.?</w:t>
            </w:r>
          </w:p>
        </w:tc>
        <w:tc>
          <w:tcPr>
            <w:tcW w:type="dxa" w:w="1134"/>
            <w:shd w:fill="1F4E79" w:val="clear"/>
          </w:tcPr>
          <w:p>
            <w:pPr>
              <w:spacing w:after="40" w:before="40" w:line="260" w:lineRule="exact"/>
              <w:jc w:val="center"/>
            </w:pPr>
            <w:r>
              <w:rPr>
                <w:color w:val="FFFFFF"/>
              </w:rPr>
            </w:r>
            <w:r>
              <w:rPr>
                <w:rFonts w:ascii="Times New Roman" w:hAnsi="Times New Roman"/>
                <w:b/>
                <w:color w:val="FFFFFF"/>
                <w:sz w:val="18"/>
              </w:rPr>
              <w:t>Aplicação</w:t>
            </w:r>
          </w:p>
        </w:tc>
      </w:tr>
      <w:tr>
        <w:tc>
          <w:tcPr>
            <w:tcW w:type="dxa" w:w="2163"/>
          </w:tcPr>
          <w:p>
            <w:pPr>
              <w:spacing w:after="40" w:before="40" w:line="260" w:lineRule="exact"/>
              <w:jc w:val="center"/>
            </w:pPr>
            <w:r/>
            <w:r>
              <w:rPr>
                <w:rFonts w:ascii="Times New Roman" w:hAnsi="Times New Roman"/>
                <w:b w:val="0"/>
                <w:sz w:val="18"/>
              </w:rPr>
              <w:t>T1</w:t>
            </w:r>
          </w:p>
        </w:tc>
        <w:tc>
          <w:tcPr>
            <w:tcW w:type="dxa" w:w="2163"/>
          </w:tcPr>
          <w:p>
            <w:pPr>
              <w:spacing w:after="40" w:before="40" w:line="260" w:lineRule="exact"/>
            </w:pPr>
            <w:r/>
            <w:r>
              <w:rPr>
                <w:rFonts w:ascii="Times New Roman" w:hAnsi="Times New Roman"/>
                <w:b w:val="0"/>
                <w:sz w:val="18"/>
              </w:rPr>
              <w:t>Modelagem econômica</w:t>
            </w:r>
          </w:p>
        </w:tc>
        <w:tc>
          <w:tcPr>
            <w:tcW w:type="dxa" w:w="2163"/>
          </w:tcPr>
          <w:p>
            <w:pPr>
              <w:spacing w:after="40" w:before="40" w:line="260" w:lineRule="exact"/>
              <w:jc w:val="both"/>
            </w:pPr>
            <w:r/>
            <w:r>
              <w:rPr>
                <w:rFonts w:ascii="Times New Roman" w:hAnsi="Times New Roman"/>
                <w:sz w:val="18"/>
              </w:rPr>
              <w:t>Itens 2 e 3 mutuamente excludentes somados no valor estimado e no julgamento global do lote</w:t>
            </w:r>
          </w:p>
        </w:tc>
        <w:tc>
          <w:tcPr>
            <w:tcW w:type="dxa" w:w="2163"/>
          </w:tcPr>
          <w:p>
            <w:pPr>
              <w:spacing w:after="40" w:before="40" w:line="260" w:lineRule="exact"/>
              <w:jc w:val="both"/>
            </w:pPr>
            <w:r/>
            <w:r>
              <w:rPr>
                <w:rFonts w:ascii="Times New Roman" w:hAnsi="Times New Roman"/>
                <w:sz w:val="16"/>
              </w:rPr>
            </w:r>
            <w:r>
              <w:rPr>
                <w:rFonts w:ascii="Times New Roman" w:hAnsi="Times New Roman"/>
                <w:b/>
                <w:sz w:val="16"/>
              </w:rPr>
              <w:t>Premissa normativa.</w:t>
            </w:r>
            <w:r>
              <w:rPr>
                <w:rFonts w:ascii="Times New Roman" w:hAnsi="Times New Roman"/>
                <w:sz w:val="16"/>
              </w:rPr>
              <w:t xml:space="preserve"> O valor previamente estimado da contratação deve ser compatível com os valores de mercado "consideradas as quantidades a serem contratadas" (art. 23, caput, da Lei n.º 14.133/2021), apoiado em memórias de cálculo (art. 18, § 1.º, incisos IV e VI, e art. 6.º, inciso XXIII, alínea 'i', da Lei n.º 14.133/2021). O julgamento por menor preço "considerará o menor dispêndio para a Administração" (art. 34, caput, da Lei n.º 14.133/2021), sob os princípios do julgamento objetivo, da economicidade e da competitividade (art. 5.º da Lei n.º 14.133/2021), sendo vedado ao agente público admitir, prever ou tolerar situação que comprometa, restrinja ou frustre o caráter competitivo do certame (art. 9.º, inciso I, alínea 'a', da Lei n.º 14.133/2021).</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Fato editalício.</w:t>
            </w:r>
            <w:r>
              <w:rPr>
                <w:rFonts w:ascii="Times New Roman" w:hAnsi="Times New Roman"/>
                <w:sz w:val="16"/>
              </w:rPr>
              <w:t xml:space="preserve"> O TR (itens 1.1 e 9.1) atribui aos itens 2 (destinação em aterro municipal — R$ 168,77/t; R$ 2.106.249,60/ano) e 3 (destinação em aterro de outro município — R$ 249,28/t; R$ 3.111.014,40/ano) </w:t>
            </w:r>
            <w:r>
              <w:rPr>
                <w:rFonts w:ascii="Times New Roman" w:hAnsi="Times New Roman"/>
                <w:b/>
                <w:sz w:val="16"/>
              </w:rPr>
              <w:t>a mesma tonelagem integral de 12.480 t/ano cada</w:t>
            </w:r>
            <w:r>
              <w:rPr>
                <w:rFonts w:ascii="Times New Roman" w:hAnsi="Times New Roman"/>
                <w:sz w:val="16"/>
              </w:rPr>
              <w:t xml:space="preserve">, e soma ambos no "custo estimado total da contratação (...) de R$9.193.852,80" (TR 9.1). A Nota Informativa (TR 1.1 e 9.1; item 3.5 da minuta) reconhece expressamente: "Os itens 2 e 3 são mutuamente excludentes e sucessivos: a execução e o respectivo pagamento do item 3 somente serão iniciados após o encerramento definitivo da execução do item 2, sendo vedada a cumulatividade de faturamento entre ambos". O critério de julgamento é "MENOR PREÇO POR LOTE" (preâmbulo do Edital; item 8.1 do ETP), e o Anexo V (modelo de proposta), item 4.1, exige "Valor Total da Proposta" somando os quatro itens — </w:t>
            </w:r>
            <w:r>
              <w:rPr>
                <w:rFonts w:ascii="Times New Roman" w:hAnsi="Times New Roman"/>
                <w:b/>
                <w:sz w:val="16"/>
              </w:rPr>
              <w:t>sem reproduzir a regra de exclusão mútua</w:t>
            </w:r>
            <w:r>
              <w:rPr>
                <w:rFonts w:ascii="Times New Roman" w:hAnsi="Times New Roman"/>
                <w:sz w:val="16"/>
              </w:rPr>
              <w:t xml:space="preserve"> (C-094).</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Desdobramentos verificados no texto:</w:t>
            </w:r>
            <w:r>
              <w:rPr>
                <w:rFonts w:ascii="Times New Roman" w:hAnsi="Times New Roman"/>
                <w:sz w:val="16"/>
              </w:rPr>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xml:space="preserve">1. </w:t>
            </w:r>
            <w:r>
              <w:rPr>
                <w:rFonts w:ascii="Times New Roman" w:hAnsi="Times New Roman"/>
                <w:b/>
                <w:sz w:val="16"/>
              </w:rPr>
              <w:t>Estimativa inflada e sem lastro em quantidade contratável</w:t>
            </w:r>
            <w:r>
              <w:rPr>
                <w:rFonts w:ascii="Times New Roman" w:hAnsi="Times New Roman"/>
                <w:sz w:val="16"/>
              </w:rPr>
              <w:t xml:space="preserve"> (C-131): as mesmas 12.480 t/ano são estimadas duas vezes. Qualquer que seja o cenário real de execução em um exercício, a soma dos itens 2 e 3 (R$ 5.217.264,00/ano) jamais corresponderá a dispêndio possível — a tonelagem só pode ser destinada uma vez. A estimativa carrega, portanto, entre R$ 2,1 e R$ 3,1 milhões/ano de valor fictício.</w:t>
            </w:r>
          </w:p>
          <w:p>
            <w:pPr>
              <w:spacing w:after="40" w:before="40" w:line="260" w:lineRule="exact"/>
              <w:jc w:val="both"/>
            </w:pPr>
            <w:r>
              <w:rPr>
                <w:rFonts w:ascii="Times New Roman" w:hAnsi="Times New Roman"/>
                <w:sz w:val="16"/>
              </w:rPr>
              <w:t xml:space="preserve">2. </w:t>
            </w:r>
            <w:r>
              <w:rPr>
                <w:rFonts w:ascii="Times New Roman" w:hAnsi="Times New Roman"/>
                <w:b/>
                <w:sz w:val="16"/>
              </w:rPr>
              <w:t>Contradição interna admitida pelo próprio edital</w:t>
            </w:r>
            <w:r>
              <w:rPr>
                <w:rFonts w:ascii="Times New Roman" w:hAnsi="Times New Roman"/>
                <w:sz w:val="16"/>
              </w:rPr>
              <w:t xml:space="preserve"> (C-097): para capital mínimo e garantia, o edital abandona a soma e adota o "valor máximo anual efetivamente executável, ou seja, o resultado da soma dos itens 1 (...), 3 (...) e 4" — R$ 7.087.603,20 (capital mínimo de R$ 708.760,32 = 10%, Anexo II, item 1.4.2; garantia de 5% sobre essa base, item 4.8 do Edital e alínea 'd' correlata). Já a desclassificação por preço opera sobre parâmetro não unívoco — "acima do preço máximo definido para a contratação" (item 10.5.3 do Edital) — sem dizer se o teto é R$ 9.193.852,80 ou R$ 7.087.603,20, em violação à exigência de parâmetro objetivo de aceitabilidade (art. 59, inciso III, da Lei n.º 14.133/2021).</w:t>
            </w:r>
          </w:p>
          <w:p>
            <w:pPr>
              <w:spacing w:after="40" w:before="40" w:line="260" w:lineRule="exact"/>
              <w:jc w:val="both"/>
            </w:pPr>
            <w:r>
              <w:rPr>
                <w:rFonts w:ascii="Times New Roman" w:hAnsi="Times New Roman"/>
                <w:sz w:val="16"/>
              </w:rPr>
              <w:t xml:space="preserve">3. </w:t>
            </w:r>
            <w:r>
              <w:rPr>
                <w:rFonts w:ascii="Times New Roman" w:hAnsi="Times New Roman"/>
                <w:b/>
                <w:sz w:val="16"/>
              </w:rPr>
              <w:t>Julgamento que não mede o dispêndio real</w:t>
            </w:r>
            <w:r>
              <w:rPr>
                <w:rFonts w:ascii="Times New Roman" w:hAnsi="Times New Roman"/>
                <w:sz w:val="16"/>
              </w:rPr>
              <w:t xml:space="preserve"> (C-101): com o lote julgado pela soma de itens excludentes, duas propostas de idêntico valor global podem gerar dispêndios efetivos radicalmente distintos, conforme a data real da transição item 2 → item 3. O certame permite desbalanceamento dos unitários segundo a expectativa de vida útil da Vala 05 (subprecificar o item de menor probabilidade de execução e sobreprecificar o outro), sem que o ranking capte a diferença — o critério deixa de selecionar o menor dispêndio exigido pelo art. 34, caput.</w:t>
            </w:r>
          </w:p>
          <w:p>
            <w:pPr>
              <w:spacing w:after="40" w:before="40" w:line="260" w:lineRule="exact"/>
              <w:jc w:val="both"/>
            </w:pPr>
            <w:r>
              <w:rPr>
                <w:rFonts w:ascii="Times New Roman" w:hAnsi="Times New Roman"/>
                <w:sz w:val="16"/>
              </w:rPr>
              <w:t xml:space="preserve">4. </w:t>
            </w:r>
            <w:r>
              <w:rPr>
                <w:rFonts w:ascii="Times New Roman" w:hAnsi="Times New Roman"/>
                <w:b/>
                <w:sz w:val="16"/>
              </w:rPr>
              <w:t>Modelo de proposta que induz erro</w:t>
            </w:r>
            <w:r>
              <w:rPr>
                <w:rFonts w:ascii="Times New Roman" w:hAnsi="Times New Roman"/>
                <w:sz w:val="16"/>
              </w:rPr>
              <w:t xml:space="preserve"> (C-094): o Anexo V não reproduz a regra de exclusão mútua; o proponente guiado apenas pelo modelo precifica execução simultânea das duas destinações, comprometendo a comparabilidade das propostas (art. 5.º — julgamento objetivo; art. 92, inciso II — vinculação da proposta).</w:t>
            </w:r>
          </w:p>
          <w:p>
            <w:pPr>
              <w:spacing w:after="40" w:before="40" w:line="260" w:lineRule="exact"/>
              <w:jc w:val="both"/>
            </w:pPr>
            <w:r>
              <w:rPr>
                <w:rFonts w:ascii="Times New Roman" w:hAnsi="Times New Roman"/>
                <w:sz w:val="16"/>
              </w:rPr>
              <w:t xml:space="preserve">5. </w:t>
            </w:r>
            <w:r>
              <w:rPr>
                <w:rFonts w:ascii="Times New Roman" w:hAnsi="Times New Roman"/>
                <w:b/>
                <w:sz w:val="16"/>
              </w:rPr>
              <w:t>Base sancionatória contaminada</w:t>
            </w:r>
            <w:r>
              <w:rPr>
                <w:rFonts w:ascii="Times New Roman" w:hAnsi="Times New Roman"/>
                <w:sz w:val="16"/>
              </w:rPr>
              <w:t xml:space="preserve"> (C-234): a multa de 0,5% a 30% incide "sobre o valor do contrato licitado" (item 22.4 do Edital; cláusula 14.2.iv da minuta). Se essa base for o somatório do item 3.5 — que a própria nota qualifica como "caráter exclusivamente de estimativa para fins de empenho global" —, a sanção é calculada sobre valor que jamais será executado, em descompasso com o art. 156, § 3.º, da Lei n.º 14.133/2021, que referencia a multa ao valor do contrato.</w:t>
            </w:r>
          </w:p>
          <w:p>
            <w:pPr>
              <w:spacing w:after="40" w:before="40" w:line="260" w:lineRule="exact"/>
              <w:jc w:val="both"/>
            </w:pPr>
            <w:r>
              <w:rPr>
                <w:rFonts w:ascii="Times New Roman" w:hAnsi="Times New Roman"/>
                <w:sz w:val="16"/>
              </w:rPr>
              <w:t xml:space="preserve">6. </w:t>
            </w:r>
            <w:r>
              <w:rPr>
                <w:rFonts w:ascii="Times New Roman" w:hAnsi="Times New Roman"/>
                <w:b/>
                <w:sz w:val="16"/>
              </w:rPr>
              <w:t>Dotação 2027 aritmeticamente incoerente</w:t>
            </w:r>
            <w:r>
              <w:rPr>
                <w:rFonts w:ascii="Times New Roman" w:hAnsi="Times New Roman"/>
                <w:sz w:val="16"/>
              </w:rPr>
              <w:t xml:space="preserve"> (C-110): o quadro do TR 10.1 prevê para 2027, simultaneamente, 6 meses de coleta/contêineres (R$ 1.988.294,40), 6 meses de aterro municipal (R$ 1.053.124,80) e </w:t>
            </w:r>
            <w:r>
              <w:rPr>
                <w:rFonts w:ascii="Times New Roman" w:hAnsi="Times New Roman"/>
                <w:b/>
                <w:sz w:val="16"/>
              </w:rPr>
              <w:t>12 meses</w:t>
            </w:r>
            <w:r>
              <w:rPr>
                <w:rFonts w:ascii="Times New Roman" w:hAnsi="Times New Roman"/>
                <w:sz w:val="16"/>
              </w:rPr>
              <w:t xml:space="preserve"> de destinação externa (R$ 3.111.014,40 — valor anual integral do item 3), embora o item 3 não possa exceder o período de coleta nem coexistir com o item 2 — fragilizando a demonstração de adequação orçamentária (arts. 15 e 16 da LC n.º 101/2000; art. 92, inciso VIII, da Lei n.º 14.133/2021).</w:t>
            </w:r>
          </w:p>
          <w:p>
            <w:pPr>
              <w:spacing w:after="40" w:before="40" w:line="260" w:lineRule="exact"/>
              <w:jc w:val="both"/>
            </w:pPr>
            <w:r>
              <w:rPr>
                <w:rFonts w:ascii="Times New Roman" w:hAnsi="Times New Roman"/>
                <w:sz w:val="16"/>
              </w:rPr>
              <w:t xml:space="preserve">7. </w:t>
            </w:r>
            <w:r>
              <w:rPr>
                <w:rFonts w:ascii="Times New Roman" w:hAnsi="Times New Roman"/>
                <w:b/>
                <w:sz w:val="16"/>
              </w:rPr>
              <w:t>Origem no planejamento</w:t>
            </w:r>
            <w:r>
              <w:rPr>
                <w:rFonts w:ascii="Times New Roman" w:hAnsi="Times New Roman"/>
                <w:sz w:val="16"/>
              </w:rPr>
              <w:t xml:space="preserve"> (C-015, C-016): o ETP lista as duas destinações como requisitos cumulativos (item 4) e a "descrição da solução como um todo" (item 6) não decide nem parametriza a alternativa — descumprindo a função do estudo técnico preliminar de evidenciar "o problema a ser resolvido e a sua melhor solução" (art. 18, § 1.º, incisos III e VII, da Lei n.º 14.133/2021).</w:t>
            </w:r>
          </w:p>
          <w:p>
            <w:pPr>
              <w:spacing w:after="40" w:before="40" w:line="260" w:lineRule="exact"/>
              <w:jc w:val="both"/>
            </w:pPr>
            <w:r>
              <w:rPr>
                <w:rFonts w:ascii="Times New Roman" w:hAnsi="Times New Roman"/>
                <w:sz w:val="16"/>
              </w:rPr>
              <w:t xml:space="preserve">8. </w:t>
            </w:r>
            <w:r>
              <w:rPr>
                <w:rFonts w:ascii="Times New Roman" w:hAnsi="Times New Roman"/>
                <w:b/>
                <w:sz w:val="16"/>
              </w:rPr>
              <w:t>Valor de 60 meses jamais declarado</w:t>
            </w:r>
            <w:r>
              <w:rPr>
                <w:rFonts w:ascii="Times New Roman" w:hAnsi="Times New Roman"/>
                <w:sz w:val="16"/>
              </w:rPr>
              <w:t xml:space="preserve"> (C-132): a vigência é de 60 meses (TR 11.1), mas todos os valores são referidos a 12 meses e as dotações param em 2027; o valor global da contratação — base legal de garantias, limites e enquadramentos — não é declarado, nem demonstrada a previsão plurianual (art. 92, incisos I e V, da Lei n.º 14.133/2021; arts. 16 e 17 da LC n.º 101/2000).</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Conclusão.</w:t>
            </w:r>
            <w:r>
              <w:rPr>
                <w:rFonts w:ascii="Times New Roman" w:hAnsi="Times New Roman"/>
                <w:sz w:val="16"/>
              </w:rPr>
              <w:t xml:space="preserve"> A soma de itens mutuamente excludentes no valor estimado, replicada no julgamento por menor preço global do lote, no modelo de proposta e na base sancionatória, faz o certame operar sobre grandeza fictícia: viola o art. 23, caput (estimativa compatível com quantidades a contratar), o art. 34, caput (menor dispêndio), o art. 5.º (julgamento objetivo, economicidade), o art. 59, inciso III (parâmetro de desclassificação), e o art. 18, § 1.º (planejamento), todos da Lei n.º 14.133/2021. A correção não exige escolher antecipadamente entre as destinações: basta estimar e julgar por cronograma físico ponderado (X meses de item 2 + Y meses de item 3, com pesos declarados), reproduzir a regra de exclusão mútua no Anexo V e uniformizar em todo o edital a base executável já adotada para capital e garantia.</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Contra-argumentos antecipados —</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xml:space="preserve">- </w:t>
            </w:r>
            <w:r>
              <w:rPr>
                <w:rFonts w:ascii="Times New Roman" w:hAnsi="Times New Roman"/>
                <w:b/>
                <w:sz w:val="16"/>
              </w:rPr>
              <w:t>"A Nota Informativa resolve o problema"</w:t>
            </w:r>
            <w:r>
              <w:rPr>
                <w:rFonts w:ascii="Times New Roman" w:hAnsi="Times New Roman"/>
                <w:sz w:val="16"/>
              </w:rPr>
              <w:t>: a Administração provavelmente dirá que a nota dos itens 1.1/9.1 do TR e 3.5 da minuta já esclarece que o somatório tem "caráter exclusivamente de estimativa para fins de empenho global" e que não haverá pagamento cumulativo — logo não haveria dano ao erário nem prejuízo aos licitantes, todos submetidos às mesmas regras. Réplica embutida no argumento: o vício não está no risco de pagamento em duplicidade, e sim na distorção do *julgamento* (ranking que não mede dispêndio real), do *teto de aceitabilidade* e da *base sancionatória* — efeitos que a nota não neutraliza, como demonstra o próprio edital ao precisar criar a categoria paralela de "valor máximo anual efetivamente executável" para capital e garantia.</w:t>
            </w:r>
          </w:p>
          <w:p>
            <w:pPr>
              <w:spacing w:after="40" w:before="40" w:line="260" w:lineRule="exact"/>
              <w:jc w:val="both"/>
            </w:pPr>
            <w:r>
              <w:rPr>
                <w:rFonts w:ascii="Times New Roman" w:hAnsi="Times New Roman"/>
                <w:sz w:val="16"/>
              </w:rPr>
              <w:t xml:space="preserve">- </w:t>
            </w:r>
            <w:r>
              <w:rPr>
                <w:rFonts w:ascii="Times New Roman" w:hAnsi="Times New Roman"/>
                <w:b/>
                <w:sz w:val="16"/>
              </w:rPr>
              <w:t>"Empenho prudencial ante a incerteza da transição"</w:t>
            </w:r>
            <w:r>
              <w:rPr>
                <w:rFonts w:ascii="Times New Roman" w:hAnsi="Times New Roman"/>
                <w:sz w:val="16"/>
              </w:rPr>
              <w:t>: a defesa poderá sustentar que, ignorada a data da transição, é prudente dotar/estimar os dois cenários integralmente. Contraponto: a prudência orçamentária autorizaria dotar o cenário mais oneroso (item 3 integral), nunca somar os dois — a soma não corresponde a nenhum cenário possível; e a dotação de 2027 é internamente incoerente mesmo sob essa lógica (12 meses de item 3 com 6 meses de coleta).</w:t>
            </w:r>
          </w:p>
          <w:p>
            <w:pPr>
              <w:spacing w:after="40" w:before="40" w:line="260" w:lineRule="exact"/>
              <w:jc w:val="both"/>
            </w:pPr>
            <w:r>
              <w:rPr>
                <w:rFonts w:ascii="Times New Roman" w:hAnsi="Times New Roman"/>
                <w:sz w:val="16"/>
              </w:rPr>
              <w:t xml:space="preserve">- </w:t>
            </w:r>
            <w:r>
              <w:rPr>
                <w:rFonts w:ascii="Times New Roman" w:hAnsi="Times New Roman"/>
                <w:b/>
                <w:sz w:val="16"/>
              </w:rPr>
              <w:t>Precedente contrário sobre julgamento global</w:t>
            </w:r>
            <w:r>
              <w:rPr>
                <w:rFonts w:ascii="Times New Roman" w:hAnsi="Times New Roman"/>
                <w:sz w:val="16"/>
              </w:rPr>
              <w:t xml:space="preserve">: TJRS, Apelação Cível 5000648-34.2015.8.21.0057, Rel. Des. Marilene Bonzanini, 22.ª Câmara Cível, j. 04/05/2023, publ. 11/05/2023 — em empreitada por preço global, a eventual majoração de um item unitário não vicia o certame se a proposta vencedora ofereceu o menor preço global, mais vantajoso à Administração </w:t>
            </w:r>
            <w:r>
              <w:rPr>
                <w:rFonts w:ascii="Times New Roman" w:hAnsi="Times New Roman"/>
                <w:b/>
                <w:color w:val="CC0000"/>
                <w:sz w:val="16"/>
              </w:rPr>
              <w:t>[VIT]</w:t>
            </w:r>
            <w:r>
              <w:rPr>
                <w:rFonts w:ascii="Times New Roman" w:hAnsi="Times New Roman"/>
                <w:sz w:val="16"/>
              </w:rPr>
              <w:t>. Distinção disponível: ali os itens somados eram todos executáveis; aqui um dos i</w:t>
            </w:r>
          </w:p>
          <w:p>
            <w:pPr>
              <w:spacing w:after="40" w:before="40" w:line="260" w:lineRule="exact"/>
              <w:jc w:val="both"/>
            </w:pPr>
            <w:r>
              <w:rPr>
                <w:rFonts w:ascii="Times New Roman" w:hAnsi="Times New Roman"/>
                <w:sz w:val="16"/>
              </w:rPr>
              <w:t>[...texto completo no arquivo AN_bloco correspondente]</w:t>
            </w:r>
          </w:p>
        </w:tc>
        <w:tc>
          <w:tcPr>
            <w:tcW w:type="dxa" w:w="2163"/>
          </w:tcPr>
          <w:p>
            <w:pPr>
              <w:spacing w:after="40" w:before="40" w:line="260" w:lineRule="exact"/>
              <w:jc w:val="both"/>
            </w:pPr>
            <w:r/>
            <w:r>
              <w:rPr>
                <w:rFonts w:ascii="Times New Roman" w:hAnsi="Times New Roman"/>
                <w:sz w:val="16"/>
              </w:rPr>
              <w:t>- art. 5.º da Lei n.º 14.133/2021 (julgamento objetivo, economicidade, competitividade)</w:t>
            </w:r>
          </w:p>
          <w:p>
            <w:pPr>
              <w:spacing w:after="40" w:before="40" w:line="260" w:lineRule="exact"/>
              <w:jc w:val="both"/>
            </w:pPr>
            <w:r>
              <w:rPr>
                <w:rFonts w:ascii="Times New Roman" w:hAnsi="Times New Roman"/>
                <w:sz w:val="16"/>
              </w:rPr>
              <w:t>- art. 6.º, inciso XXIII, alíneas 'a' e 'i', da Lei n.º 14.133/2021</w:t>
            </w:r>
          </w:p>
          <w:p>
            <w:pPr>
              <w:spacing w:after="40" w:before="40" w:line="260" w:lineRule="exact"/>
              <w:jc w:val="both"/>
            </w:pPr>
            <w:r>
              <w:rPr>
                <w:rFonts w:ascii="Times New Roman" w:hAnsi="Times New Roman"/>
                <w:sz w:val="16"/>
              </w:rPr>
              <w:t>- art. 9.º, inciso I, alínea 'a', da Lei n.º 14.133/2021</w:t>
            </w:r>
          </w:p>
          <w:p>
            <w:pPr>
              <w:spacing w:after="40" w:before="40" w:line="260" w:lineRule="exact"/>
              <w:jc w:val="both"/>
            </w:pPr>
            <w:r>
              <w:rPr>
                <w:rFonts w:ascii="Times New Roman" w:hAnsi="Times New Roman"/>
                <w:sz w:val="16"/>
              </w:rPr>
              <w:t>- art. 18, caput e § 1.º, incisos III, IV, VI e VII, da Lei n.º 14.133/2021</w:t>
            </w:r>
          </w:p>
          <w:p>
            <w:pPr>
              <w:spacing w:after="40" w:before="40" w:line="260" w:lineRule="exact"/>
              <w:jc w:val="both"/>
            </w:pPr>
            <w:r>
              <w:rPr>
                <w:rFonts w:ascii="Times New Roman" w:hAnsi="Times New Roman"/>
                <w:sz w:val="16"/>
              </w:rPr>
              <w:t>- art. 23, caput, da Lei n.º 14.133/2021</w:t>
            </w:r>
          </w:p>
          <w:p>
            <w:pPr>
              <w:spacing w:after="40" w:before="40" w:line="260" w:lineRule="exact"/>
              <w:jc w:val="both"/>
            </w:pPr>
            <w:r>
              <w:rPr>
                <w:rFonts w:ascii="Times New Roman" w:hAnsi="Times New Roman"/>
                <w:sz w:val="16"/>
              </w:rPr>
              <w:t>- art. 33, inciso I, e art. 34, caput, da Lei n.º 14.133/2021</w:t>
            </w:r>
          </w:p>
          <w:p>
            <w:pPr>
              <w:spacing w:after="40" w:before="40" w:line="260" w:lineRule="exact"/>
              <w:jc w:val="both"/>
            </w:pPr>
            <w:r>
              <w:rPr>
                <w:rFonts w:ascii="Times New Roman" w:hAnsi="Times New Roman"/>
                <w:sz w:val="16"/>
              </w:rPr>
              <w:t>- art. 59, inciso III, da Lei n.º 14.133/2021</w:t>
            </w:r>
          </w:p>
          <w:p>
            <w:pPr>
              <w:spacing w:after="40" w:before="40" w:line="260" w:lineRule="exact"/>
              <w:jc w:val="both"/>
            </w:pPr>
            <w:r>
              <w:rPr>
                <w:rFonts w:ascii="Times New Roman" w:hAnsi="Times New Roman"/>
                <w:sz w:val="16"/>
              </w:rPr>
              <w:t>- art. 92, incisos I, II, V e VIII, da Lei n.º 14.133/2021</w:t>
            </w:r>
          </w:p>
          <w:p>
            <w:pPr>
              <w:spacing w:after="40" w:before="40" w:line="260" w:lineRule="exact"/>
              <w:jc w:val="both"/>
            </w:pPr>
            <w:r>
              <w:rPr>
                <w:rFonts w:ascii="Times New Roman" w:hAnsi="Times New Roman"/>
                <w:sz w:val="16"/>
              </w:rPr>
              <w:t>- art. 156, § 3.º, da Lei n.º 14.133/2021</w:t>
            </w:r>
          </w:p>
          <w:p>
            <w:pPr>
              <w:spacing w:after="40" w:before="40" w:line="260" w:lineRule="exact"/>
              <w:jc w:val="both"/>
            </w:pPr>
            <w:r>
              <w:rPr>
                <w:rFonts w:ascii="Times New Roman" w:hAnsi="Times New Roman"/>
                <w:sz w:val="16"/>
              </w:rPr>
              <w:t>- arts. 15, 16 e 17 da LC n.º 101/2000</w:t>
            </w:r>
          </w:p>
          <w:p>
            <w:pPr>
              <w:spacing w:after="40" w:before="40" w:line="260" w:lineRule="exact"/>
              <w:jc w:val="both"/>
            </w:pPr>
            <w:r>
              <w:rPr>
                <w:rFonts w:ascii="Times New Roman" w:hAnsi="Times New Roman"/>
                <w:sz w:val="16"/>
              </w:rPr>
              <w:t xml:space="preserve">- STF, MS 39.304, Rel. Min. Gilmar Mendes, decisão monocrática, j. 14/12/2023, publ. 15/12/2023 — mantida multa do TCU a gestor que aprovou edital sem devida quantificação de bens e serviços; a ausência de estimativa adequada de quantitativos "viola o princípio da definição precisa do objeto, imprescindível para assegurar a competitividade e transparência do certame" </w:t>
            </w:r>
            <w:r>
              <w:rPr>
                <w:rFonts w:ascii="Times New Roman" w:hAnsi="Times New Roman"/>
                <w:b/>
                <w:color w:val="CC0000"/>
                <w:sz w:val="16"/>
              </w:rPr>
              <w:t>[VIT]</w:t>
            </w:r>
            <w:r>
              <w:rPr>
                <w:rFonts w:ascii="Times New Roman" w:hAnsi="Times New Roman"/>
                <w:sz w:val="16"/>
              </w:rPr>
            </w:r>
          </w:p>
          <w:p>
            <w:pPr>
              <w:spacing w:after="40" w:before="40" w:line="260" w:lineRule="exact"/>
              <w:jc w:val="both"/>
            </w:pPr>
            <w:r>
              <w:rPr>
                <w:rFonts w:ascii="Times New Roman" w:hAnsi="Times New Roman"/>
                <w:sz w:val="16"/>
              </w:rPr>
              <w:t xml:space="preserve">- STJ, AgInt no AREsp 2.100.717, Rel. Min. Paulo Sérgio Domingues, 1.ª Turma, j. 04/12/2023, publ. 07/12/2023 — as regras editalícias sobre composição do preço da proposta devem preservar impessoalidade, igualdade e julgamento objetivo, vedadas cláusulas que criem "efeitos de distorção da competição" </w:t>
            </w:r>
            <w:r>
              <w:rPr>
                <w:rFonts w:ascii="Times New Roman" w:hAnsi="Times New Roman"/>
                <w:b/>
                <w:color w:val="CC0000"/>
                <w:sz w:val="16"/>
              </w:rPr>
              <w:t>[VIT]</w:t>
            </w:r>
            <w:r>
              <w:rPr>
                <w:rFonts w:ascii="Times New Roman" w:hAnsi="Times New Roman"/>
                <w:sz w:val="16"/>
              </w:rPr>
            </w:r>
          </w:p>
          <w:p>
            <w:pPr>
              <w:spacing w:after="40" w:before="40" w:line="260" w:lineRule="exact"/>
              <w:jc w:val="both"/>
            </w:pPr>
            <w:r>
              <w:rPr>
                <w:rFonts w:ascii="Times New Roman" w:hAnsi="Times New Roman"/>
                <w:sz w:val="16"/>
              </w:rPr>
              <w:t>- [PENDENTE: busca TCU/TCE via Lei na Mão antes do protocolo — orçamento estimativo com itens excludentes/sobreposição de quantitativos; julgamento por preço global com itens de execução alternativa; base de cálculo de multa]</w:t>
            </w:r>
          </w:p>
          <w:p>
            <w:pPr>
              <w:spacing w:after="40" w:before="40" w:line="260" w:lineRule="exact"/>
              <w:jc w:val="both"/>
            </w:pPr>
            <w:r>
              <w:rPr>
                <w:rFonts w:ascii="Times New Roman" w:hAnsi="Times New Roman"/>
                <w:sz w:val="16"/>
              </w:rPr>
              <w:t>— Jurisprudência TCU/TCE (Lei na Mão) —</w:t>
            </w:r>
          </w:p>
          <w:p>
            <w:pPr>
              <w:spacing w:after="40" w:before="40" w:line="260" w:lineRule="exact"/>
              <w:jc w:val="both"/>
            </w:pPr>
            <w:r>
              <w:rPr>
                <w:rFonts w:ascii="Times New Roman" w:hAnsi="Times New Roman"/>
                <w:sz w:val="16"/>
              </w:rPr>
              <w:t>• Entendimento TCU-Plenário, sessão de 25/05/2016 (base Lei na Mão, entrada Jurisprudência Selecionada 8033) [VIT</w:t>
            </w:r>
          </w:p>
          <w:p>
            <w:pPr>
              <w:spacing w:after="40" w:before="40" w:line="260" w:lineRule="exact"/>
              <w:jc w:val="both"/>
            </w:pPr>
            <w:r>
              <w:rPr>
                <w:rFonts w:ascii="Times New Roman" w:hAnsi="Times New Roman"/>
                <w:sz w:val="16"/>
              </w:rPr>
              <w:t xml:space="preserve">• Acórdão 108/2018-TCU-Plenário, Rel. Aroldo Cedraz, sessão de 24/01/2018 </w:t>
            </w:r>
            <w:r>
              <w:rPr>
                <w:rFonts w:ascii="Times New Roman" w:hAnsi="Times New Roman"/>
                <w:b/>
                <w:color w:val="CC0000"/>
                <w:sz w:val="16"/>
              </w:rPr>
              <w:t>[VIT]</w:t>
            </w:r>
            <w:r>
              <w:rPr>
                <w:rFonts w:ascii="Times New Roman" w:hAnsi="Times New Roman"/>
                <w:sz w:val="16"/>
              </w:rPr>
            </w:r>
          </w:p>
          <w:p>
            <w:pPr>
              <w:spacing w:after="40" w:before="40" w:line="260" w:lineRule="exact"/>
              <w:jc w:val="both"/>
            </w:pPr>
            <w:r>
              <w:rPr>
                <w:rFonts w:ascii="Times New Roman" w:hAnsi="Times New Roman"/>
                <w:sz w:val="16"/>
              </w:rPr>
              <w:t>• Entendimento TCU-Plenário, sessão de 09/07/2014 (Jurisprudência Selecionada 20557) [VIT</w:t>
            </w:r>
          </w:p>
          <w:p>
            <w:pPr>
              <w:spacing w:after="40" w:before="40" w:line="260" w:lineRule="exact"/>
              <w:jc w:val="both"/>
            </w:pPr>
            <w:r>
              <w:rPr>
                <w:rFonts w:ascii="Times New Roman" w:hAnsi="Times New Roman"/>
                <w:sz w:val="16"/>
              </w:rPr>
              <w:t>• Entendimentos TCU-Plenário, sessões de 08/02/2017 e de 06/07/2016 (Jurisprudência Selecionada 34411 e 12550) [VIT</w:t>
            </w:r>
          </w:p>
          <w:p>
            <w:pPr>
              <w:spacing w:after="40" w:before="40" w:line="260" w:lineRule="exact"/>
              <w:jc w:val="both"/>
            </w:pPr>
            <w:r>
              <w:rPr>
                <w:rFonts w:ascii="Times New Roman" w:hAnsi="Times New Roman"/>
                <w:sz w:val="16"/>
              </w:rPr>
              <w:t>• Entendimento TCU-Plenário, sessão de 17/06/2015 (Jurisprudência Selecionada 17221) [VIT</w:t>
            </w:r>
          </w:p>
          <w:p>
            <w:pPr>
              <w:spacing w:after="40" w:before="40" w:line="260" w:lineRule="exact"/>
              <w:jc w:val="both"/>
            </w:pPr>
            <w:r>
              <w:rPr>
                <w:rFonts w:ascii="Times New Roman" w:hAnsi="Times New Roman"/>
                <w:sz w:val="16"/>
              </w:rPr>
              <w:t xml:space="preserve">• Acórdão 510/2024-TCU-Plenário, Rel. Walton Alencar Rodrigues, sessão de 27/03/2024 </w:t>
            </w:r>
            <w:r>
              <w:rPr>
                <w:rFonts w:ascii="Times New Roman" w:hAnsi="Times New Roman"/>
                <w:b/>
                <w:color w:val="CC0000"/>
                <w:sz w:val="16"/>
              </w:rPr>
              <w:t>[VIT]</w:t>
            </w:r>
            <w:r>
              <w:rPr>
                <w:rFonts w:ascii="Times New Roman" w:hAnsi="Times New Roman"/>
                <w:sz w:val="16"/>
              </w:rPr>
            </w:r>
          </w:p>
          <w:p>
            <w:pPr>
              <w:spacing w:after="40" w:before="40" w:line="260" w:lineRule="exact"/>
              <w:jc w:val="both"/>
            </w:pPr>
            <w:r>
              <w:rPr>
                <w:rFonts w:ascii="Times New Roman" w:hAnsi="Times New Roman"/>
                <w:sz w:val="16"/>
              </w:rPr>
              <w:t>• Entendimento TCU-Plenário, sessão de 24/06/2020 (Jurisprudência Selecionada 93766) [VIT</w:t>
            </w:r>
          </w:p>
          <w:p>
            <w:pPr>
              <w:spacing w:after="40" w:before="40" w:line="260" w:lineRule="exact"/>
              <w:jc w:val="both"/>
            </w:pPr>
            <w:r>
              <w:rPr>
                <w:rFonts w:ascii="Times New Roman" w:hAnsi="Times New Roman"/>
                <w:sz w:val="16"/>
              </w:rPr>
              <w:t>• Entendimento TCU-Plenário, sessão de 09/06/2021 (Jurisprudência Selecionada 114194) [VIT</w:t>
            </w:r>
          </w:p>
          <w:p>
            <w:pPr>
              <w:spacing w:after="40" w:before="40" w:line="260" w:lineRule="exact"/>
              <w:jc w:val="both"/>
            </w:pPr>
            <w:r>
              <w:rPr>
                <w:rFonts w:ascii="Times New Roman" w:hAnsi="Times New Roman"/>
                <w:sz w:val="16"/>
              </w:rPr>
              <w:t xml:space="preserve">• Acórdão 1865/2026-TCU-Plenário, Rel. Odair Cunha, sessão de 15/07/2026 </w:t>
            </w:r>
            <w:r>
              <w:rPr>
                <w:rFonts w:ascii="Times New Roman" w:hAnsi="Times New Roman"/>
                <w:b/>
                <w:color w:val="CC0000"/>
                <w:sz w:val="16"/>
              </w:rPr>
              <w:t>[VIT]</w:t>
            </w:r>
            <w:r>
              <w:rPr>
                <w:rFonts w:ascii="Times New Roman" w:hAnsi="Times New Roman"/>
                <w:sz w:val="16"/>
              </w:rPr>
            </w:r>
          </w:p>
        </w:tc>
        <w:tc>
          <w:tcPr>
            <w:tcW w:type="dxa" w:w="2163"/>
          </w:tcPr>
          <w:p>
            <w:pPr>
              <w:spacing w:after="40" w:before="40" w:line="260" w:lineRule="exact"/>
              <w:jc w:val="center"/>
            </w:pPr>
            <w:r/>
            <w:r>
              <w:rPr>
                <w:rFonts w:ascii="Times New Roman" w:hAnsi="Times New Roman"/>
                <w:b w:val="0"/>
                <w:sz w:val="18"/>
              </w:rPr>
              <w:t>Sim</w:t>
            </w:r>
          </w:p>
        </w:tc>
        <w:tc>
          <w:tcPr>
            <w:tcW w:type="dxa" w:w="2163"/>
          </w:tcPr>
          <w:p>
            <w:pPr>
              <w:spacing w:after="40" w:before="40" w:line="260" w:lineRule="exact"/>
              <w:jc w:val="center"/>
            </w:pPr>
            <w:r/>
            <w:r>
              <w:rPr>
                <w:rFonts w:ascii="Times New Roman" w:hAnsi="Times New Roman"/>
                <w:b w:val="0"/>
                <w:sz w:val="18"/>
              </w:rPr>
              <w:t>IMPUGNACAO</w:t>
              <w:br/>
              <w:t>(Administração)</w:t>
            </w:r>
          </w:p>
        </w:tc>
      </w:tr>
      <w:tr>
        <w:tc>
          <w:tcPr>
            <w:tcW w:type="dxa" w:w="2163"/>
            <w:shd w:fill="F2F2F2" w:val="clear"/>
          </w:tcPr>
          <w:p>
            <w:pPr>
              <w:spacing w:after="40" w:before="40" w:line="260" w:lineRule="exact"/>
              <w:jc w:val="center"/>
            </w:pPr>
            <w:r/>
            <w:r>
              <w:rPr>
                <w:rFonts w:ascii="Times New Roman" w:hAnsi="Times New Roman"/>
                <w:b w:val="0"/>
                <w:sz w:val="18"/>
              </w:rPr>
              <w:t>T2</w:t>
            </w:r>
          </w:p>
        </w:tc>
        <w:tc>
          <w:tcPr>
            <w:tcW w:type="dxa" w:w="2163"/>
            <w:shd w:fill="F2F2F2" w:val="clear"/>
          </w:tcPr>
          <w:p>
            <w:pPr>
              <w:spacing w:after="40" w:before="40" w:line="260" w:lineRule="exact"/>
            </w:pPr>
            <w:r/>
            <w:r>
              <w:rPr>
                <w:rFonts w:ascii="Times New Roman" w:hAnsi="Times New Roman"/>
                <w:b w:val="0"/>
                <w:sz w:val="18"/>
              </w:rPr>
              <w:t>Objeto e escopo</w:t>
            </w:r>
          </w:p>
        </w:tc>
        <w:tc>
          <w:tcPr>
            <w:tcW w:type="dxa" w:w="2163"/>
            <w:shd w:fill="F2F2F2" w:val="clear"/>
          </w:tcPr>
          <w:p>
            <w:pPr>
              <w:spacing w:after="40" w:before="40" w:line="260" w:lineRule="exact"/>
              <w:jc w:val="both"/>
            </w:pPr>
            <w:r/>
            <w:r>
              <w:rPr>
                <w:rFonts w:ascii="Times New Roman" w:hAnsi="Times New Roman"/>
                <w:sz w:val="18"/>
              </w:rPr>
              <w:t>Transição item 2 → item 3 sem disciplina</w:t>
            </w:r>
          </w:p>
          <w:p>
            <w:pPr>
              <w:spacing w:after="40" w:before="40" w:line="260" w:lineRule="exact"/>
              <w:jc w:val="both"/>
            </w:pPr>
            <w:r>
              <w:rPr>
                <w:rFonts w:ascii="Times New Roman" w:hAnsi="Times New Roman"/>
                <w:sz w:val="18"/>
              </w:rPr>
            </w:r>
            <w:r>
              <w:rPr>
                <w:rFonts w:ascii="Times New Roman" w:hAnsi="Times New Roman"/>
                <w:b/>
                <w:color w:val="CC0000"/>
                <w:sz w:val="18"/>
              </w:rPr>
              <w:t>[VALIDAÇÃO TÉCNICA]</w:t>
            </w:r>
            <w:r>
              <w:rPr>
                <w:rFonts w:ascii="Times New Roman" w:hAnsi="Times New Roman"/>
                <w:sz w:val="18"/>
              </w:rPr>
            </w:r>
          </w:p>
        </w:tc>
        <w:tc>
          <w:tcPr>
            <w:tcW w:type="dxa" w:w="2163"/>
            <w:shd w:fill="F2F2F2" w:val="clear"/>
          </w:tcPr>
          <w:p>
            <w:pPr>
              <w:spacing w:after="40" w:before="40" w:line="260" w:lineRule="exact"/>
              <w:jc w:val="both"/>
            </w:pPr>
            <w:r/>
            <w:r>
              <w:rPr>
                <w:rFonts w:ascii="Times New Roman" w:hAnsi="Times New Roman"/>
                <w:sz w:val="16"/>
              </w:rPr>
            </w:r>
            <w:r>
              <w:rPr>
                <w:rFonts w:ascii="Times New Roman" w:hAnsi="Times New Roman"/>
                <w:b/>
                <w:sz w:val="16"/>
              </w:rPr>
              <w:t>Premissa normativa.</w:t>
            </w:r>
            <w:r>
              <w:rPr>
                <w:rFonts w:ascii="Times New Roman" w:hAnsi="Times New Roman"/>
                <w:sz w:val="16"/>
              </w:rPr>
              <w:t xml:space="preserve"> O termo de referência deve definir o modelo de execução do objeto — "como o contrato deverá produzir os resultados pretendidos desde o seu início até o seu encerramento" (art. 6.º, inciso XXIII, alínea 'e', da Lei n.º 14.133/2021) — e o contrato deve conter cláusulas que estabeleçam o regime de execução, o preço e condições de pagamento e os prazos das etapas (art. 92, incisos IV, V e VII, da Lei n.º 14.133/2021), "com clareza e precisão" (art. 89, § 2.º, da Lei n.º 14.133/2021). A alocação de riscos deve considerar "a capacidade de cada setor para melhor gerenciá-lo" e ser quantificada para projeção no valor estimado (art. 103, §§ 1.º e 3.º, da Lei n.º 14.133/2021); a matriz de riscos caracteriza o equilíbrio econômico-financeiro inicial (art. 6.º, inciso XXVII, da Lei n.º 14.133/2021). O reequilíbrio por acordo pressupõe fatos imprevisíveis ou previsíveis de consequências incalculáveis, "respeitada, em qualquer caso, a repartição objetiva de risco estabelecida no contrato" (art. 124, inciso II, alínea 'd', da Lei n.º 14.133/2021); e as prerrogativas unilaterais da Administração não alcançam as cláusulas econômico-financeiras, que "não poderão ser alteradas sem prévia concordância do contratado", impondo-se revisão quando a modificação unilateral as afete (art. 104, §§ 1.º e 2.º, da Lei n.º 14.133/2021). Aplicam-se supletivamente as disposições de direito privado (art. 89, caput), entre elas a vedação de condição sujeita "ao puro arbítrio de uma das partes" (art. 122 do Código Civil). Ato administrativo que repercute na esfera patrimonial do particular exige motivação e contraditório (art. 5.º, inciso LV, da CF/1988; art. 5.º da Lei n.º 14.133/2021 — motivação).</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Fato editalício.</w:t>
            </w:r>
            <w:r>
              <w:rPr>
                <w:rFonts w:ascii="Times New Roman" w:hAnsi="Times New Roman"/>
                <w:sz w:val="16"/>
              </w:rPr>
              <w:t xml:space="preserve"> A transição é o evento economicamente central do contrato: extingue o faturamento do item 2 e inaugura o item 3 (R$ 2,1 → R$ 3,1 milhões/ano, logística inteiramente diversa). O edital a disciplina assim:</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xml:space="preserve">1. </w:t>
            </w:r>
            <w:r>
              <w:rPr>
                <w:rFonts w:ascii="Times New Roman" w:hAnsi="Times New Roman"/>
                <w:b/>
                <w:sz w:val="16"/>
              </w:rPr>
              <w:t>Gatilho unilateral sem critério nem procedimento</w:t>
            </w:r>
            <w:r>
              <w:rPr>
                <w:rFonts w:ascii="Times New Roman" w:hAnsi="Times New Roman"/>
                <w:sz w:val="16"/>
              </w:rPr>
              <w:t xml:space="preserve"> (C-224): "É de responsabilidade dos técnicos da CONTRATANTE a validação contínua da utilização da vala, monitorando a capacidade de carga e estabilidade dos taludes conforme projeto, viabilizando o momento técnico oportuno para o fim do recebimento de resíduos" (TR 5.5.18; minuta 9.5.18); "A partir da constatação do encerramento do Aterro Municipal, fica expressamente vedada a cobrança do Item 2" (TR 5.1.6.3; minuta 9.1.6.3). Não há: parâmetro técnico objetivo de esgotamento, procedimento formal de constatação, laudo, prazo de aviso prévio, nem participação ou manifestação da contratada. O efeito — cessação de fonte de receita e alteração do regime de execução — fica sujeito a juízo exclusivo de uma das partes.</w:t>
            </w:r>
          </w:p>
          <w:p>
            <w:pPr>
              <w:spacing w:after="40" w:before="40" w:line="260" w:lineRule="exact"/>
              <w:jc w:val="both"/>
            </w:pPr>
            <w:r>
              <w:rPr>
                <w:rFonts w:ascii="Times New Roman" w:hAnsi="Times New Roman"/>
                <w:sz w:val="16"/>
              </w:rPr>
              <w:t xml:space="preserve">2. </w:t>
            </w:r>
            <w:r>
              <w:rPr>
                <w:rFonts w:ascii="Times New Roman" w:hAnsi="Times New Roman"/>
                <w:b/>
                <w:sz w:val="16"/>
              </w:rPr>
              <w:t>Premissa fática divergente nos autos</w:t>
            </w:r>
            <w:r>
              <w:rPr>
                <w:rFonts w:ascii="Times New Roman" w:hAnsi="Times New Roman"/>
                <w:sz w:val="16"/>
              </w:rPr>
              <w:t xml:space="preserve"> (C-024): a resposta à 2.ª impugnação afirmou aterro "com vida útil e licença de operação vigente até 2029"; o edital reaberto estima o fim da vida útil da Vala 05 "para o primeiro semestre de 2027" (TR 2.4, 5.1.6.2 e 5.5.17). A mesma premissa usada para rejeitar impugnação anterior é contradita pelo texto vigente. `</w:t>
            </w:r>
            <w:r>
              <w:rPr>
                <w:rFonts w:ascii="Times New Roman" w:hAnsi="Times New Roman"/>
                <w:b/>
                <w:color w:val="CC0000"/>
                <w:sz w:val="16"/>
              </w:rPr>
              <w:t>[VALIDAÇÃO TÉCNICA: a vida útil remanescente real da Vala 05 depende de dados topográficos e de capacidade não anexados]</w:t>
            </w:r>
            <w:r>
              <w:rPr>
                <w:rFonts w:ascii="Times New Roman" w:hAnsi="Times New Roman"/>
                <w:sz w:val="16"/>
              </w:rPr>
              <w:t>`</w:t>
            </w:r>
          </w:p>
          <w:p>
            <w:pPr>
              <w:spacing w:after="40" w:before="40" w:line="260" w:lineRule="exact"/>
              <w:jc w:val="both"/>
            </w:pPr>
            <w:r>
              <w:rPr>
                <w:rFonts w:ascii="Times New Roman" w:hAnsi="Times New Roman"/>
                <w:sz w:val="16"/>
              </w:rPr>
              <w:t xml:space="preserve">3. </w:t>
            </w:r>
            <w:r>
              <w:rPr>
                <w:rFonts w:ascii="Times New Roman" w:hAnsi="Times New Roman"/>
                <w:b/>
                <w:sz w:val="16"/>
              </w:rPr>
              <w:t>Qualificações incompatíveis do mesmo evento</w:t>
            </w:r>
            <w:r>
              <w:rPr>
                <w:rFonts w:ascii="Times New Roman" w:hAnsi="Times New Roman"/>
                <w:sz w:val="16"/>
              </w:rPr>
              <w:t xml:space="preserve"> (C-179): o esgotamento é "provavelmente no primeiro semestre de 2027" (evento previsível e datado — TR 5.1.6.2/minuta 9.1.6.2) e, três itens adiante, "ocorrência extraordinária e comprovada do esgotamento da vida útil" (minuta 9.1.6.5/TR 5.1.6.5) — o contrato trata o mesmo fato como álea ordinária para alocar custos à contratada e como álea extraordinária para condicionar o reequilíbrio.</w:t>
            </w:r>
          </w:p>
          <w:p>
            <w:pPr>
              <w:spacing w:after="40" w:before="40" w:line="260" w:lineRule="exact"/>
              <w:jc w:val="both"/>
            </w:pPr>
            <w:r>
              <w:rPr>
                <w:rFonts w:ascii="Times New Roman" w:hAnsi="Times New Roman"/>
                <w:sz w:val="16"/>
              </w:rPr>
              <w:t xml:space="preserve">4. </w:t>
            </w:r>
            <w:r>
              <w:rPr>
                <w:rFonts w:ascii="Times New Roman" w:hAnsi="Times New Roman"/>
                <w:b/>
                <w:sz w:val="16"/>
              </w:rPr>
              <w:t>Preço único para logísticas radicalmente distintas, dependentes de evento incerto controlado pela Administração</w:t>
            </w:r>
            <w:r>
              <w:rPr>
                <w:rFonts w:ascii="Times New Roman" w:hAnsi="Times New Roman"/>
                <w:sz w:val="16"/>
              </w:rPr>
              <w:t xml:space="preserve"> (C-028): o item 3 tem preço único (R$ 249,28/t) para duas execuções alternativas — (a) uso da Estação de Transbordo Municipal "Caso a obra esteja finalizada, apta e com licença de operação emitida", exigindo da contratada 3 carretas semirreboque basculantes de 30-40 t; ou (b) "Transporte Direto: Destinação para aterro licenciado em outro município, sob inteira responsabilidade da CONTRATADA" (TR 5.1.6.4; minuta 9.1.6.4) — a distâncias de 67 a 140 km em veículos compactadores. A disponibilidade do transbordo depende da conclusão da obra e da licença de operação, ambas a cargo da Administração (TR 5.5.19). O licitante não tem como precificar homogeneamente cenários de custo estruturalmente diversos cuja escolha não lhe pertence. `</w:t>
            </w:r>
            <w:r>
              <w:rPr>
                <w:rFonts w:ascii="Times New Roman" w:hAnsi="Times New Roman"/>
                <w:b/>
                <w:color w:val="CC0000"/>
                <w:sz w:val="16"/>
              </w:rPr>
              <w:t>[VALIDAÇÃO TÉCNICA: diferencial de custo transbordo vs. transporte direto; dimensionamento de frota]</w:t>
            </w:r>
            <w:r>
              <w:rPr>
                <w:rFonts w:ascii="Times New Roman" w:hAnsi="Times New Roman"/>
                <w:sz w:val="16"/>
              </w:rPr>
              <w:t>`</w:t>
            </w:r>
          </w:p>
          <w:p>
            <w:pPr>
              <w:spacing w:after="40" w:before="40" w:line="260" w:lineRule="exact"/>
              <w:jc w:val="both"/>
            </w:pPr>
            <w:r>
              <w:rPr>
                <w:rFonts w:ascii="Times New Roman" w:hAnsi="Times New Roman"/>
                <w:sz w:val="16"/>
              </w:rPr>
              <w:t xml:space="preserve">5. </w:t>
            </w:r>
            <w:r>
              <w:rPr>
                <w:rFonts w:ascii="Times New Roman" w:hAnsi="Times New Roman"/>
                <w:b/>
                <w:sz w:val="16"/>
              </w:rPr>
              <w:t>Investimento condicionado sem item remuneratório</w:t>
            </w:r>
            <w:r>
              <w:rPr>
                <w:rFonts w:ascii="Times New Roman" w:hAnsi="Times New Roman"/>
                <w:sz w:val="16"/>
              </w:rPr>
              <w:t xml:space="preserve"> (C-193): as 3 carretas são exigidas apenas "Caso a CONTRATADA opte pela utilização da estação de transbordo" (minuta 9.4.5; TR 5.5.19), sem item de remuneração próprio, sem prazo para disponibilização e sem regra sobre o destino do investimento se o transbordo não operar ou operar tardiamente.</w:t>
            </w:r>
          </w:p>
          <w:p>
            <w:pPr>
              <w:spacing w:after="40" w:before="40" w:line="260" w:lineRule="exact"/>
              <w:jc w:val="both"/>
            </w:pPr>
            <w:r>
              <w:rPr>
                <w:rFonts w:ascii="Times New Roman" w:hAnsi="Times New Roman"/>
                <w:sz w:val="16"/>
              </w:rPr>
              <w:t xml:space="preserve">6. </w:t>
            </w:r>
            <w:r>
              <w:rPr>
                <w:rFonts w:ascii="Times New Roman" w:hAnsi="Times New Roman"/>
                <w:b/>
                <w:sz w:val="16"/>
              </w:rPr>
              <w:t>Reequilíbrio ressalvado apenas para hipótese composta estreita</w:t>
            </w:r>
            <w:r>
              <w:rPr>
                <w:rFonts w:ascii="Times New Roman" w:hAnsi="Times New Roman"/>
                <w:sz w:val="16"/>
              </w:rPr>
              <w:t xml:space="preserve"> (C-209): "Todos os custos previsíveis decorrentes da transição para o Item 3 são de responsabilidade exclusiva da CONTRATADA, uma vez que a composição de preço já é diferenciada para o item (...) já precificáveis a partir dos parâmetros do edital", preservando-se o reequilíbrio somente nas hipóteses do art. 124, II, 'd', e na hipótese composta "esgotamento (...) aliada à não emissão da licença de operação da estação de transbordo" (TR 5.1.6.5; minuta 9.1.6.5). A premissa de precificabilidade é desmentida pelo próprio edital: a data é divergente (2027 vs. 2029), os dados operacionais da vala não foram anexados e a logística aplicável é indeterminada.</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Conclusão.</w:t>
            </w:r>
            <w:r>
              <w:rPr>
                <w:rFonts w:ascii="Times New Roman" w:hAnsi="Times New Roman"/>
                <w:sz w:val="16"/>
              </w:rPr>
              <w:t xml:space="preserve"> O conjunto configura indefinição do modelo de execução no seu evento central (art. 6.º, XXIII, 'e'; art. 92, IV, V e VII; art. 89, § 2.º), alocação de risco em desacordo com a capacidade de gerenciamento — o cronograma da obra do transbordo, o pedido da LO e a constatação do esgotamento são todos controlados pela contratante — (art. 103, § 1.º), sem quantificação (art. 103, § 3.º), com gatilho potestativo (art. 122 do CC c/c art. 89 da Lei n.º 14.133/2021; art. 5.º, LV, da CF/1988) e cláusula de reequilíbrio que qualifica como extraordinário evento que o próprio contrato data (art. 124, II, 'd', c/c art. 103). Dois licitantes diligentes chegarão a preços legitimamente díspares para o mesmo item conforme a aposta que fizerem sobre "quando" e "como" — o que compromete a comparabilidade das propostas (art. 5.º — julgamento objetivo) e antecipa contencioso certo de reequilíbrio na execução. Correção possível sem alterar a concepção: (i) parâmetros técnicos objetivos e procedimento formal de constatação do esgotamento, com laudo, contraditório e aviso prévio mínimo; (ii) segregação do item 3 em subitens por cenário logístico (ou item específico para a fase transbordo), com regra de conversão; (iii) item remuneratório ou regra de reversão para as carretas; (iv) harmonização das cláusulas 9.1.6.2/9.1.6.5 com a matriz de riscos.</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Contra-argumentos antecipados —</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xml:space="preserve">- </w:t>
            </w:r>
            <w:r>
              <w:rPr>
                <w:rFonts w:ascii="Times New Roman" w:hAnsi="Times New Roman"/>
                <w:b/>
                <w:sz w:val="16"/>
              </w:rPr>
              <w:t>Transparência e isonomia formal</w:t>
            </w:r>
            <w:r>
              <w:rPr>
                <w:rFonts w:ascii="Times New Roman" w:hAnsi="Times New Roman"/>
                <w:sz w:val="16"/>
              </w:rPr>
              <w:t>: a Administração dirá que a transição está anunciada com destaque (Nota Informativa, itens 5.1.6.x, 5.5.17-5.5.19), que todos os licitantes concorrem sob a mesma incerteza e que o preço do item 3 (R$ 249,28/t, superior ao do item 2) "já é diferenciado" para absorver a logística externa — reproduzindo o texto do item 5.1.6.5.</w:t>
            </w:r>
          </w:p>
          <w:p>
            <w:pPr>
              <w:spacing w:after="40" w:before="40" w:line="260" w:lineRule="exact"/>
              <w:jc w:val="both"/>
            </w:pPr>
            <w:r>
              <w:rPr>
                <w:rFonts w:ascii="Times New Roman" w:hAnsi="Times New Roman"/>
                <w:sz w:val="16"/>
              </w:rPr>
              <w:t xml:space="preserve">- </w:t>
            </w:r>
            <w:r>
              <w:rPr>
                <w:rFonts w:ascii="Times New Roman" w:hAnsi="Times New Roman"/>
                <w:b/>
                <w:sz w:val="16"/>
              </w:rPr>
              <w:t>Discricionariedade técnica e fiscalização</w:t>
            </w:r>
            <w:r>
              <w:rPr>
                <w:rFonts w:ascii="Times New Roman" w:hAnsi="Times New Roman"/>
                <w:sz w:val="16"/>
              </w:rPr>
              <w:t>: a validação da vala por técnicos municipais seria exercício regular da prerrogativa de fiscalização (art. 104, inciso III, da Lei n.º 14.133/2021) e decorrência da titularidade do serviço; exigir critérios rígidos engessaria a gestão de um ativo público sob risco geotécnico. Réplica embutida: fiscalizar não se confunde com decidir sem critério, procedimento ou contraditório ato que extingue a receita do particular; a prerrogativa do art. 104 não alcança cláusulas econômico-financeiras (art. 104, § 1.º).</w:t>
            </w:r>
          </w:p>
          <w:p>
            <w:pPr>
              <w:spacing w:after="40" w:before="40" w:line="260" w:lineRule="exact"/>
              <w:jc w:val="both"/>
            </w:pPr>
            <w:r>
              <w:rPr>
                <w:rFonts w:ascii="Times New Roman" w:hAnsi="Times New Roman"/>
                <w:sz w:val="16"/>
              </w:rPr>
              <w:t>[...texto completo no arquivo AN_bloco correspondente]</w:t>
            </w:r>
          </w:p>
        </w:tc>
        <w:tc>
          <w:tcPr>
            <w:tcW w:type="dxa" w:w="2163"/>
            <w:shd w:fill="F2F2F2" w:val="clear"/>
          </w:tcPr>
          <w:p>
            <w:pPr>
              <w:spacing w:after="40" w:before="40" w:line="260" w:lineRule="exact"/>
              <w:jc w:val="both"/>
            </w:pPr>
            <w:r/>
            <w:r>
              <w:rPr>
                <w:rFonts w:ascii="Times New Roman" w:hAnsi="Times New Roman"/>
                <w:sz w:val="16"/>
              </w:rPr>
              <w:t>- art. 5.º da Lei n.º 14.133/2021 (julgamento objetivo, motivação, segurança jurídica)</w:t>
            </w:r>
          </w:p>
          <w:p>
            <w:pPr>
              <w:spacing w:after="40" w:before="40" w:line="260" w:lineRule="exact"/>
              <w:jc w:val="both"/>
            </w:pPr>
            <w:r>
              <w:rPr>
                <w:rFonts w:ascii="Times New Roman" w:hAnsi="Times New Roman"/>
                <w:sz w:val="16"/>
              </w:rPr>
              <w:t>- art. 6.º, incisos XXIII, alíneas 'a' e 'e', e XXVII, da Lei n.º 14.133/2021</w:t>
            </w:r>
          </w:p>
          <w:p>
            <w:pPr>
              <w:spacing w:after="40" w:before="40" w:line="260" w:lineRule="exact"/>
              <w:jc w:val="both"/>
            </w:pPr>
            <w:r>
              <w:rPr>
                <w:rFonts w:ascii="Times New Roman" w:hAnsi="Times New Roman"/>
                <w:sz w:val="16"/>
              </w:rPr>
              <w:t>- art. 18, caput e § 1.º, da Lei n.º 14.133/2021</w:t>
            </w:r>
          </w:p>
          <w:p>
            <w:pPr>
              <w:spacing w:after="40" w:before="40" w:line="260" w:lineRule="exact"/>
              <w:jc w:val="both"/>
            </w:pPr>
            <w:r>
              <w:rPr>
                <w:rFonts w:ascii="Times New Roman" w:hAnsi="Times New Roman"/>
                <w:sz w:val="16"/>
              </w:rPr>
              <w:t>- art. 89, caput e § 2.º, da Lei n.º 14.133/2021</w:t>
            </w:r>
          </w:p>
          <w:p>
            <w:pPr>
              <w:spacing w:after="40" w:before="40" w:line="260" w:lineRule="exact"/>
              <w:jc w:val="both"/>
            </w:pPr>
            <w:r>
              <w:rPr>
                <w:rFonts w:ascii="Times New Roman" w:hAnsi="Times New Roman"/>
                <w:sz w:val="16"/>
              </w:rPr>
              <w:t>- art. 92, incisos IV, V, VII e IX, da Lei n.º 14.133/2021</w:t>
            </w:r>
          </w:p>
          <w:p>
            <w:pPr>
              <w:spacing w:after="40" w:before="40" w:line="260" w:lineRule="exact"/>
              <w:jc w:val="both"/>
            </w:pPr>
            <w:r>
              <w:rPr>
                <w:rFonts w:ascii="Times New Roman" w:hAnsi="Times New Roman"/>
                <w:sz w:val="16"/>
              </w:rPr>
              <w:t>- art. 103, caput e §§ 1.º, 3.º e 4.º, da Lei n.º 14.133/2021</w:t>
            </w:r>
          </w:p>
          <w:p>
            <w:pPr>
              <w:spacing w:after="40" w:before="40" w:line="260" w:lineRule="exact"/>
              <w:jc w:val="both"/>
            </w:pPr>
            <w:r>
              <w:rPr>
                <w:rFonts w:ascii="Times New Roman" w:hAnsi="Times New Roman"/>
                <w:sz w:val="16"/>
              </w:rPr>
              <w:t>- art. 104, incisos e §§ 1.º e 2.º, da Lei n.º 14.133/2021</w:t>
            </w:r>
          </w:p>
          <w:p>
            <w:pPr>
              <w:spacing w:after="40" w:before="40" w:line="260" w:lineRule="exact"/>
              <w:jc w:val="both"/>
            </w:pPr>
            <w:r>
              <w:rPr>
                <w:rFonts w:ascii="Times New Roman" w:hAnsi="Times New Roman"/>
                <w:sz w:val="16"/>
              </w:rPr>
              <w:t>- art. 124, inciso II, alínea 'd', da Lei n.º 14.133/2021</w:t>
            </w:r>
          </w:p>
          <w:p>
            <w:pPr>
              <w:spacing w:after="40" w:before="40" w:line="260" w:lineRule="exact"/>
              <w:jc w:val="both"/>
            </w:pPr>
            <w:r>
              <w:rPr>
                <w:rFonts w:ascii="Times New Roman" w:hAnsi="Times New Roman"/>
                <w:sz w:val="16"/>
              </w:rPr>
              <w:t>- art. 122 do Código Civil (Lei n.º 10.406/2002), aplicável supletivamente (art. 89, caput, da Lei n.º 14.133/2021)</w:t>
            </w:r>
          </w:p>
          <w:p>
            <w:pPr>
              <w:spacing w:after="40" w:before="40" w:line="260" w:lineRule="exact"/>
              <w:jc w:val="both"/>
            </w:pPr>
            <w:r>
              <w:rPr>
                <w:rFonts w:ascii="Times New Roman" w:hAnsi="Times New Roman"/>
                <w:sz w:val="16"/>
              </w:rPr>
              <w:t>- art. 5.º, inciso LV, da CF/1988</w:t>
            </w:r>
          </w:p>
          <w:p>
            <w:pPr>
              <w:spacing w:after="40" w:before="40" w:line="260" w:lineRule="exact"/>
              <w:jc w:val="both"/>
            </w:pPr>
            <w:r>
              <w:rPr>
                <w:rFonts w:ascii="Times New Roman" w:hAnsi="Times New Roman"/>
                <w:sz w:val="16"/>
              </w:rPr>
              <w:t xml:space="preserve">- TJPR, Apelação Cível 0013281-07.2021.8.16.0021, Rel. Des. Clayton de Albuquerque Maranhão, 4.ª Câmara Cível, publ. 18/03/2025 — reequilíbrio negado por ausência de fato imprevisível; variações previsíveis de insumos constituem risco ordinário do contratado </w:t>
            </w:r>
            <w:r>
              <w:rPr>
                <w:rFonts w:ascii="Times New Roman" w:hAnsi="Times New Roman"/>
                <w:b/>
                <w:color w:val="CC0000"/>
                <w:sz w:val="16"/>
              </w:rPr>
              <w:t>[VIT]</w:t>
            </w:r>
            <w:r>
              <w:rPr>
                <w:rFonts w:ascii="Times New Roman" w:hAnsi="Times New Roman"/>
                <w:sz w:val="16"/>
              </w:rPr>
            </w:r>
          </w:p>
          <w:p>
            <w:pPr>
              <w:spacing w:after="40" w:before="40" w:line="260" w:lineRule="exact"/>
              <w:jc w:val="both"/>
            </w:pPr>
            <w:r>
              <w:rPr>
                <w:rFonts w:ascii="Times New Roman" w:hAnsi="Times New Roman"/>
                <w:sz w:val="16"/>
              </w:rPr>
              <w:t xml:space="preserve">- TJPR, Apelação Cível 0001742-77.2020.8.16.0086, Rel. Des. Astrid Maranhão de Carvalho Ruthes, 4.ª Câmara Cível, publ. 24/02/2025 — fatos previsíveis devem ser considerados na formulação da proposta; reequilíbrio restrito a fato imprevisível ou previsível de consequências incalculáveis </w:t>
            </w:r>
            <w:r>
              <w:rPr>
                <w:rFonts w:ascii="Times New Roman" w:hAnsi="Times New Roman"/>
                <w:b/>
                <w:color w:val="CC0000"/>
                <w:sz w:val="16"/>
              </w:rPr>
              <w:t>[VIT]</w:t>
            </w:r>
            <w:r>
              <w:rPr>
                <w:rFonts w:ascii="Times New Roman" w:hAnsi="Times New Roman"/>
                <w:sz w:val="16"/>
              </w:rPr>
            </w:r>
          </w:p>
          <w:p>
            <w:pPr>
              <w:spacing w:after="40" w:before="40" w:line="260" w:lineRule="exact"/>
              <w:jc w:val="both"/>
            </w:pPr>
            <w:r>
              <w:rPr>
                <w:rFonts w:ascii="Times New Roman" w:hAnsi="Times New Roman"/>
                <w:sz w:val="16"/>
              </w:rPr>
              <w:t xml:space="preserve">- TRT2, RO 1000450-03.2024.5.02.0066, Rel. Des. Ivani Contini Bramante, 4.ª Turma, j. 11/11/2025 — aplicação analógica: é nula a condição que sujeita a eficácia do negócio "ao puro arbítrio de uma das partes" (art. 122 do CC) </w:t>
            </w:r>
            <w:r>
              <w:rPr>
                <w:rFonts w:ascii="Times New Roman" w:hAnsi="Times New Roman"/>
                <w:b/>
                <w:color w:val="CC0000"/>
                <w:sz w:val="16"/>
              </w:rPr>
              <w:t>[VIT]</w:t>
            </w:r>
            <w:r>
              <w:rPr>
                <w:rFonts w:ascii="Times New Roman" w:hAnsi="Times New Roman"/>
                <w:sz w:val="16"/>
              </w:rPr>
            </w:r>
          </w:p>
          <w:p>
            <w:pPr>
              <w:spacing w:after="40" w:before="40" w:line="260" w:lineRule="exact"/>
              <w:jc w:val="both"/>
            </w:pPr>
            <w:r>
              <w:rPr>
                <w:rFonts w:ascii="Times New Roman" w:hAnsi="Times New Roman"/>
                <w:sz w:val="16"/>
              </w:rPr>
              <w:t>- Não localizei, na busca realizada, precedente judicial específico sobre gatilho potestativo de transição de fase em contrato administrativo de RSU — a analogia civil (art. 122 do CC) e os fundamentos de direito público acima sustentam a tese</w:t>
            </w:r>
          </w:p>
          <w:p>
            <w:pPr>
              <w:spacing w:after="40" w:before="40" w:line="260" w:lineRule="exact"/>
              <w:jc w:val="both"/>
            </w:pPr>
            <w:r>
              <w:rPr>
                <w:rFonts w:ascii="Times New Roman" w:hAnsi="Times New Roman"/>
                <w:sz w:val="16"/>
              </w:rPr>
              <w:t>- [PENDENTE: busca TCU/TCE via Lei na Mão antes do protocolo — alocação de riscos sem parâmetros; cláusulas de reequilíbrio restritivas; indefinição de modelo de execução em serviços de RSU]</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Observação de coerência estratégica:</w:t>
            </w:r>
            <w:r>
              <w:rPr>
                <w:rFonts w:ascii="Times New Roman" w:hAnsi="Times New Roman"/>
                <w:sz w:val="16"/>
              </w:rPr>
              <w:t xml:space="preserve"> a linha jurisprudencial que nega reequilíbrio a eventos previsíveis (TJPR acima) opera nos dois sentidos — é o contra-argumento natural da Administração ("risco previsível, precifique") e, simultaneamente, a demonstração de que a licitante não terá remédio eficaz na execução: se o vício não for sanado no edital, a repartição de riscos do contrato (art. 124, II, 'd', parte final) será oposta a qualquer pleito futuro. Este é o fundamento prático da correção *ex ante*.</w:t>
            </w:r>
          </w:p>
          <w:p>
            <w:pPr>
              <w:spacing w:after="40" w:before="40" w:line="260" w:lineRule="exact"/>
              <w:jc w:val="both"/>
            </w:pPr>
            <w:r>
              <w:rPr>
                <w:rFonts w:ascii="Times New Roman" w:hAnsi="Times New Roman"/>
                <w:sz w:val="16"/>
              </w:rPr>
              <w:t>Doutrina: - MARIA SYLVIA ZANELLA DI PIETRO, *Direito Administrativo*, 12.ª ed., São Paulo: Atlas, p. 202-203 e 208 — tipologia das áleas: a álea administrativa (alteração unilateral, fato do príncipe e fato da Administração — "toda ação ou omissão do Poder Público que, incidindo direta e especificamente sobre o contrato, retarda, agrava ou impede a sua execução", Hely Lopes Meirelles apud Di Pietro) corre por conta da Administração, a quem incumbe restabelecer o equilíbrio; fato previsível e de consequências calculáveis é álea ordinária do contratado — donde a incoerência de o edital datar o evento e o qualificar de extraordinário.</w:t>
            </w:r>
          </w:p>
          <w:p>
            <w:pPr>
              <w:spacing w:after="40" w:before="40" w:line="260" w:lineRule="exact"/>
              <w:jc w:val="both"/>
            </w:pPr>
            <w:r>
              <w:rPr>
                <w:rFonts w:ascii="Times New Roman" w:hAnsi="Times New Roman"/>
                <w:sz w:val="16"/>
              </w:rPr>
              <w:t>- HELY LOPES MEIRELLES, *Direito Administrativo Brasileiro*, 23.ª ed., São Paulo: Malheiros, p. 117 — somente a álea econômica extraordinária e extracontratual autoriza a revisão pela teoria da imprevisão.</w:t>
            </w:r>
          </w:p>
          <w:p>
            <w:pPr>
              <w:spacing w:after="40" w:before="40" w:line="260" w:lineRule="exact"/>
              <w:jc w:val="both"/>
            </w:pPr>
            <w:r>
              <w:rPr>
                <w:rFonts w:ascii="Times New Roman" w:hAnsi="Times New Roman"/>
                <w:sz w:val="16"/>
              </w:rPr>
              <w:t>— Jurisprudência TCU/TCE (Lei na Mão) —</w:t>
            </w:r>
          </w:p>
          <w:p>
            <w:pPr>
              <w:spacing w:after="40" w:before="40" w:line="260" w:lineRule="exact"/>
              <w:jc w:val="both"/>
            </w:pPr>
            <w:r>
              <w:rPr>
                <w:rFonts w:ascii="Times New Roman" w:hAnsi="Times New Roman"/>
                <w:sz w:val="16"/>
              </w:rPr>
              <w:t>• Entendimento TCU-Plenário, sessão de 28/05/2025 (Jurisprudência Selecionada 184618) [VIT</w:t>
            </w:r>
          </w:p>
          <w:p>
            <w:pPr>
              <w:spacing w:after="40" w:before="40" w:line="260" w:lineRule="exact"/>
              <w:jc w:val="both"/>
            </w:pPr>
            <w:r>
              <w:rPr>
                <w:rFonts w:ascii="Times New Roman" w:hAnsi="Times New Roman"/>
                <w:sz w:val="16"/>
              </w:rPr>
              <w:t>• Entendimento TCU-Plenário, sessão de 18/11/2015 (Jurisprudência Selecionada 14919) [VIT</w:t>
            </w:r>
          </w:p>
          <w:p>
            <w:pPr>
              <w:spacing w:after="40" w:before="40" w:line="260" w:lineRule="exact"/>
              <w:jc w:val="both"/>
            </w:pPr>
            <w:r>
              <w:rPr>
                <w:rFonts w:ascii="Times New Roman" w:hAnsi="Times New Roman"/>
                <w:sz w:val="16"/>
              </w:rPr>
              <w:t xml:space="preserve">• Acórdão 2429/2024-TCU-Plenário, Rel. Benjamin Zymler, sessão de 13/11/2024 </w:t>
            </w:r>
            <w:r>
              <w:rPr>
                <w:rFonts w:ascii="Times New Roman" w:hAnsi="Times New Roman"/>
                <w:b/>
                <w:color w:val="CC0000"/>
                <w:sz w:val="16"/>
              </w:rPr>
              <w:t>[VIT]</w:t>
            </w:r>
            <w:r>
              <w:rPr>
                <w:rFonts w:ascii="Times New Roman" w:hAnsi="Times New Roman"/>
                <w:sz w:val="16"/>
              </w:rPr>
            </w:r>
          </w:p>
          <w:p>
            <w:pPr>
              <w:spacing w:after="40" w:before="40" w:line="260" w:lineRule="exact"/>
              <w:jc w:val="both"/>
            </w:pPr>
            <w:r>
              <w:rPr>
                <w:rFonts w:ascii="Times New Roman" w:hAnsi="Times New Roman"/>
                <w:sz w:val="16"/>
              </w:rPr>
              <w:t>• Entendimento TCU-Primeira Câmara, sessão de 18/07/2023 (Jurisprudência Selecionada 154520) [VIT</w:t>
            </w:r>
          </w:p>
          <w:p>
            <w:pPr>
              <w:spacing w:after="40" w:before="40" w:line="260" w:lineRule="exact"/>
              <w:jc w:val="both"/>
            </w:pPr>
            <w:r>
              <w:rPr>
                <w:rFonts w:ascii="Times New Roman" w:hAnsi="Times New Roman"/>
                <w:sz w:val="16"/>
              </w:rPr>
              <w:t>• Acórdãos TCE-SP, sessões de 13/04/2018 e 19/04/2018, TC-10128/989/18 e TC-10582/989/18 [VIT</w:t>
            </w:r>
          </w:p>
        </w:tc>
        <w:tc>
          <w:tcPr>
            <w:tcW w:type="dxa" w:w="2163"/>
            <w:shd w:fill="F2F2F2" w:val="clear"/>
          </w:tcPr>
          <w:p>
            <w:pPr>
              <w:spacing w:after="40" w:before="40" w:line="260" w:lineRule="exact"/>
              <w:jc w:val="center"/>
            </w:pPr>
            <w:r/>
            <w:r>
              <w:rPr>
                <w:rFonts w:ascii="Times New Roman" w:hAnsi="Times New Roman"/>
                <w:b w:val="0"/>
                <w:sz w:val="18"/>
              </w:rPr>
              <w:t>Sim</w:t>
            </w:r>
          </w:p>
        </w:tc>
        <w:tc>
          <w:tcPr>
            <w:tcW w:type="dxa" w:w="2163"/>
            <w:shd w:fill="F2F2F2" w:val="clear"/>
          </w:tcPr>
          <w:p>
            <w:pPr>
              <w:spacing w:after="40" w:before="40" w:line="260" w:lineRule="exact"/>
              <w:jc w:val="center"/>
            </w:pPr>
            <w:r/>
            <w:r>
              <w:rPr>
                <w:rFonts w:ascii="Times New Roman" w:hAnsi="Times New Roman"/>
                <w:b w:val="0"/>
                <w:sz w:val="18"/>
              </w:rPr>
              <w:t>IMPUGNACAO</w:t>
              <w:br/>
              <w:t>(Administração)</w:t>
            </w:r>
          </w:p>
        </w:tc>
      </w:tr>
      <w:tr>
        <w:tc>
          <w:tcPr>
            <w:tcW w:type="dxa" w:w="2163"/>
          </w:tcPr>
          <w:p>
            <w:pPr>
              <w:spacing w:after="40" w:before="40" w:line="260" w:lineRule="exact"/>
              <w:jc w:val="center"/>
            </w:pPr>
            <w:r/>
            <w:r>
              <w:rPr>
                <w:rFonts w:ascii="Times New Roman" w:hAnsi="Times New Roman"/>
                <w:b w:val="0"/>
                <w:sz w:val="18"/>
              </w:rPr>
              <w:t>T3</w:t>
            </w:r>
          </w:p>
        </w:tc>
        <w:tc>
          <w:tcPr>
            <w:tcW w:type="dxa" w:w="2163"/>
          </w:tcPr>
          <w:p>
            <w:pPr>
              <w:spacing w:after="40" w:before="40" w:line="260" w:lineRule="exact"/>
            </w:pPr>
            <w:r/>
            <w:r>
              <w:rPr>
                <w:rFonts w:ascii="Times New Roman" w:hAnsi="Times New Roman"/>
                <w:b w:val="0"/>
                <w:sz w:val="18"/>
              </w:rPr>
              <w:t>Objeto e escopo</w:t>
            </w:r>
          </w:p>
        </w:tc>
        <w:tc>
          <w:tcPr>
            <w:tcW w:type="dxa" w:w="2163"/>
          </w:tcPr>
          <w:p>
            <w:pPr>
              <w:spacing w:after="40" w:before="40" w:line="260" w:lineRule="exact"/>
              <w:jc w:val="both"/>
            </w:pPr>
            <w:r/>
            <w:r>
              <w:rPr>
                <w:rFonts w:ascii="Times New Roman" w:hAnsi="Times New Roman"/>
                <w:sz w:val="18"/>
              </w:rPr>
              <w:t>Encerramento da Vala 05 e chorume</w:t>
            </w:r>
          </w:p>
          <w:p>
            <w:pPr>
              <w:spacing w:after="40" w:before="40" w:line="260" w:lineRule="exact"/>
              <w:jc w:val="both"/>
            </w:pPr>
            <w:r>
              <w:rPr>
                <w:rFonts w:ascii="Times New Roman" w:hAnsi="Times New Roman"/>
                <w:sz w:val="18"/>
              </w:rPr>
            </w:r>
            <w:r>
              <w:rPr>
                <w:rFonts w:ascii="Times New Roman" w:hAnsi="Times New Roman"/>
                <w:b/>
                <w:color w:val="CC0000"/>
                <w:sz w:val="18"/>
              </w:rPr>
              <w:t>[VALIDAÇÃO TÉCNICA]</w:t>
            </w:r>
            <w:r>
              <w:rPr>
                <w:rFonts w:ascii="Times New Roman" w:hAnsi="Times New Roman"/>
                <w:sz w:val="18"/>
              </w:rPr>
            </w:r>
          </w:p>
        </w:tc>
        <w:tc>
          <w:tcPr>
            <w:tcW w:type="dxa" w:w="2163"/>
          </w:tcPr>
          <w:p>
            <w:pPr>
              <w:spacing w:after="40" w:before="40" w:line="260" w:lineRule="exact"/>
              <w:jc w:val="both"/>
            </w:pPr>
            <w:r/>
            <w:r>
              <w:rPr>
                <w:rFonts w:ascii="Times New Roman" w:hAnsi="Times New Roman"/>
                <w:sz w:val="16"/>
              </w:rPr>
            </w:r>
            <w:r>
              <w:rPr>
                <w:rFonts w:ascii="Times New Roman" w:hAnsi="Times New Roman"/>
                <w:b/>
                <w:sz w:val="16"/>
              </w:rPr>
              <w:t>Premissa normativa.</w:t>
            </w:r>
            <w:r>
              <w:rPr>
                <w:rFonts w:ascii="Times New Roman" w:hAnsi="Times New Roman"/>
                <w:sz w:val="16"/>
              </w:rPr>
              <w:t xml:space="preserve"> O contrato deve conter cláusulas necessárias sobre objeto, regime, preço, medição e casos de extinção (art. 92, incisos I, IV, V, VI e XIX, da Lei n.º 14.133/2021), com clareza e precisão de direitos, obrigações e responsabilidades (art. 89, § 2.º, da Lei n.º 14.133/2021); o TR deve definir o modelo de execução "desde o seu início até o seu encerramento" e os critérios de medição e pagamento (art. 6.º, inciso XXIII, alíneas 'e' e 'g', da Lei n.º 14.133/2021). A alocação de riscos considera a capacidade de gerenciamento e é quantificada (art. 103, §§ 1.º e 3.º, da Lei n.º 14.133/2021). Os serviços de limpeza urbana e manejo de RSU — que compreendem a disposição final (art. 3.º-C da Lei n.º 11.445/2007) — têm o Município como titular responsável pela organização e prestação (art. 26 da Lei n.º 12.305/2010) e devem ter sustentabilidade econômico-financeira assegurada (art. 29 da Lei n.º 11.445/2007). Em matéria ambiental, a responsabilidade é objetiva (art. 14, § 1.º, da Lei n.º 6.938/1981), regida pelo princípio do poluidor-pagador (art. 6.º, inciso II, da Lei n.º 12.305/2010), e as obrigações são *propter rem* — exigíveis do possuidor/operador atual à escolha do credor (Tema Repetitivo 1.204 do STJ; Súmula 623 do STJ). É essa moldura que torna juridicamente indispensável a segregação contratual do passivo preexistente: sem baseline e sem cláusula, o operador que assume a unidade responde, perante terceiros e o órgão ambiental, por todo o histórico do aterro, restando-lhe apenas eventual regresso.</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Fato editalício.</w:t>
            </w:r>
            <w:r>
              <w:rPr>
                <w:rFonts w:ascii="Times New Roman" w:hAnsi="Times New Roman"/>
                <w:sz w:val="16"/>
              </w:rPr>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xml:space="preserve">1. </w:t>
            </w:r>
            <w:r>
              <w:rPr>
                <w:rFonts w:ascii="Times New Roman" w:hAnsi="Times New Roman"/>
                <w:b/>
                <w:sz w:val="16"/>
              </w:rPr>
              <w:t>Chorume sem limite temporal, com faturamento cessado</w:t>
            </w:r>
            <w:r>
              <w:rPr>
                <w:rFonts w:ascii="Times New Roman" w:hAnsi="Times New Roman"/>
                <w:sz w:val="16"/>
              </w:rPr>
              <w:t xml:space="preserve"> (C-198, C-191): "A CONTRATADA deverá se responsabilizar pelo carregamento, transporte e destinação adequada do chorume. (...) O aterro sanitário de Porto Ferreira/SP gera cerca de 190 litros de chorume por tonelada de resíduo recebida. Essa quantidade deverá ser coletada, transportada e tratada, sob responsabilidade operacional de custos da CONTRATADA" (TR 5.6.1; minuta 9.6.1; monitoramento: TR 5.7/minuta 9.7). Simultaneamente, "A partir da constatação do encerramento do Aterro Municipal, fica expressamente vedada a cobrança do Item 2" (TR 5.1.6.3). Com o encerramento previsto para o 1.º semestre de 2027 e vigência de 60 meses, a contratada permaneceria por aproximadamente 48 meses respondendo pelo custo integral de coleta, transporte e tratamento de percolado — que a massa aterrada continua gerando por anos — sem nenhum item remuneratório correspondente. A obrigação tampouco distingue o percolado da massa histórica (valas anteriores e resíduos aportados antes do contrato) daquele decorrente das toneladas que a própria contratada dispuser. `</w:t>
            </w:r>
            <w:r>
              <w:rPr>
                <w:rFonts w:ascii="Times New Roman" w:hAnsi="Times New Roman"/>
                <w:b/>
                <w:color w:val="CC0000"/>
                <w:sz w:val="16"/>
              </w:rPr>
              <w:t>[VALIDAÇÃO TÉCNICA: parâmetro de 190 L/t e curva de geração pós-encerramento requerem validação de engenharia]</w:t>
            </w:r>
            <w:r>
              <w:rPr>
                <w:rFonts w:ascii="Times New Roman" w:hAnsi="Times New Roman"/>
                <w:sz w:val="16"/>
              </w:rPr>
              <w:t>`</w:t>
            </w:r>
          </w:p>
          <w:p>
            <w:pPr>
              <w:spacing w:after="40" w:before="40" w:line="260" w:lineRule="exact"/>
              <w:jc w:val="both"/>
            </w:pPr>
            <w:r>
              <w:rPr>
                <w:rFonts w:ascii="Times New Roman" w:hAnsi="Times New Roman"/>
                <w:sz w:val="16"/>
              </w:rPr>
              <w:t xml:space="preserve">2. </w:t>
            </w:r>
            <w:r>
              <w:rPr>
                <w:rFonts w:ascii="Times New Roman" w:hAnsi="Times New Roman"/>
                <w:b/>
                <w:sz w:val="16"/>
              </w:rPr>
              <w:t>Encerramento da vala sem responsável, escopo ou remuneração</w:t>
            </w:r>
            <w:r>
              <w:rPr>
                <w:rFonts w:ascii="Times New Roman" w:hAnsi="Times New Roman"/>
                <w:sz w:val="16"/>
              </w:rPr>
              <w:t xml:space="preserve"> (C-212): o TR descreve obrigações de impermeabilização de camadas finais e taludes com cobertura vegetal (TR 5.5.7) e prevê o encerramento em plena vigência (TR 5.1.6.2/5.5.18), mas nenhum dispositivo define quem executa, com que escopo e contra qual remuneração a cobertura final, a conformação de taludes e o monitoramento pós-encerramento da Vala 05 — obrigações impostas pelas normas técnicas de aterros (ABNT NBR 13.896/1997, referida no TR 2.6) e pela Resolução CONAMA n.º 499/2020.</w:t>
            </w:r>
          </w:p>
          <w:p>
            <w:pPr>
              <w:spacing w:after="40" w:before="40" w:line="260" w:lineRule="exact"/>
              <w:jc w:val="both"/>
            </w:pPr>
            <w:r>
              <w:rPr>
                <w:rFonts w:ascii="Times New Roman" w:hAnsi="Times New Roman"/>
                <w:sz w:val="16"/>
              </w:rPr>
              <w:t xml:space="preserve">3. </w:t>
            </w:r>
            <w:r>
              <w:rPr>
                <w:rFonts w:ascii="Times New Roman" w:hAnsi="Times New Roman"/>
                <w:b/>
                <w:sz w:val="16"/>
              </w:rPr>
              <w:t>Garantia de infraestrutura preexistente sem baseline</w:t>
            </w:r>
            <w:r>
              <w:rPr>
                <w:rFonts w:ascii="Times New Roman" w:hAnsi="Times New Roman"/>
                <w:sz w:val="16"/>
              </w:rPr>
              <w:t xml:space="preserve"> (C-190): a contratada deve "garantir que o Aterro Sanitário possua uma camada de impermeabilização de base, constituída de geomembrana de polietileno de alta densidade – PEAD" e os sistemas de drenagem correlatos (TR 5.5.5-5.5.15; minuta 9.5.5-9.5.15; Exigência Técnica 08 da LO CETESB n.º 4011055) — características estruturais de vala que ela não projetou nem construiu, sem laudo de estado inicial nem inventário de passivos.</w:t>
            </w:r>
          </w:p>
          <w:p>
            <w:pPr>
              <w:spacing w:after="40" w:before="40" w:line="260" w:lineRule="exact"/>
              <w:jc w:val="both"/>
            </w:pPr>
            <w:r>
              <w:rPr>
                <w:rFonts w:ascii="Times New Roman" w:hAnsi="Times New Roman"/>
                <w:sz w:val="16"/>
              </w:rPr>
              <w:t xml:space="preserve">4. </w:t>
            </w:r>
            <w:r>
              <w:rPr>
                <w:rFonts w:ascii="Times New Roman" w:hAnsi="Times New Roman"/>
                <w:b/>
                <w:sz w:val="16"/>
              </w:rPr>
              <w:t>Extinção contratual sem regras de devolução</w:t>
            </w:r>
            <w:r>
              <w:rPr>
                <w:rFonts w:ascii="Times New Roman" w:hAnsi="Times New Roman"/>
                <w:sz w:val="16"/>
              </w:rPr>
              <w:t xml:space="preserve"> (C-182): a cláusula 15.ª da minuta não prevê vistoria/termo de devolução do aterro, marco divisor entre passivo preexistente e o gerado na operação, nem responsabilidades pós-contratuais.</w:t>
            </w:r>
          </w:p>
          <w:p>
            <w:pPr>
              <w:spacing w:after="40" w:before="40" w:line="260" w:lineRule="exact"/>
              <w:jc w:val="both"/>
            </w:pPr>
            <w:r>
              <w:rPr>
                <w:rFonts w:ascii="Times New Roman" w:hAnsi="Times New Roman"/>
                <w:sz w:val="16"/>
              </w:rPr>
              <w:t xml:space="preserve">5. </w:t>
            </w:r>
            <w:r>
              <w:rPr>
                <w:rFonts w:ascii="Times New Roman" w:hAnsi="Times New Roman"/>
                <w:b/>
                <w:sz w:val="16"/>
              </w:rPr>
              <w:t>Promessas da resposta à 6.ª impugnação não incorporadas</w:t>
            </w:r>
            <w:r>
              <w:rPr>
                <w:rFonts w:ascii="Times New Roman" w:hAnsi="Times New Roman"/>
                <w:sz w:val="16"/>
              </w:rPr>
              <w:t xml:space="preserve"> (C-183, C-184): a Administração respondeu que "a contratada não responderá por passivos ambientais, estruturais ou operacionais anteriores ao início da execução, o que será consignado expressamente" e que haveria "registro das condições iniciais da unidade por ocasião da assunção". No edital reaberto, o termo "passivo" inexiste, não há cláusula de não responsabilização nem previsão de vistoria conjunta, inventário ou termo de assunção operacional.</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Conclusão.</w:t>
            </w:r>
            <w:r>
              <w:rPr>
                <w:rFonts w:ascii="Times New Roman" w:hAnsi="Times New Roman"/>
                <w:sz w:val="16"/>
              </w:rPr>
              <w:t xml:space="preserve"> O desenho normativo produz três irregularidades articuladas: (i) </w:t>
            </w:r>
            <w:r>
              <w:rPr>
                <w:rFonts w:ascii="Times New Roman" w:hAnsi="Times New Roman"/>
                <w:b/>
                <w:sz w:val="16"/>
              </w:rPr>
              <w:t>encargo continuado sem contraprestação</w:t>
            </w:r>
            <w:r>
              <w:rPr>
                <w:rFonts w:ascii="Times New Roman" w:hAnsi="Times New Roman"/>
                <w:sz w:val="16"/>
              </w:rPr>
              <w:t xml:space="preserve"> — a gestão de chorume e o monitoramento sobrevivem à extinção do único item que os remunerava, em afronta aos arts. 92, V e VI, e 6.º, XXIII, 'g', da Lei n.º 14.133/2021 e ao art. 29 da Lei n.º 11.445/2007, e em rota de colisão com a vedação ao enriquecimento sem causa da Administração (art. 884 do Código Civil, aplicável via art. 89 da Lei n.º 14.133/2021); (ii) </w:t>
            </w:r>
            <w:r>
              <w:rPr>
                <w:rFonts w:ascii="Times New Roman" w:hAnsi="Times New Roman"/>
                <w:b/>
                <w:sz w:val="16"/>
              </w:rPr>
              <w:t>assunção não quantificada de passivo alheio</w:t>
            </w:r>
            <w:r>
              <w:rPr>
                <w:rFonts w:ascii="Times New Roman" w:hAnsi="Times New Roman"/>
                <w:sz w:val="16"/>
              </w:rPr>
              <w:t xml:space="preserve"> — dado o regime *propter rem* e objetivo da responsabilidade ambiental, a ausência de baseline, de marco divisor e de cláusula de segregação transfere à contratada, sem mensuração (art. 103, §§ 1.º e 3.º), risco gerado e melhor gerenciável pelo titular do serviço (art. 26 da Lei n.º 12.305/2010), impossibilitando precificação séria; (iii) </w:t>
            </w:r>
            <w:r>
              <w:rPr>
                <w:rFonts w:ascii="Times New Roman" w:hAnsi="Times New Roman"/>
                <w:b/>
                <w:sz w:val="16"/>
              </w:rPr>
              <w:t>quebra de coerência com a fase de impugnação</w:t>
            </w:r>
            <w:r>
              <w:rPr>
                <w:rFonts w:ascii="Times New Roman" w:hAnsi="Times New Roman"/>
                <w:sz w:val="16"/>
              </w:rPr>
              <w:t xml:space="preserve"> — as garantias prometidas na resposta à 6.ª impugnação (art. 164, parágrafo único, da Lei n.º 14.133/2021) não foram vertidas em texto normativo, e a jurisprudência adverte que compromissos não formalizados no instrumento convocatório não prevalecem sobre o texto do edital — de modo que, sem retificação formal, a licitante não pode confiar na resposta (princípios da vinculação ao edital, boa-fé e segurança jurídica — art. 5.º da Lei n.º 14.133/2021). A correção exige: cláusula expressa de não responsabilização por passivos anteriores; termo de assunção operacional com registro das condições iniciais (vistoria conjunta, topografia, inventário); item remuneratório específico (ou subitem do item 3) para gestão de chorume e monitoramento pós-encerramento; definição de responsável, escopo e remuneração do encerramento da Vala 05; e regras de devolução na cláusula de extinção.</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Contra-argumentos antecipados —</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xml:space="preserve">- </w:t>
            </w:r>
            <w:r>
              <w:rPr>
                <w:rFonts w:ascii="Times New Roman" w:hAnsi="Times New Roman"/>
                <w:b/>
                <w:sz w:val="16"/>
              </w:rPr>
              <w:t>"O custo do chorume está embutido no preço do item 2"</w:t>
            </w:r>
            <w:r>
              <w:rPr>
                <w:rFonts w:ascii="Times New Roman" w:hAnsi="Times New Roman"/>
                <w:sz w:val="16"/>
              </w:rPr>
              <w:t>: a Administração dirá que cabia ao licitante diluir o custo do percolado e do encerramento nos R$ 168,77/t do item 2 (e/ou nos R$ 249,28/t do item 3), pois o TR anuncia as obrigações com transparência. Réplica embutida: se o custo é remunerado pelo item 2, a obrigação deveria cessar com ele; mantê-la por ~48 meses após a vedação de cobrança do item 2 desvincula encargo de remuneração exatamente no período em que o custo persiste — e a diluição prévia é impossível sem se conhecer o marco temporal (T2) e o volume histórico gerador de percolado (dados não anexados — T9).</w:t>
            </w:r>
          </w:p>
          <w:p>
            <w:pPr>
              <w:spacing w:after="40" w:before="40" w:line="260" w:lineRule="exact"/>
              <w:jc w:val="both"/>
            </w:pPr>
            <w:r>
              <w:rPr>
                <w:rFonts w:ascii="Times New Roman" w:hAnsi="Times New Roman"/>
                <w:sz w:val="16"/>
              </w:rPr>
              <w:t>- **"190 L/t por tonelada *recebida* limita a obrigação à operação da contratada"**: a defesa poderá sustentar interpretação restritiva do item 5.6.1 (chorume proporcional ao resíduo recebido durante a operação remunerada). Essa leitura, contudo, não está no texto — que atribui a responsabilidade pelo chorume do "aterro municipal" sem marco temporal — e é justamente o que o esclarecimento dirigido abaixo busca tornar vinculante.</w:t>
            </w:r>
          </w:p>
          <w:p>
            <w:pPr>
              <w:spacing w:after="40" w:before="40" w:line="260" w:lineRule="exact"/>
              <w:jc w:val="both"/>
            </w:pPr>
            <w:r>
              <w:rPr>
                <w:rFonts w:ascii="Times New Roman" w:hAnsi="Times New Roman"/>
                <w:sz w:val="16"/>
              </w:rPr>
              <w:t xml:space="preserve">- </w:t>
            </w:r>
            <w:r>
              <w:rPr>
                <w:rFonts w:ascii="Times New Roman" w:hAnsi="Times New Roman"/>
                <w:b/>
                <w:sz w:val="16"/>
              </w:rPr>
              <w:t>"A responsabilidade ambiental decorre de lei e é indisponível"</w:t>
            </w:r>
            <w:r>
              <w:rPr>
                <w:rFonts w:ascii="Times New Roman" w:hAnsi="Times New Roman"/>
                <w:sz w:val="16"/>
              </w:rPr>
              <w:t>: dirá a Administração que a responsabilidade objetiva/propter rem existiria de qualquer modo, não podendo o contrato afastá-la. Contraponto: perante terceiros e o órgão ambiental, sim — e é exatamente por isso que a segregação contratual (baseline + cláusula de regresso/não responsabilização inter partes) é o único instrumento apto a impedir que a contratada suporte, sem mensuração nem remuneração, passivo que não g</w:t>
            </w:r>
          </w:p>
          <w:p>
            <w:pPr>
              <w:spacing w:after="40" w:before="40" w:line="260" w:lineRule="exact"/>
              <w:jc w:val="both"/>
            </w:pPr>
            <w:r>
              <w:rPr>
                <w:rFonts w:ascii="Times New Roman" w:hAnsi="Times New Roman"/>
                <w:sz w:val="16"/>
              </w:rPr>
              <w:t>[...texto completo no arquivo AN_bloco correspondente]</w:t>
            </w:r>
          </w:p>
        </w:tc>
        <w:tc>
          <w:tcPr>
            <w:tcW w:type="dxa" w:w="2163"/>
          </w:tcPr>
          <w:p>
            <w:pPr>
              <w:spacing w:after="40" w:before="40" w:line="260" w:lineRule="exact"/>
              <w:jc w:val="both"/>
            </w:pPr>
            <w:r/>
            <w:r>
              <w:rPr>
                <w:rFonts w:ascii="Times New Roman" w:hAnsi="Times New Roman"/>
                <w:sz w:val="16"/>
              </w:rPr>
              <w:t>- art. 5.º da Lei n.º 14.133/2021 (vinculação ao edital, boa-fé, segurança jurídica)</w:t>
            </w:r>
          </w:p>
          <w:p>
            <w:pPr>
              <w:spacing w:after="40" w:before="40" w:line="260" w:lineRule="exact"/>
              <w:jc w:val="both"/>
            </w:pPr>
            <w:r>
              <w:rPr>
                <w:rFonts w:ascii="Times New Roman" w:hAnsi="Times New Roman"/>
                <w:sz w:val="16"/>
              </w:rPr>
              <w:t>- art. 6.º, inciso XXIII, alíneas 'a', 'e' e 'g', da Lei n.º 14.133/2021</w:t>
            </w:r>
          </w:p>
          <w:p>
            <w:pPr>
              <w:spacing w:after="40" w:before="40" w:line="260" w:lineRule="exact"/>
              <w:jc w:val="both"/>
            </w:pPr>
            <w:r>
              <w:rPr>
                <w:rFonts w:ascii="Times New Roman" w:hAnsi="Times New Roman"/>
                <w:sz w:val="16"/>
              </w:rPr>
              <w:t>- art. 89, caput e § 2.º, da Lei n.º 14.133/2021 (c/c art. 884 do Código Civil — vedação ao enriquecimento sem causa)</w:t>
            </w:r>
          </w:p>
          <w:p>
            <w:pPr>
              <w:spacing w:after="40" w:before="40" w:line="260" w:lineRule="exact"/>
              <w:jc w:val="both"/>
            </w:pPr>
            <w:r>
              <w:rPr>
                <w:rFonts w:ascii="Times New Roman" w:hAnsi="Times New Roman"/>
                <w:sz w:val="16"/>
              </w:rPr>
              <w:t>- art. 92, incisos I, IV, V, VI e XIX, da Lei n.º 14.133/2021</w:t>
            </w:r>
          </w:p>
          <w:p>
            <w:pPr>
              <w:spacing w:after="40" w:before="40" w:line="260" w:lineRule="exact"/>
              <w:jc w:val="both"/>
            </w:pPr>
            <w:r>
              <w:rPr>
                <w:rFonts w:ascii="Times New Roman" w:hAnsi="Times New Roman"/>
                <w:sz w:val="16"/>
              </w:rPr>
              <w:t>- art. 103, §§ 1.º e 3.º, da Lei n.º 14.133/2021</w:t>
            </w:r>
          </w:p>
          <w:p>
            <w:pPr>
              <w:spacing w:after="40" w:before="40" w:line="260" w:lineRule="exact"/>
              <w:jc w:val="both"/>
            </w:pPr>
            <w:r>
              <w:rPr>
                <w:rFonts w:ascii="Times New Roman" w:hAnsi="Times New Roman"/>
                <w:sz w:val="16"/>
              </w:rPr>
              <w:t>- art. 164, caput e parágrafo único, da Lei n.º 14.133/2021</w:t>
            </w:r>
          </w:p>
          <w:p>
            <w:pPr>
              <w:spacing w:after="40" w:before="40" w:line="260" w:lineRule="exact"/>
              <w:jc w:val="both"/>
            </w:pPr>
            <w:r>
              <w:rPr>
                <w:rFonts w:ascii="Times New Roman" w:hAnsi="Times New Roman"/>
                <w:sz w:val="16"/>
              </w:rPr>
              <w:t>- art. 3.º-C e art. 29 da Lei n.º 11.445/2007</w:t>
            </w:r>
          </w:p>
          <w:p>
            <w:pPr>
              <w:spacing w:after="40" w:before="40" w:line="260" w:lineRule="exact"/>
              <w:jc w:val="both"/>
            </w:pPr>
            <w:r>
              <w:rPr>
                <w:rFonts w:ascii="Times New Roman" w:hAnsi="Times New Roman"/>
                <w:sz w:val="16"/>
              </w:rPr>
              <w:t>- art. 6.º, inciso II, e art. 26 da Lei n.º 12.305/2010</w:t>
            </w:r>
          </w:p>
          <w:p>
            <w:pPr>
              <w:spacing w:after="40" w:before="40" w:line="260" w:lineRule="exact"/>
              <w:jc w:val="both"/>
            </w:pPr>
            <w:r>
              <w:rPr>
                <w:rFonts w:ascii="Times New Roman" w:hAnsi="Times New Roman"/>
                <w:sz w:val="16"/>
              </w:rPr>
              <w:t>- art. 14, § 1.º, da Lei n.º 6.938/1981</w:t>
            </w:r>
          </w:p>
          <w:p>
            <w:pPr>
              <w:spacing w:after="40" w:before="40" w:line="260" w:lineRule="exact"/>
              <w:jc w:val="both"/>
            </w:pPr>
            <w:r>
              <w:rPr>
                <w:rFonts w:ascii="Times New Roman" w:hAnsi="Times New Roman"/>
                <w:sz w:val="16"/>
              </w:rPr>
              <w:t>- ABNT NBR 13.896/1997 (referida no item 2.6 do TR); Resolução CONAMA n.º 499/2020</w:t>
            </w:r>
          </w:p>
          <w:p>
            <w:pPr>
              <w:spacing w:after="40" w:before="40" w:line="260" w:lineRule="exact"/>
              <w:jc w:val="both"/>
            </w:pPr>
            <w:r>
              <w:rPr>
                <w:rFonts w:ascii="Times New Roman" w:hAnsi="Times New Roman"/>
                <w:sz w:val="16"/>
              </w:rPr>
              <w:t xml:space="preserve">- STJ, Tema Repetitivo 1.204 (REsp 1.953.359/SP), Rel. Min. Assusete Magalhães, 1.ª Seção, j. 13/09/2023, publ. 26/09/2023 — tese: "As obrigações ambientais possuem natureza propter rem, sendo possível exigi-las, à escolha do credor, do proprietário ou possuidor atual, de qualquer dos anteriores, ou de ambos, ficando isento de responsabilidade o alienante cujo direito real tenha cessado antes da causação do dano, desde que para ele não tenha concorrido, direta ou indiretamente" </w:t>
            </w:r>
            <w:r>
              <w:rPr>
                <w:rFonts w:ascii="Times New Roman" w:hAnsi="Times New Roman"/>
                <w:b/>
                <w:color w:val="CC0000"/>
                <w:sz w:val="16"/>
              </w:rPr>
              <w:t>[VIT]</w:t>
            </w:r>
            <w:r>
              <w:rPr>
                <w:rFonts w:ascii="Times New Roman" w:hAnsi="Times New Roman"/>
                <w:sz w:val="16"/>
              </w:rPr>
            </w:r>
          </w:p>
          <w:p>
            <w:pPr>
              <w:spacing w:after="40" w:before="40" w:line="260" w:lineRule="exact"/>
              <w:jc w:val="both"/>
            </w:pPr>
            <w:r>
              <w:rPr>
                <w:rFonts w:ascii="Times New Roman" w:hAnsi="Times New Roman"/>
                <w:sz w:val="16"/>
              </w:rPr>
              <w:t xml:space="preserve">- Súmula 623 do STJ (obrigações ambientais propter rem, exigíveis do proprietário ou possuidor atual e/ou dos anteriores) </w:t>
            </w:r>
            <w:r>
              <w:rPr>
                <w:rFonts w:ascii="Times New Roman" w:hAnsi="Times New Roman"/>
                <w:b/>
                <w:color w:val="CC0000"/>
                <w:sz w:val="16"/>
              </w:rPr>
              <w:t>[VIT]</w:t>
            </w:r>
            <w:r>
              <w:rPr>
                <w:rFonts w:ascii="Times New Roman" w:hAnsi="Times New Roman"/>
                <w:sz w:val="16"/>
              </w:rPr>
            </w:r>
          </w:p>
          <w:p>
            <w:pPr>
              <w:spacing w:after="40" w:before="40" w:line="260" w:lineRule="exact"/>
              <w:jc w:val="both"/>
            </w:pPr>
            <w:r>
              <w:rPr>
                <w:rFonts w:ascii="Times New Roman" w:hAnsi="Times New Roman"/>
                <w:sz w:val="16"/>
              </w:rPr>
              <w:t xml:space="preserve">- TJPR, Agravo de Instrumento 0094069-66.2024.8.16.0000, Rel. Des. Rogério Etzel, 5.ª Câmara Cível, publ. 10/02/2025 — responsabilidade ambiental objetiva (art. 225, § 3.º, da CF/1988; art. 14, § 1.º, da Lei n.º 6.938/1981) e natureza propter rem da obrigação (Súmula 623 do STJ) </w:t>
            </w:r>
            <w:r>
              <w:rPr>
                <w:rFonts w:ascii="Times New Roman" w:hAnsi="Times New Roman"/>
                <w:b/>
                <w:color w:val="CC0000"/>
                <w:sz w:val="16"/>
              </w:rPr>
              <w:t>[VIT]</w:t>
            </w:r>
            <w:r>
              <w:rPr>
                <w:rFonts w:ascii="Times New Roman" w:hAnsi="Times New Roman"/>
                <w:sz w:val="16"/>
              </w:rPr>
            </w:r>
          </w:p>
          <w:p>
            <w:pPr>
              <w:spacing w:after="40" w:before="40" w:line="260" w:lineRule="exact"/>
              <w:jc w:val="both"/>
            </w:pPr>
            <w:r>
              <w:rPr>
                <w:rFonts w:ascii="Times New Roman" w:hAnsi="Times New Roman"/>
                <w:sz w:val="16"/>
              </w:rPr>
              <w:t xml:space="preserve">- TJPR, Recurso Inominado 0001000-98.2021.8.16.0124, Rel. Juíza Gisele Lara Ribeiro, 6.ª Turma Recursal dos Juizados Especiais, publ. 30/04/2025 — a Administração não pode usufruir de serviços prestados sem a correspondente remuneração, sob pena de enriquecimento sem causa (art. 884 do CC) </w:t>
            </w:r>
            <w:r>
              <w:rPr>
                <w:rFonts w:ascii="Times New Roman" w:hAnsi="Times New Roman"/>
                <w:b/>
                <w:color w:val="CC0000"/>
                <w:sz w:val="16"/>
              </w:rPr>
              <w:t>[VIT]</w:t>
            </w:r>
            <w:r>
              <w:rPr>
                <w:rFonts w:ascii="Times New Roman" w:hAnsi="Times New Roman"/>
                <w:sz w:val="16"/>
              </w:rPr>
            </w:r>
          </w:p>
          <w:p>
            <w:pPr>
              <w:spacing w:after="40" w:before="40" w:line="260" w:lineRule="exact"/>
              <w:jc w:val="both"/>
            </w:pPr>
            <w:r>
              <w:rPr>
                <w:rFonts w:ascii="Times New Roman" w:hAnsi="Times New Roman"/>
                <w:sz w:val="16"/>
              </w:rPr>
              <w:t xml:space="preserve">- STF, ARE 1.472.341, Rel. Min. Presidente, decisão monocrática, j. 15/01/2024, publ. 17/01/2024 — dever da Administração de pagar pelos serviços prestados, sob os princípios da boa-fé objetiva e da vedação ao enriquecimento ilícito </w:t>
            </w:r>
            <w:r>
              <w:rPr>
                <w:rFonts w:ascii="Times New Roman" w:hAnsi="Times New Roman"/>
                <w:b/>
                <w:color w:val="CC0000"/>
                <w:sz w:val="16"/>
              </w:rPr>
              <w:t>[VIT]</w:t>
            </w:r>
            <w:r>
              <w:rPr>
                <w:rFonts w:ascii="Times New Roman" w:hAnsi="Times New Roman"/>
                <w:sz w:val="16"/>
              </w:rPr>
            </w:r>
          </w:p>
          <w:p>
            <w:pPr>
              <w:spacing w:after="40" w:before="40" w:line="260" w:lineRule="exact"/>
              <w:jc w:val="both"/>
            </w:pPr>
            <w:r>
              <w:rPr>
                <w:rFonts w:ascii="Times New Roman" w:hAnsi="Times New Roman"/>
                <w:sz w:val="16"/>
              </w:rPr>
              <w:t xml:space="preserve">- TJPR, Recurso Inominado 0001466-45.2021.8.16.0172, Rel. Juíza Gisele Lara Ribeiro, 6.ª Turma Recursal dos Juizados Especiais, publ. 07/02/2025 — autorização/compromisso da Administração não formalizado por retificação pública do edital não prevalece sobre o texto do instrumento convocatório (vinculação ao edital) — precedente que demonstra a insuficiência da mera resposta à impugnação e a necessidade de incorporação formal </w:t>
            </w:r>
            <w:r>
              <w:rPr>
                <w:rFonts w:ascii="Times New Roman" w:hAnsi="Times New Roman"/>
                <w:b/>
                <w:color w:val="CC0000"/>
                <w:sz w:val="16"/>
              </w:rPr>
              <w:t>[VIT]</w:t>
            </w:r>
            <w:r>
              <w:rPr>
                <w:rFonts w:ascii="Times New Roman" w:hAnsi="Times New Roman"/>
                <w:sz w:val="16"/>
              </w:rPr>
            </w:r>
          </w:p>
          <w:p>
            <w:pPr>
              <w:spacing w:after="40" w:before="40" w:line="260" w:lineRule="exact"/>
              <w:jc w:val="both"/>
            </w:pPr>
            <w:r>
              <w:rPr>
                <w:rFonts w:ascii="Times New Roman" w:hAnsi="Times New Roman"/>
                <w:sz w:val="16"/>
              </w:rPr>
              <w:t>- [PENDENTE: busca TCU/TCE via Lei na Mão antes do protocolo — encargos sem item remuneratório em contratos de RSU; assunção de passivo ambiental preexistente em operação de aterro público; efeito vinculante de respostas a impugnação/esclarecimento]</w:t>
            </w:r>
          </w:p>
          <w:p>
            <w:pPr>
              <w:spacing w:after="40" w:before="40" w:line="260" w:lineRule="exact"/>
              <w:jc w:val="both"/>
            </w:pPr>
            <w:r>
              <w:rPr>
                <w:rFonts w:ascii="Times New Roman" w:hAnsi="Times New Roman"/>
                <w:sz w:val="16"/>
              </w:rPr>
              <w:t>Doutrina: - FLÁVIO TARTUCE, *Manual de Direito Civil — Volume Único*, 5.ª ed., São Paulo: Método, 2015, p. 391-392 — a responsabilidade civil ambiental do art. 14, § 1.º, da Lei n.º 6.938/1981 é objetiva e, segundo o entendimento chancelado pelo STJ, informada pela teoria do risco integral (sem excludentes de nexo).</w:t>
            </w:r>
          </w:p>
          <w:p>
            <w:pPr>
              <w:spacing w:after="40" w:before="40" w:line="260" w:lineRule="exact"/>
              <w:jc w:val="both"/>
            </w:pPr>
            <w:r>
              <w:rPr>
                <w:rFonts w:ascii="Times New Roman" w:hAnsi="Times New Roman"/>
                <w:sz w:val="16"/>
              </w:rPr>
              <w:t>- FLÁVIO TARTUCE, *Manual de Direito Civil — Volume Único*, 5.ª ed., São Paulo: Método, 2015, p. 680 — o STJ obriga o novo proprietário/possuidor à recuperação ambiental "mesmo não sendo o causador dos danos" (obrigação propter rem) — razão da indispensabilidade do registro das condições iniciais na assunção da unidade.</w:t>
            </w:r>
          </w:p>
        </w:tc>
        <w:tc>
          <w:tcPr>
            <w:tcW w:type="dxa" w:w="2163"/>
          </w:tcPr>
          <w:p>
            <w:pPr>
              <w:spacing w:after="40" w:before="40" w:line="260" w:lineRule="exact"/>
              <w:jc w:val="center"/>
            </w:pPr>
            <w:r/>
            <w:r>
              <w:rPr>
                <w:rFonts w:ascii="Times New Roman" w:hAnsi="Times New Roman"/>
                <w:b w:val="0"/>
                <w:sz w:val="18"/>
              </w:rPr>
              <w:t>Sim</w:t>
            </w:r>
          </w:p>
        </w:tc>
        <w:tc>
          <w:tcPr>
            <w:tcW w:type="dxa" w:w="2163"/>
          </w:tcPr>
          <w:p>
            <w:pPr>
              <w:spacing w:after="40" w:before="40" w:line="260" w:lineRule="exact"/>
              <w:jc w:val="center"/>
            </w:pPr>
            <w:r/>
            <w:r>
              <w:rPr>
                <w:rFonts w:ascii="Times New Roman" w:hAnsi="Times New Roman"/>
                <w:b w:val="0"/>
                <w:sz w:val="18"/>
              </w:rPr>
              <w:t>IMPUGNACAO</w:t>
              <w:br/>
              <w:t>(Administração)</w:t>
            </w:r>
          </w:p>
        </w:tc>
      </w:tr>
      <w:tr>
        <w:tc>
          <w:tcPr>
            <w:tcW w:type="dxa" w:w="2163"/>
            <w:shd w:fill="F2F2F2" w:val="clear"/>
          </w:tcPr>
          <w:p>
            <w:pPr>
              <w:spacing w:after="40" w:before="40" w:line="260" w:lineRule="exact"/>
              <w:jc w:val="center"/>
            </w:pPr>
            <w:r/>
            <w:r>
              <w:rPr>
                <w:rFonts w:ascii="Times New Roman" w:hAnsi="Times New Roman"/>
                <w:b w:val="0"/>
                <w:sz w:val="18"/>
              </w:rPr>
              <w:t>T4</w:t>
            </w:r>
          </w:p>
        </w:tc>
        <w:tc>
          <w:tcPr>
            <w:tcW w:type="dxa" w:w="2163"/>
            <w:shd w:fill="F2F2F2" w:val="clear"/>
          </w:tcPr>
          <w:p>
            <w:pPr>
              <w:spacing w:after="40" w:before="40" w:line="260" w:lineRule="exact"/>
            </w:pPr>
            <w:r/>
            <w:r>
              <w:rPr>
                <w:rFonts w:ascii="Times New Roman" w:hAnsi="Times New Roman"/>
                <w:b w:val="0"/>
                <w:sz w:val="18"/>
              </w:rPr>
              <w:t>Modelagem econômica</w:t>
            </w:r>
          </w:p>
        </w:tc>
        <w:tc>
          <w:tcPr>
            <w:tcW w:type="dxa" w:w="2163"/>
            <w:shd w:fill="F2F2F2" w:val="clear"/>
          </w:tcPr>
          <w:p>
            <w:pPr>
              <w:spacing w:after="40" w:before="40" w:line="260" w:lineRule="exact"/>
              <w:jc w:val="both"/>
            </w:pPr>
            <w:r/>
            <w:r>
              <w:rPr>
                <w:rFonts w:ascii="Times New Roman" w:hAnsi="Times New Roman"/>
                <w:sz w:val="18"/>
              </w:rPr>
              <w:t>Grandes geradores</w:t>
            </w:r>
          </w:p>
          <w:p>
            <w:pPr>
              <w:spacing w:after="40" w:before="40" w:line="260" w:lineRule="exact"/>
              <w:jc w:val="both"/>
            </w:pPr>
            <w:r>
              <w:rPr>
                <w:rFonts w:ascii="Times New Roman" w:hAnsi="Times New Roman"/>
                <w:sz w:val="18"/>
              </w:rPr>
            </w:r>
            <w:r>
              <w:rPr>
                <w:rFonts w:ascii="Times New Roman" w:hAnsi="Times New Roman"/>
                <w:b/>
                <w:color w:val="CC0000"/>
                <w:sz w:val="18"/>
              </w:rPr>
              <w:t>[VALIDAÇÃO TÉCNICA]</w:t>
            </w:r>
            <w:r>
              <w:rPr>
                <w:rFonts w:ascii="Times New Roman" w:hAnsi="Times New Roman"/>
                <w:sz w:val="18"/>
              </w:rPr>
            </w:r>
          </w:p>
        </w:tc>
        <w:tc>
          <w:tcPr>
            <w:tcW w:type="dxa" w:w="2163"/>
            <w:shd w:fill="F2F2F2" w:val="clear"/>
          </w:tcPr>
          <w:p>
            <w:pPr>
              <w:spacing w:after="40" w:before="40" w:line="260" w:lineRule="exact"/>
              <w:jc w:val="both"/>
            </w:pPr>
            <w:r/>
            <w:r>
              <w:rPr>
                <w:rFonts w:ascii="Times New Roman" w:hAnsi="Times New Roman"/>
                <w:sz w:val="16"/>
              </w:rPr>
            </w:r>
            <w:r>
              <w:rPr>
                <w:rFonts w:ascii="Times New Roman" w:hAnsi="Times New Roman"/>
                <w:b/>
                <w:sz w:val="16"/>
              </w:rPr>
              <w:t>Premissa normativa.</w:t>
            </w:r>
            <w:r>
              <w:rPr>
                <w:rFonts w:ascii="Times New Roman" w:hAnsi="Times New Roman"/>
                <w:sz w:val="16"/>
              </w:rPr>
              <w:t xml:space="preserve"> A fase preparatória exige estudo técnico preliminar com "estimativas das quantidades para a contratação, acompanhadas das memórias de cálculo e dos documentos que lhes dão suporte" (art. 18, § 1.º, inciso IV, da Lei n.º 14.133/2021) e "estimativa do valor da contratação, acompanhada dos preços unitários referenciais, das memórias de cálculo e dos documentos que lhe dão suporte" (art. 18, § 1.º, inciso VI); o termo de referência deve conter a definição do objeto com seus quantitativos (art. 6.º, inciso XXIII, alínea "a"), os critérios de medição e de pagamento (alínea "g") e as estimativas de valor com memórias de cálculo (alínea "i"); e o valor estimado deve ser compatível com o mercado, "consideradas ... as quantidades a serem contratadas" (art. 23, caput, da Lei n.º 14.133/2021). No plano setorial, os estabelecimentos que geram resíduos não equiparados aos domiciliares sujeitam-se a plano de gerenciamento próprio (art. 20, inciso II, alínea "b", da Lei n.º 12.305/2010), respondem pela implementação integral desse gerenciamento (art. 27, caput, da Lei n.º 12.305/2010) e, quando etapas sob sua responsabilidade forem realizadas pelo poder público, </w:t>
            </w:r>
            <w:r>
              <w:rPr>
                <w:rFonts w:ascii="Times New Roman" w:hAnsi="Times New Roman"/>
                <w:b/>
                <w:sz w:val="16"/>
              </w:rPr>
              <w:t>devem remunerá-las</w:t>
            </w:r>
            <w:r>
              <w:rPr>
                <w:rFonts w:ascii="Times New Roman" w:hAnsi="Times New Roman"/>
                <w:sz w:val="16"/>
              </w:rPr>
              <w:t xml:space="preserve"> (art. 27, § 2.º, da Lei n.º 12.305/2010) — comando alinhado à sustentabilidade econômico-financeira dos serviços de saneamento (art. 29 da Lei n.º 11.445/2007). No plano local, o Decreto municipal n.º 3.367/2026: atribui ao próprio grande gerador (geração acima de 200 L ou 50 kg/dia — art. 2.º, inciso I) a responsabilidade pela coleta, transporte e destinação final, mediante contratação de empresas licenciadas (art. 3.º, caput); condiciona o uso do serviço público à adesão ao regime de preço público, por cadastro e autodeclaração (art. 3.º, parágrafo único, e arts. 5.º a 7.º); fixa prazos de primeiro cadastramento de 90 dias (hotéis, mercados, supermercados e hipermercados) e 120 dias (restaurantes, bares, lanchonetes e demais) — art. 6.º, § 1.º; estabelece que a cobrança se calcula "com base na massa mensal declarada" ao preço público de 5,00 UFM por 100 kg (art. 7.º, parágrafo único, c/c art. 14); e entrou em vigor na data de sua publicação (art. 15 — Decreto de 07/01/2026).</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Fato editalício.</w:t>
            </w:r>
            <w:r>
              <w:rPr>
                <w:rFonts w:ascii="Times New Roman" w:hAnsi="Times New Roman"/>
                <w:sz w:val="16"/>
              </w:rPr>
              <w:t xml:space="preserve"> O ETP (assinado em 20/05/2026), item 7, trata a cobrança como evento futuro e estima seu efeito sem qualquer base técnica: *"Com a implementação da cobrança dos grandes geradores, estima-se uma redução de, no mínimo, 20% do total praticado atualmente, reduzindo a quantidade de 1.300 toneladas mensais para 1.040 toneladas mensais."* Ocorre que o Decreto n.º 3.367/2026 — anexado ao próprio edital — vige desde 07/01/2026, e os prazos de cadastramento de 90/120 dias de seu art. 6.º, § 1.º, esgotaram-se por volta de abril–maio/2026, </w:t>
            </w:r>
            <w:r>
              <w:rPr>
                <w:rFonts w:ascii="Times New Roman" w:hAnsi="Times New Roman"/>
                <w:b/>
                <w:sz w:val="16"/>
              </w:rPr>
              <w:t>antes da assinatura do ETP e da reabertura do certame</w:t>
            </w:r>
            <w:r>
              <w:rPr>
                <w:rFonts w:ascii="Times New Roman" w:hAnsi="Times New Roman"/>
                <w:sz w:val="16"/>
              </w:rPr>
              <w:t xml:space="preserve">. Ou seja: no momento em que o quantitativo de 12.480 t/ano foi reafirmado para a reabertura, a Administração já dispunha (ou deveria dispor) dos dados reais de adesão/migração dos grandes geradores, e nada revalidou — não há série de pesagens, número de aderentes, massa autodeclarada agregada, per capita ou gravimetria nos autos (C-113, C-137; conexão com C-111/C-112 do T5). A premissa é ainda internamente antagônica: o mesmo item 7 do ETP fundamenta os 80 contêineres na captação de 17 pontos de descarte irregular, volume hoje fora da coleta regular que tende a </w:t>
            </w:r>
            <w:r>
              <w:rPr>
                <w:rFonts w:ascii="Times New Roman" w:hAnsi="Times New Roman"/>
                <w:b/>
                <w:sz w:val="16"/>
              </w:rPr>
              <w:t>aumentar</w:t>
            </w:r>
            <w:r>
              <w:rPr>
                <w:rFonts w:ascii="Times New Roman" w:hAnsi="Times New Roman"/>
                <w:sz w:val="16"/>
              </w:rPr>
              <w:t xml:space="preserve"> a tonelagem coletada, na contramão da redução de 20% (C-141). Em paralelo, o desenho contratual não conversa com o decreto em três pontos: (i) o TR obriga a contratada ao *"recolhimento de todo e quaisquer resíduos sólidos apresentados regularmente ou esporadicamente nas vias e logradouros públicos"* e a recolher os resíduos domiciliares *"sempre, sejam quais forem os recipientes utilizados"* (itens 5.3.1.3 e 5.3.1.7), reservando ao tema dos grandes geradores mero dever de comunicação (item 5.3.1.16: comunicar à contratante toda coleta que exceda 200 L ou 50 kg diários por estabelecimento, *"para que a PREFEITURA tome as devidas providências"*) — sem disciplina de recusa, de identificação ou de tratamento da massa de não aderentes que o decreto retira do serviço público (C-022); (ii) o ETP fixa como resultado pretendido atender *"100% da área urbana e distritos industriais"*, sem delimitar a fronteira com os resíduos de gerenciamento obrigatório pelo próprio gerador (art. 13, inciso I, alínea "f", e art. 20 da Lei n.º 12.305/2010) (C-042); (iii) sobretudo, </w:t>
            </w:r>
            <w:r>
              <w:rPr>
                <w:rFonts w:ascii="Times New Roman" w:hAnsi="Times New Roman"/>
                <w:b/>
                <w:sz w:val="16"/>
              </w:rPr>
              <w:t>não há mecanismo de conciliação entre as duas bases de medição</w:t>
            </w:r>
            <w:r>
              <w:rPr>
                <w:rFonts w:ascii="Times New Roman" w:hAnsi="Times New Roman"/>
                <w:sz w:val="16"/>
              </w:rPr>
              <w:t xml:space="preserve">: o Município cobra do grande gerador aderente por massa </w:t>
            </w:r>
            <w:r>
              <w:rPr>
                <w:rFonts w:ascii="Times New Roman" w:hAnsi="Times New Roman"/>
                <w:b/>
                <w:sz w:val="16"/>
              </w:rPr>
              <w:t>autodeclarada</w:t>
            </w:r>
            <w:r>
              <w:rPr>
                <w:rFonts w:ascii="Times New Roman" w:hAnsi="Times New Roman"/>
                <w:sz w:val="16"/>
              </w:rPr>
              <w:t xml:space="preserve"> (art. 7.º, parágrafo único, e art. 9.º do Decreto) e paga à contratada por </w:t>
            </w:r>
            <w:r>
              <w:rPr>
                <w:rFonts w:ascii="Times New Roman" w:hAnsi="Times New Roman"/>
                <w:b/>
                <w:sz w:val="16"/>
              </w:rPr>
              <w:t>pesagem efetiva</w:t>
            </w:r>
            <w:r>
              <w:rPr>
                <w:rFonts w:ascii="Times New Roman" w:hAnsi="Times New Roman"/>
                <w:sz w:val="16"/>
              </w:rPr>
              <w:t xml:space="preserve"> (*"O pagamento do Item 1 será realizado de acordo com o peso, em tonelada, dos resíduos sólidos efetivamente coletados"* — critério de medição do TR e da minuta), sem segregação da massa dos aderentes nos tickets de pesagem nem previsão de compatibilização (C-205, C-133).</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Conclusão.</w:t>
            </w:r>
            <w:r>
              <w:rPr>
                <w:rFonts w:ascii="Times New Roman" w:hAnsi="Times New Roman"/>
                <w:sz w:val="16"/>
              </w:rPr>
              <w:t xml:space="preserve"> (i) A estimativa central do certame (12.480 t/ano) está fundada em premissa temporalmente superada pela norma municipal vigente e não foi revalidada na reabertura, em desconformidade com o art. 18, § 1.º, incisos IV e VI, e com o art. 23, caput, da Lei n.º 14.133/2021, e o percentual de −20% não tem memória de cálculo nem documento de suporte; (ii) a ausência de medição segregada da massa dos grandes geradores aderentes impede o controle da equação prevista no art. 27, § 2.º, da Lei n.º 12.305/2010 (quem gera acima do limite e usa o serviço público deve remunerá-lo) e fragiliza os critérios de medição e pagamento exigidos pelo art. 6.º, inciso XXIII, alíneas "g" e "i", e pelo art. 92, incisos V e VI, da Lei n.º 14.133/2021, com potencial de o contrato absorver, sem contrapartida específica, massa que o decreto exclui do serviço público ordinário; (iii) a obrigação editalícia de coletar tudo o que estiver nas vias, combinada com a remuneração por tonelada efetiva, transfere à contratada o risco bidirecional do quantitativo (queda de tonelagem por migração de geradores com custos fixos de frota/equipe mantidos; ou acréscimo de massa de não aderentes sem disciplina), sem parametrização na matriz de riscos nem gatilho de revisão — em contradição com o dever de definição precisa do objeto e de suas quantidades. `</w:t>
            </w:r>
            <w:r>
              <w:rPr>
                <w:rFonts w:ascii="Times New Roman" w:hAnsi="Times New Roman"/>
                <w:b/>
                <w:color w:val="CC0000"/>
                <w:sz w:val="16"/>
              </w:rPr>
              <w:t>[VALIDAÇÃO TÉCNICA: a quantificação da massa de grandes geradores no fluxo atual (share das 1.300 t/mês) e o efeito líquido da conteinerização dos 17 pontos de descarte irregular dependem de dados operacionais e de engenharia.]</w:t>
            </w:r>
            <w:r>
              <w:rPr>
                <w:rFonts w:ascii="Times New Roman" w:hAnsi="Times New Roman"/>
                <w:sz w:val="16"/>
              </w:rPr>
              <w:t>`</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Contra-argumentos antecipados —</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xml:space="preserve">1. </w:t>
            </w:r>
            <w:r>
              <w:rPr>
                <w:rFonts w:ascii="Times New Roman" w:hAnsi="Times New Roman"/>
                <w:b/>
                <w:sz w:val="16"/>
              </w:rPr>
              <w:t>"Estimativa não é garantia de quantitativo."</w:t>
            </w:r>
            <w:r>
              <w:rPr>
                <w:rFonts w:ascii="Times New Roman" w:hAnsi="Times New Roman"/>
                <w:sz w:val="16"/>
              </w:rPr>
              <w:t xml:space="preserve"> A Administração dirá que os quantitativos são estimativos, que o pagamento por tonelada efetivamente coletada protege o erário e que o licitante não tem direito adquirido à tonelagem projetada; a redução de 20% seria projeção conservadora, e o decreto anexado permitiria a cada licitante modelar seu próprio cenário. Resposta da tese: a questão não é a natureza estimativa, mas a ausência de memória de cálculo e de revalidação com dados que a Administração já detinha (prazos do decreto esgotados antes do ETP assinado em 20/05/2026) — o vício está no processo de formação da estimativa, não na sua falibilidade.</w:t>
            </w:r>
          </w:p>
          <w:p>
            <w:pPr>
              <w:spacing w:after="40" w:before="40" w:line="260" w:lineRule="exact"/>
              <w:jc w:val="both"/>
            </w:pPr>
            <w:r>
              <w:rPr>
                <w:rFonts w:ascii="Times New Roman" w:hAnsi="Times New Roman"/>
                <w:sz w:val="16"/>
              </w:rPr>
              <w:t xml:space="preserve">2. </w:t>
            </w:r>
            <w:r>
              <w:rPr>
                <w:rFonts w:ascii="Times New Roman" w:hAnsi="Times New Roman"/>
                <w:b/>
                <w:sz w:val="16"/>
              </w:rPr>
              <w:t>"A medição por pesagem é o critério objetivo; a cobrança do gerador é questão de receita municipal, estranha ao contrato."</w:t>
            </w:r>
            <w:r>
              <w:rPr>
                <w:rFonts w:ascii="Times New Roman" w:hAnsi="Times New Roman"/>
                <w:sz w:val="16"/>
              </w:rPr>
              <w:t xml:space="preserve"> Réplica: o art. 27, § 2.º, da Lei n.º 12.305/2010 vincula a realização do serviço pelo poder público à remuneração pelo gerador; sem segregação da massa nos tickets, o Município não consegue sequer aferir a base de cobrança (autodeclaração vs. realidade), e a contratada fica exposta a coletar massa de não aderentes por força dos itens 5.3.1.3/5.3.1.7 do TR — a incoerência é interna ao desenho contratual.</w:t>
            </w:r>
          </w:p>
          <w:p>
            <w:pPr>
              <w:spacing w:after="40" w:before="40" w:line="260" w:lineRule="exact"/>
              <w:jc w:val="both"/>
            </w:pPr>
            <w:r>
              <w:rPr>
                <w:rFonts w:ascii="Times New Roman" w:hAnsi="Times New Roman"/>
                <w:sz w:val="16"/>
              </w:rPr>
              <w:t xml:space="preserve">3. </w:t>
            </w:r>
            <w:r>
              <w:rPr>
                <w:rFonts w:ascii="Times New Roman" w:hAnsi="Times New Roman"/>
                <w:b/>
                <w:sz w:val="16"/>
              </w:rPr>
              <w:t>Discricionariedade do planejamento e deferência judicial.</w:t>
            </w:r>
            <w:r>
              <w:rPr>
                <w:rFonts w:ascii="Times New Roman" w:hAnsi="Times New Roman"/>
                <w:sz w:val="16"/>
              </w:rPr>
              <w:t xml:space="preserve"> Em juízo, prevalece a presunção de legalidade dos atos da fase interna e a exigência de dilação probatória — v.g. (TJSP, Agravo de Instrumen</w:t>
            </w:r>
          </w:p>
          <w:p>
            <w:pPr>
              <w:spacing w:after="40" w:before="40" w:line="260" w:lineRule="exact"/>
              <w:jc w:val="both"/>
            </w:pPr>
            <w:r>
              <w:rPr>
                <w:rFonts w:ascii="Times New Roman" w:hAnsi="Times New Roman"/>
                <w:sz w:val="16"/>
              </w:rPr>
              <w:t>[...texto completo no arquivo AN_bloco correspondente]</w:t>
            </w:r>
          </w:p>
        </w:tc>
        <w:tc>
          <w:tcPr>
            <w:tcW w:type="dxa" w:w="2163"/>
            <w:shd w:fill="F2F2F2" w:val="clear"/>
          </w:tcPr>
          <w:p>
            <w:pPr>
              <w:spacing w:after="40" w:before="40" w:line="260" w:lineRule="exact"/>
              <w:jc w:val="both"/>
            </w:pPr>
            <w:r/>
            <w:r>
              <w:rPr>
                <w:rFonts w:ascii="Times New Roman" w:hAnsi="Times New Roman"/>
                <w:sz w:val="16"/>
              </w:rPr>
              <w:t>- art. 18, § 1.º, incisos I, IV e VI, e § 2.º, da Lei n.º 14.133/2021 (redação vigente conferida)</w:t>
            </w:r>
          </w:p>
          <w:p>
            <w:pPr>
              <w:spacing w:after="40" w:before="40" w:line="260" w:lineRule="exact"/>
              <w:jc w:val="both"/>
            </w:pPr>
            <w:r>
              <w:rPr>
                <w:rFonts w:ascii="Times New Roman" w:hAnsi="Times New Roman"/>
                <w:sz w:val="16"/>
              </w:rPr>
              <w:t>- art. 23, caput, da Lei n.º 14.133/2021</w:t>
            </w:r>
          </w:p>
          <w:p>
            <w:pPr>
              <w:spacing w:after="40" w:before="40" w:line="260" w:lineRule="exact"/>
              <w:jc w:val="both"/>
            </w:pPr>
            <w:r>
              <w:rPr>
                <w:rFonts w:ascii="Times New Roman" w:hAnsi="Times New Roman"/>
                <w:sz w:val="16"/>
              </w:rPr>
              <w:t>- art. 6.º, inciso XXIII, alíneas "a", "g" e "i", da Lei n.º 14.133/2021</w:t>
            </w:r>
          </w:p>
          <w:p>
            <w:pPr>
              <w:spacing w:after="40" w:before="40" w:line="260" w:lineRule="exact"/>
              <w:jc w:val="both"/>
            </w:pPr>
            <w:r>
              <w:rPr>
                <w:rFonts w:ascii="Times New Roman" w:hAnsi="Times New Roman"/>
                <w:sz w:val="16"/>
              </w:rPr>
              <w:t>- art. 92, incisos V e VI, da Lei n.º 14.133/2021</w:t>
            </w:r>
          </w:p>
          <w:p>
            <w:pPr>
              <w:spacing w:after="40" w:before="40" w:line="260" w:lineRule="exact"/>
              <w:jc w:val="both"/>
            </w:pPr>
            <w:r>
              <w:rPr>
                <w:rFonts w:ascii="Times New Roman" w:hAnsi="Times New Roman"/>
                <w:sz w:val="16"/>
              </w:rPr>
              <w:t>- art. 20, inciso II, alínea "b", art. 13, inciso I, alínea "f", e art. 27, caput e §§ 1.º e 2.º, da Lei n.º 12.305/2010 (redação vigente conferida)</w:t>
            </w:r>
          </w:p>
          <w:p>
            <w:pPr>
              <w:spacing w:after="40" w:before="40" w:line="260" w:lineRule="exact"/>
              <w:jc w:val="both"/>
            </w:pPr>
            <w:r>
              <w:rPr>
                <w:rFonts w:ascii="Times New Roman" w:hAnsi="Times New Roman"/>
                <w:sz w:val="16"/>
              </w:rPr>
              <w:t>- art. 29, caput, da Lei n.º 11.445/2007 (sustentabilidade econômico-financeira)</w:t>
            </w:r>
          </w:p>
          <w:p>
            <w:pPr>
              <w:spacing w:after="40" w:before="40" w:line="260" w:lineRule="exact"/>
              <w:jc w:val="both"/>
            </w:pPr>
            <w:r>
              <w:rPr>
                <w:rFonts w:ascii="Times New Roman" w:hAnsi="Times New Roman"/>
                <w:sz w:val="16"/>
              </w:rPr>
              <w:t>- arts. 1.º, 2.º, inciso I, 3.º, caput e parágrafo único, 5.º, 6.º, § 1.º, incisos I e II, 7.º, parágrafo único, 9.º, 12, 14 e 15 do Decreto municipal n.º 3.367/2026</w:t>
            </w:r>
          </w:p>
          <w:p>
            <w:pPr>
              <w:spacing w:after="40" w:before="40" w:line="260" w:lineRule="exact"/>
              <w:jc w:val="both"/>
            </w:pPr>
            <w:r>
              <w:rPr>
                <w:rFonts w:ascii="Times New Roman" w:hAnsi="Times New Roman"/>
                <w:sz w:val="16"/>
              </w:rPr>
              <w:t xml:space="preserve">- (STF, MS 39304, Rel. Min. Gilmar Mendes, decisão monocrática, j. 14/12/2023) — manutenção de multa do TCU a gestor por aprovar licitação "sem a devida quantificação dos bens e serviços"; a ausência de estimativa adequada de quantitativos "viola o princípio da definição precisa do objeto, imprescindível para assegurar a competitividade e transparência do certame" </w:t>
            </w:r>
            <w:r>
              <w:rPr>
                <w:rFonts w:ascii="Times New Roman" w:hAnsi="Times New Roman"/>
                <w:b/>
                <w:sz w:val="16"/>
              </w:rPr>
              <w:t>[VIT]</w:t>
            </w:r>
            <w:r>
              <w:rPr>
                <w:rFonts w:ascii="Times New Roman" w:hAnsi="Times New Roman"/>
                <w:sz w:val="16"/>
              </w:rPr>
            </w:r>
          </w:p>
          <w:p>
            <w:pPr>
              <w:spacing w:after="40" w:before="40" w:line="260" w:lineRule="exact"/>
              <w:jc w:val="both"/>
            </w:pPr>
            <w:r>
              <w:rPr>
                <w:rFonts w:ascii="Times New Roman" w:hAnsi="Times New Roman"/>
                <w:sz w:val="16"/>
              </w:rPr>
              <w:t xml:space="preserve">- (STF, ARE 1485880, Rel. Min. Dias Toffoli, decisão monocrática, j. 26/06/2024) — reconhece a legitimidade de cobrança específica pelos serviços de limpeza urbana "inclusive de grandes geradores", confirmando a segregação de regimes entre coleta ordinária e massa de grandes geradores </w:t>
            </w:r>
            <w:r>
              <w:rPr>
                <w:rFonts w:ascii="Times New Roman" w:hAnsi="Times New Roman"/>
                <w:b/>
                <w:sz w:val="16"/>
              </w:rPr>
              <w:t>[VIT]</w:t>
            </w:r>
            <w:r>
              <w:rPr>
                <w:rFonts w:ascii="Times New Roman" w:hAnsi="Times New Roman"/>
                <w:sz w:val="16"/>
              </w:rPr>
            </w:r>
          </w:p>
          <w:p>
            <w:pPr>
              <w:spacing w:after="40" w:before="40" w:line="260" w:lineRule="exact"/>
              <w:jc w:val="both"/>
            </w:pPr>
            <w:r>
              <w:rPr>
                <w:rFonts w:ascii="Times New Roman" w:hAnsi="Times New Roman"/>
                <w:sz w:val="16"/>
              </w:rPr>
              <w:t xml:space="preserve">- (STF, ARE 1462917, Rel. Min. Presidente, decisão monocrática, j. 03/11/2023) — regime em que a parcela de resíduos que excede o limite de gerenciamento atribuído ao gerador segue disciplina remuneratória própria, ainda que haja contratação de coleta privada </w:t>
            </w:r>
            <w:r>
              <w:rPr>
                <w:rFonts w:ascii="Times New Roman" w:hAnsi="Times New Roman"/>
                <w:b/>
                <w:sz w:val="16"/>
              </w:rPr>
              <w:t>[VIT]</w:t>
            </w:r>
            <w:r>
              <w:rPr>
                <w:rFonts w:ascii="Times New Roman" w:hAnsi="Times New Roman"/>
                <w:sz w:val="16"/>
              </w:rPr>
            </w:r>
          </w:p>
          <w:p>
            <w:pPr>
              <w:spacing w:after="40" w:before="40" w:line="260" w:lineRule="exact"/>
              <w:jc w:val="both"/>
            </w:pPr>
            <w:r>
              <w:rPr>
                <w:rFonts w:ascii="Times New Roman" w:hAnsi="Times New Roman"/>
                <w:sz w:val="16"/>
              </w:rPr>
              <w:t xml:space="preserve">- Não localizei, na base judicial consultada, precedente específico sobre a contradição temporal entre ETP e norma municipal de grandes geradores já vigente; o controle típico dessa matéria (planejamento/quantitativos em ETP sob a Lei n.º 14.133/2021) é de foro de contas — </w:t>
            </w:r>
            <w:r>
              <w:rPr>
                <w:rFonts w:ascii="Times New Roman" w:hAnsi="Times New Roman"/>
                <w:b/>
                <w:sz w:val="16"/>
              </w:rPr>
              <w:t>[PENDENTE: busca TCU/TCE via Lei na Mão antes do protocolo]</w:t>
            </w:r>
            <w:r>
              <w:rPr>
                <w:rFonts w:ascii="Times New Roman" w:hAnsi="Times New Roman"/>
                <w:sz w:val="16"/>
              </w:rPr>
            </w:r>
          </w:p>
          <w:p>
            <w:pPr>
              <w:spacing w:after="40" w:before="40" w:line="260" w:lineRule="exact"/>
              <w:jc w:val="both"/>
            </w:pPr>
            <w:r>
              <w:rPr>
                <w:rFonts w:ascii="Times New Roman" w:hAnsi="Times New Roman"/>
                <w:sz w:val="16"/>
              </w:rPr>
              <w:t>Doutrina: A busca no acervo doutrinário disponível (Jus IA, área administrativo) não retornou tratamento específico do estudo técnico preliminar e das memórias de cálculo sob a Lei n.º 14.133/2021 (o acervo consultado concentra-se no regime da Lei n.º 8.666/1993); não indico doutrina para este ponto sem fonte verificada.</w:t>
            </w:r>
          </w:p>
          <w:p>
            <w:pPr>
              <w:spacing w:after="40" w:before="40" w:line="260" w:lineRule="exact"/>
              <w:jc w:val="both"/>
            </w:pPr>
            <w:r>
              <w:rPr>
                <w:rFonts w:ascii="Times New Roman" w:hAnsi="Times New Roman"/>
                <w:sz w:val="16"/>
              </w:rPr>
              <w:t>— Jurisprudência TCU/TCE (Lei na Mão) —</w:t>
            </w:r>
          </w:p>
          <w:p>
            <w:pPr>
              <w:spacing w:after="40" w:before="40" w:line="260" w:lineRule="exact"/>
              <w:jc w:val="both"/>
            </w:pPr>
            <w:r>
              <w:rPr>
                <w:rFonts w:ascii="Times New Roman" w:hAnsi="Times New Roman"/>
                <w:sz w:val="16"/>
              </w:rPr>
              <w:t>• Entendimento TCU-Plenário, sessão de 14/09/2016 (Jurisprudência Selecionada 21439) [VIT</w:t>
            </w:r>
          </w:p>
          <w:p>
            <w:pPr>
              <w:spacing w:after="40" w:before="40" w:line="260" w:lineRule="exact"/>
              <w:jc w:val="both"/>
            </w:pPr>
            <w:r>
              <w:rPr>
                <w:rFonts w:ascii="Times New Roman" w:hAnsi="Times New Roman"/>
                <w:sz w:val="16"/>
              </w:rPr>
              <w:t xml:space="preserve">• Acórdão 9718/2022-TCU-Primeira Câmara, Rel. Vital do Rêgo, sessão de 29/11/2022 </w:t>
            </w:r>
            <w:r>
              <w:rPr>
                <w:rFonts w:ascii="Times New Roman" w:hAnsi="Times New Roman"/>
                <w:b/>
                <w:color w:val="CC0000"/>
                <w:sz w:val="16"/>
              </w:rPr>
              <w:t>[VIT]</w:t>
            </w:r>
            <w:r>
              <w:rPr>
                <w:rFonts w:ascii="Times New Roman" w:hAnsi="Times New Roman"/>
                <w:sz w:val="16"/>
              </w:rPr>
            </w:r>
          </w:p>
          <w:p>
            <w:pPr>
              <w:spacing w:after="40" w:before="40" w:line="260" w:lineRule="exact"/>
              <w:jc w:val="both"/>
            </w:pPr>
            <w:r>
              <w:rPr>
                <w:rFonts w:ascii="Times New Roman" w:hAnsi="Times New Roman"/>
                <w:sz w:val="16"/>
              </w:rPr>
              <w:t xml:space="preserve">• Acórdão 63/2024-TCU-Plenário, Rel. Vital do Rêgo, sessão de 24/01/2024 </w:t>
            </w:r>
            <w:r>
              <w:rPr>
                <w:rFonts w:ascii="Times New Roman" w:hAnsi="Times New Roman"/>
                <w:b/>
                <w:color w:val="CC0000"/>
                <w:sz w:val="16"/>
              </w:rPr>
              <w:t>[VIT]</w:t>
            </w:r>
            <w:r>
              <w:rPr>
                <w:rFonts w:ascii="Times New Roman" w:hAnsi="Times New Roman"/>
                <w:sz w:val="16"/>
              </w:rPr>
            </w:r>
          </w:p>
          <w:p>
            <w:pPr>
              <w:spacing w:after="40" w:before="40" w:line="260" w:lineRule="exact"/>
              <w:jc w:val="both"/>
            </w:pPr>
            <w:r>
              <w:rPr>
                <w:rFonts w:ascii="Times New Roman" w:hAnsi="Times New Roman"/>
                <w:sz w:val="16"/>
              </w:rPr>
              <w:t xml:space="preserve">• Acórdão 2990/2025-TCU-Plenário, Rel. Bruno Dantas, sessão de 08/12/2025 </w:t>
            </w:r>
            <w:r>
              <w:rPr>
                <w:rFonts w:ascii="Times New Roman" w:hAnsi="Times New Roman"/>
                <w:b/>
                <w:color w:val="CC0000"/>
                <w:sz w:val="16"/>
              </w:rPr>
              <w:t>[VIT]</w:t>
            </w:r>
            <w:r>
              <w:rPr>
                <w:rFonts w:ascii="Times New Roman" w:hAnsi="Times New Roman"/>
                <w:sz w:val="16"/>
              </w:rPr>
            </w:r>
          </w:p>
        </w:tc>
        <w:tc>
          <w:tcPr>
            <w:tcW w:type="dxa" w:w="2163"/>
            <w:shd w:fill="F2F2F2" w:val="clear"/>
          </w:tcPr>
          <w:p>
            <w:pPr>
              <w:spacing w:after="40" w:before="40" w:line="260" w:lineRule="exact"/>
              <w:jc w:val="center"/>
            </w:pPr>
            <w:r/>
            <w:r>
              <w:rPr>
                <w:rFonts w:ascii="Times New Roman" w:hAnsi="Times New Roman"/>
                <w:b w:val="0"/>
                <w:sz w:val="18"/>
              </w:rPr>
              <w:t>Não</w:t>
            </w:r>
          </w:p>
        </w:tc>
        <w:tc>
          <w:tcPr>
            <w:tcW w:type="dxa" w:w="2163"/>
            <w:shd w:fill="F2F2F2" w:val="clear"/>
          </w:tcPr>
          <w:p>
            <w:pPr>
              <w:spacing w:after="40" w:before="40" w:line="260" w:lineRule="exact"/>
              <w:jc w:val="center"/>
            </w:pPr>
            <w:r/>
            <w:r>
              <w:rPr>
                <w:rFonts w:ascii="Times New Roman" w:hAnsi="Times New Roman"/>
                <w:b w:val="0"/>
                <w:sz w:val="18"/>
              </w:rPr>
            </w:r>
          </w:p>
        </w:tc>
      </w:tr>
      <w:tr>
        <w:tc>
          <w:tcPr>
            <w:tcW w:type="dxa" w:w="2163"/>
          </w:tcPr>
          <w:p>
            <w:pPr>
              <w:spacing w:after="40" w:before="40" w:line="260" w:lineRule="exact"/>
              <w:jc w:val="center"/>
            </w:pPr>
            <w:r/>
            <w:r>
              <w:rPr>
                <w:rFonts w:ascii="Times New Roman" w:hAnsi="Times New Roman"/>
                <w:b w:val="0"/>
                <w:sz w:val="18"/>
              </w:rPr>
              <w:t>T5</w:t>
            </w:r>
          </w:p>
        </w:tc>
        <w:tc>
          <w:tcPr>
            <w:tcW w:type="dxa" w:w="2163"/>
          </w:tcPr>
          <w:p>
            <w:pPr>
              <w:spacing w:after="40" w:before="40" w:line="260" w:lineRule="exact"/>
            </w:pPr>
            <w:r/>
            <w:r>
              <w:rPr>
                <w:rFonts w:ascii="Times New Roman" w:hAnsi="Times New Roman"/>
                <w:b w:val="0"/>
                <w:sz w:val="18"/>
              </w:rPr>
              <w:t>Modelagem econômica</w:t>
            </w:r>
          </w:p>
        </w:tc>
        <w:tc>
          <w:tcPr>
            <w:tcW w:type="dxa" w:w="2163"/>
          </w:tcPr>
          <w:p>
            <w:pPr>
              <w:spacing w:after="40" w:before="40" w:line="260" w:lineRule="exact"/>
              <w:jc w:val="both"/>
            </w:pPr>
            <w:r/>
            <w:r>
              <w:rPr>
                <w:rFonts w:ascii="Times New Roman" w:hAnsi="Times New Roman"/>
                <w:sz w:val="18"/>
              </w:rPr>
              <w:t>Pesquisa de preços viciada</w:t>
            </w:r>
          </w:p>
          <w:p>
            <w:pPr>
              <w:spacing w:after="40" w:before="40" w:line="260" w:lineRule="exact"/>
              <w:jc w:val="both"/>
            </w:pPr>
            <w:r>
              <w:rPr>
                <w:rFonts w:ascii="Times New Roman" w:hAnsi="Times New Roman"/>
                <w:sz w:val="18"/>
              </w:rPr>
            </w:r>
            <w:r>
              <w:rPr>
                <w:rFonts w:ascii="Times New Roman" w:hAnsi="Times New Roman"/>
                <w:b/>
                <w:color w:val="CC0000"/>
                <w:sz w:val="18"/>
              </w:rPr>
              <w:t>[VALIDAÇÃO TÉCNICA]</w:t>
            </w:r>
            <w:r>
              <w:rPr>
                <w:rFonts w:ascii="Times New Roman" w:hAnsi="Times New Roman"/>
                <w:sz w:val="18"/>
              </w:rPr>
            </w:r>
          </w:p>
        </w:tc>
        <w:tc>
          <w:tcPr>
            <w:tcW w:type="dxa" w:w="2163"/>
          </w:tcPr>
          <w:p>
            <w:pPr>
              <w:spacing w:after="40" w:before="40" w:line="260" w:lineRule="exact"/>
              <w:jc w:val="both"/>
            </w:pPr>
            <w:r/>
            <w:r>
              <w:rPr>
                <w:rFonts w:ascii="Times New Roman" w:hAnsi="Times New Roman"/>
                <w:sz w:val="16"/>
              </w:rPr>
            </w:r>
            <w:r>
              <w:rPr>
                <w:rFonts w:ascii="Times New Roman" w:hAnsi="Times New Roman"/>
                <w:b/>
                <w:sz w:val="16"/>
              </w:rPr>
              <w:t>Premissa normativa.</w:t>
            </w:r>
            <w:r>
              <w:rPr>
                <w:rFonts w:ascii="Times New Roman" w:hAnsi="Times New Roman"/>
                <w:sz w:val="16"/>
              </w:rPr>
              <w:t xml:space="preserve"> O valor estimado deve ser compatível com os preços de mercado, consideradas as quantidades e as peculiaridades do local de execução (art. 23, caput, da Lei n.º 14.133/2021), e definido "com base no melhor preço aferido" pelos parâmetros do § 1.º — entre eles as "contratações </w:t>
            </w:r>
            <w:r>
              <w:rPr>
                <w:rFonts w:ascii="Times New Roman" w:hAnsi="Times New Roman"/>
                <w:b/>
                <w:sz w:val="16"/>
              </w:rPr>
              <w:t>similares</w:t>
            </w:r>
            <w:r>
              <w:rPr>
                <w:rFonts w:ascii="Times New Roman" w:hAnsi="Times New Roman"/>
                <w:sz w:val="16"/>
              </w:rPr>
              <w:t xml:space="preserve"> feitas pela Administração Pública, em execução ou concluídas no período de 1 (um) ano anterior à data da pesquisa de preços, ... </w:t>
            </w:r>
            <w:r>
              <w:rPr>
                <w:rFonts w:ascii="Times New Roman" w:hAnsi="Times New Roman"/>
                <w:b/>
                <w:sz w:val="16"/>
              </w:rPr>
              <w:t>observado o índice de atualização de preços correspondente</w:t>
            </w:r>
            <w:r>
              <w:rPr>
                <w:rFonts w:ascii="Times New Roman" w:hAnsi="Times New Roman"/>
                <w:sz w:val="16"/>
              </w:rPr>
              <w:t>" (art. 23, § 1.º, inciso II). O ETP deve trazer a estimativa de valor "acompanhada dos preços unitários referenciais, das memórias de cálculo e dos documentos que lhe dão suporte" (art. 18, § 1.º, inciso VI), o mesmo valendo para o TR (art. 6.º, inciso XXIII, alínea "i"). Preço orçado "em valor expressivamente superior aos preços referenciais de mercado" configura sobrepreço (art. 6.º, inciso LVI, da Lei n.º 14.133/2021).</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Fato editalício.</w:t>
            </w:r>
            <w:r>
              <w:rPr>
                <w:rFonts w:ascii="Times New Roman" w:hAnsi="Times New Roman"/>
                <w:sz w:val="16"/>
              </w:rPr>
              <w:t xml:space="preserve"> O Quadro Comparativo de Preços do ETP (datado de 20/05/2026) formou as médias assim: </w:t>
            </w:r>
            <w:r>
              <w:rPr>
                <w:rFonts w:ascii="Times New Roman" w:hAnsi="Times New Roman"/>
                <w:b/>
                <w:sz w:val="16"/>
              </w:rPr>
              <w:t>Item 1 (coleta)</w:t>
            </w:r>
            <w:r>
              <w:rPr>
                <w:rFonts w:ascii="Times New Roman" w:hAnsi="Times New Roman"/>
                <w:sz w:val="16"/>
              </w:rPr>
              <w:t xml:space="preserve"> — R$ 315,34 (Fernandópolis), R$ 355,61 (Santa Cruz das Palmeiras), R$ 352,80 (Altinópolis) e R$ 186,84 (Itápolis): média R$ 302,65/t, coeficiente de variação de 23%; </w:t>
            </w:r>
            <w:r>
              <w:rPr>
                <w:rFonts w:ascii="Times New Roman" w:hAnsi="Times New Roman"/>
                <w:b/>
                <w:sz w:val="16"/>
              </w:rPr>
              <w:t>Item 3 (destinação externa)</w:t>
            </w:r>
            <w:r>
              <w:rPr>
                <w:rFonts w:ascii="Times New Roman" w:hAnsi="Times New Roman"/>
                <w:sz w:val="16"/>
              </w:rPr>
              <w:t xml:space="preserve"> — R$ 165,95 (Itápolis), R$ 262,00 (Mirandópolis) e R$ 319,90 (Juquiá): média R$ 249,28/t, CV de 25%; </w:t>
            </w:r>
            <w:r>
              <w:rPr>
                <w:rFonts w:ascii="Times New Roman" w:hAnsi="Times New Roman"/>
                <w:b/>
                <w:sz w:val="16"/>
              </w:rPr>
              <w:t>Item 4 (contêineres)</w:t>
            </w:r>
            <w:r>
              <w:rPr>
                <w:rFonts w:ascii="Times New Roman" w:hAnsi="Times New Roman"/>
                <w:sz w:val="16"/>
              </w:rPr>
              <w:t xml:space="preserve"> — média R$ 207,83/un./mês, com descarte justificado apenas do outlier de R$ 19.116,00 (*"devidamente descartado ... por se tratar de um preço que se afastou expressivamente das demais referências"*). Vícios documentados nos próprios anexos do ETP:</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xml:space="preserve">1. </w:t>
            </w:r>
            <w:r>
              <w:rPr>
                <w:rFonts w:ascii="Times New Roman" w:hAnsi="Times New Roman"/>
                <w:b/>
                <w:sz w:val="16"/>
              </w:rPr>
              <w:t>Exclusão não justificada da cotação mais baixa de coleta.</w:t>
            </w:r>
            <w:r>
              <w:rPr>
                <w:rFonts w:ascii="Times New Roman" w:hAnsi="Times New Roman"/>
                <w:sz w:val="16"/>
              </w:rPr>
              <w:t xml:space="preserve"> O Contrato n.º 109/2025 de Itapira/SP — anexado ao próprio ETP — contém preço de coleta de </w:t>
            </w:r>
            <w:r>
              <w:rPr>
                <w:rFonts w:ascii="Times New Roman" w:hAnsi="Times New Roman"/>
                <w:b/>
                <w:sz w:val="16"/>
              </w:rPr>
              <w:t>R$ 225,02/t</w:t>
            </w:r>
            <w:r>
              <w:rPr>
                <w:rFonts w:ascii="Times New Roman" w:hAnsi="Times New Roman"/>
                <w:sz w:val="16"/>
              </w:rPr>
              <w:t xml:space="preserve"> (1.500 t/mês, escala superior e mais próxima do porte de Porto Ferreira do que vários referenciais usados), e o Contrato n.º 136/2025 de Artur Nogueira contém coleta+transporte+destinação a R$ 342,30/t; ambos figuram com "R$ –" na coluna do item 1. A única exclusão motivada na nota metodológica foi o outlier de contêiner. Aritmética ilustrativa: incluída a cotação de Itapira, a média do item 1 cairia de R$ 302,65 para aproximadamente </w:t>
            </w:r>
            <w:r>
              <w:rPr>
                <w:rFonts w:ascii="Times New Roman" w:hAnsi="Times New Roman"/>
                <w:b/>
                <w:sz w:val="16"/>
              </w:rPr>
              <w:t>R$ 287,12/t</w:t>
            </w:r>
            <w:r>
              <w:rPr>
                <w:rFonts w:ascii="Times New Roman" w:hAnsi="Times New Roman"/>
                <w:sz w:val="16"/>
              </w:rPr>
              <w:t xml:space="preserve"> ((315,34+355,61+352,80+186,84+225,02)/5), o que, sobre 12.480 t/ano, representa cerca de R$ 193,8 mil/ano (~R$ 969 mil em 60 meses) só no item 1 (C-123, C-146).</w:t>
            </w:r>
          </w:p>
          <w:p>
            <w:pPr>
              <w:spacing w:after="40" w:before="40" w:line="260" w:lineRule="exact"/>
              <w:jc w:val="both"/>
            </w:pPr>
            <w:r>
              <w:rPr>
                <w:rFonts w:ascii="Times New Roman" w:hAnsi="Times New Roman"/>
                <w:sz w:val="16"/>
              </w:rPr>
              <w:t xml:space="preserve">2. </w:t>
            </w:r>
            <w:r>
              <w:rPr>
                <w:rFonts w:ascii="Times New Roman" w:hAnsi="Times New Roman"/>
                <w:b/>
                <w:sz w:val="16"/>
              </w:rPr>
              <w:t>Emergenciais usados sem ajuste.</w:t>
            </w:r>
            <w:r>
              <w:rPr>
                <w:rFonts w:ascii="Times New Roman" w:hAnsi="Times New Roman"/>
                <w:sz w:val="16"/>
              </w:rPr>
              <w:t xml:space="preserve"> O referencial de R$ 319,90/t do item 3 provém do Contrato n.º 37/2025 de Juquiá/SP, contratação direta emergencial (art. 75, inciso VIII, da Lei n.º 14.133/2021), com 280 t/mês (27% da escala de Porto Ferreira) e 12 meses vedada prorrogação; o referencial de contêiner de R$ 230,00 provém de emergencial de 3 meses de Artur Nogueira (art. 75, VIII). Contratações emergenciais e de curtíssimo prazo tendem a embutir prêmio de urgência, e nenhum fator de ajuste foi aplicado (C-127, C-122).</w:t>
            </w:r>
          </w:p>
          <w:p>
            <w:pPr>
              <w:spacing w:after="40" w:before="40" w:line="260" w:lineRule="exact"/>
              <w:jc w:val="both"/>
            </w:pPr>
            <w:r>
              <w:rPr>
                <w:rFonts w:ascii="Times New Roman" w:hAnsi="Times New Roman"/>
                <w:sz w:val="16"/>
              </w:rPr>
              <w:t xml:space="preserve">3. </w:t>
            </w:r>
            <w:r>
              <w:rPr>
                <w:rFonts w:ascii="Times New Roman" w:hAnsi="Times New Roman"/>
                <w:b/>
                <w:sz w:val="16"/>
              </w:rPr>
              <w:t>Cesta com escopos heterogêneos sem normalização.</w:t>
            </w:r>
            <w:r>
              <w:rPr>
                <w:rFonts w:ascii="Times New Roman" w:hAnsi="Times New Roman"/>
                <w:sz w:val="16"/>
              </w:rPr>
              <w:t xml:space="preserve"> No item 3, o referencial de Itápolis (R$ 165,95/t) remunera transbordo+transporte </w:t>
            </w:r>
            <w:r>
              <w:rPr>
                <w:rFonts w:ascii="Times New Roman" w:hAnsi="Times New Roman"/>
                <w:b/>
                <w:sz w:val="16"/>
              </w:rPr>
              <w:t>sem</w:t>
            </w:r>
            <w:r>
              <w:rPr>
                <w:rFonts w:ascii="Times New Roman" w:hAnsi="Times New Roman"/>
                <w:sz w:val="16"/>
              </w:rPr>
              <w:t xml:space="preserve"> disposição final (que no contrato-fonte é item apartado de R$ 153,48/t), enquanto Mirandópolis e Juquiá incluem a destinação — a média mistura escopos distintos (C-126). Os três referenciais do item 3 pressupõem transbordo por conta e infraestrutura da contratada, enquanto em Porto Ferreira a estação é construída e licenciada pela Administração ("subsidiada") — estrutura de custos não ajustada (C-150). Nenhum referencial informa a distância de transporte ao aterro receptor, e não há normalização por quilometragem, embora o custo do item 3 seja função direta da distância (C-151). No item 1, o referencial de SCP (R$ 355,61/t) provém de contrato que precifica administração local e contêineres em itens apartados, enquanto em Porto Ferreira esses custos se embutem no R$/t (C-147); o contrato-fonte de SCP ainda contém inconsistências aritméticas entre unitário × quantidade e totais (C-148). As escalas dos contratos-fonte variam de 280 a 1.500 t/mês e os prazos de 6 a 60 meses, sem fator de escala ou de amortização de CAPEX para os 60 meses de Porto Ferreira (C-121, C-149); há inclusive contrato de outro estado (Xanxerê/SC), anexado sem utilização demonstrada nem justificativa de inclusão/descarte (C-145).</w:t>
            </w:r>
          </w:p>
          <w:p>
            <w:pPr>
              <w:spacing w:after="40" w:before="40" w:line="260" w:lineRule="exact"/>
              <w:jc w:val="both"/>
            </w:pPr>
            <w:r>
              <w:rPr>
                <w:rFonts w:ascii="Times New Roman" w:hAnsi="Times New Roman"/>
                <w:sz w:val="16"/>
              </w:rPr>
              <w:t xml:space="preserve">4. </w:t>
            </w:r>
            <w:r>
              <w:rPr>
                <w:rFonts w:ascii="Times New Roman" w:hAnsi="Times New Roman"/>
                <w:b/>
                <w:sz w:val="16"/>
              </w:rPr>
              <w:t>Datas-base misturadas sem atualização.</w:t>
            </w:r>
            <w:r>
              <w:rPr>
                <w:rFonts w:ascii="Times New Roman" w:hAnsi="Times New Roman"/>
                <w:sz w:val="16"/>
              </w:rPr>
              <w:t xml:space="preserve"> Os valores nominais dos contratos-fonte têm datas-base de 05/2025 a 02/2026 (Itápolis 26/05/2025; Juquiá 07/07/2025; Itapira 08/08/2025; Xanxerê 10/10/2025; Mirandópolis 12/2025 — este já reajustado por IPCA de 5,2252%; SCP 08/02/2026) e foram lançados na matriz sem aplicação de índice de atualização para data-base comum, em desacordo com a parte final do art. 23, § 1.º, inciso II (C-128).</w:t>
            </w:r>
          </w:p>
          <w:p>
            <w:pPr>
              <w:spacing w:after="40" w:before="40" w:line="260" w:lineRule="exact"/>
              <w:jc w:val="both"/>
            </w:pPr>
            <w:r>
              <w:rPr>
                <w:rFonts w:ascii="Times New Roman" w:hAnsi="Times New Roman"/>
                <w:sz w:val="16"/>
              </w:rPr>
              <w:t xml:space="preserve">5. </w:t>
            </w:r>
            <w:r>
              <w:rPr>
                <w:rFonts w:ascii="Times New Roman" w:hAnsi="Times New Roman"/>
                <w:b/>
                <w:sz w:val="16"/>
              </w:rPr>
              <w:t>Média simples sem análise crítica.</w:t>
            </w:r>
            <w:r>
              <w:rPr>
                <w:rFonts w:ascii="Times New Roman" w:hAnsi="Times New Roman"/>
                <w:sz w:val="16"/>
              </w:rPr>
              <w:t xml:space="preserve"> Amostras de 2 a 4 cotações por item, com CV de até 25%, tratadas por média simples, sem saneamento da cesta nem justificativa da opção pela média em vez da mediana ou do menor preço — sendo que o § 1.º do art. 23 manda definir o valor "com base no melhor preço aferido" (C-124).</w:t>
            </w:r>
          </w:p>
          <w:p>
            <w:pPr>
              <w:spacing w:after="40" w:before="40" w:line="260" w:lineRule="exact"/>
              <w:jc w:val="both"/>
            </w:pPr>
            <w:r>
              <w:rPr>
                <w:rFonts w:ascii="Times New Roman" w:hAnsi="Times New Roman"/>
                <w:sz w:val="16"/>
              </w:rPr>
              <w:t xml:space="preserve">6. </w:t>
            </w:r>
            <w:r>
              <w:rPr>
                <w:rFonts w:ascii="Times New Roman" w:hAnsi="Times New Roman"/>
                <w:b/>
                <w:sz w:val="16"/>
              </w:rPr>
              <w:t>Quantitativo sem memória de cálculo.</w:t>
            </w:r>
            <w:r>
              <w:rPr>
                <w:rFonts w:ascii="Times New Roman" w:hAnsi="Times New Roman"/>
                <w:sz w:val="16"/>
              </w:rPr>
              <w:t xml:space="preserve"> O ETP declara que os quantitativos vieram dos "últimos contratos realizados pela Administração", mas esses contratos não são identificados nem anexados — os anexos são exclusivamente contratos de outros municípios, usados só para preço; não há série histórica de pesagens, população atendida, geração per capita nem gravimetria que sustente as 1.300 t/mês de partida (C-111, C-112, C-135; conexão com T4).</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Conclusão.</w:t>
            </w:r>
            <w:r>
              <w:rPr>
                <w:rFonts w:ascii="Times New Roman" w:hAnsi="Times New Roman"/>
                <w:sz w:val="16"/>
              </w:rPr>
              <w:t xml:space="preserve"> O valor estimado de R$ 9.193.852,80 foi formado em desconformidade com o art. 23, caput e § 1.º, inciso II, da Lei n.º 14.133/2021 (similaridade não demonstrada; atualização não aplicada; descarte de cotação sem motivação) e sem as memórias de cálculo exigidas pelo art. 18, § 1.º, incisos IV e VI, e pelo art. 6.º, inciso XXIII, alínea "i", da mesma lei. A distorção não é neutra: o valor estimado baliza a aceitabilidade das propostas e o julgamento, e serve de base a exigências percentuais do certame (capital mínimo, garantias, multas), propagando o vício (conexão com T1). Havendo cotação válida inferior desprezada sem motivação, o orçamento estimado admite caracterização como sobrepreço na acepção do art. 6.º, inciso LVI, da Lei n.º 14.133/2021, ponto sindicável pelo controle externo.</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Contra-argumentos antecipados —</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xml:space="preserve">1. </w:t>
            </w:r>
            <w:r>
              <w:rPr>
                <w:rFonts w:ascii="Times New Roman" w:hAnsi="Times New Roman"/>
                <w:b/>
                <w:sz w:val="16"/>
              </w:rPr>
              <w:t>Liberdade metodológica.</w:t>
            </w:r>
            <w:r>
              <w:rPr>
                <w:rFonts w:ascii="Times New Roman" w:hAnsi="Times New Roman"/>
                <w:sz w:val="16"/>
              </w:rPr>
              <w:t xml:space="preserve"> A Administração invocará o art. 23, § 1.º ("adotados de forma combinada ou não") e a jurisprudência de deferência: (TJSP, Agravo de Instrumento 2271166-06.2025.8.26.0000, Rel. Des. Cynthia Thome, 2ª Câmara de Direito Público, j. 23/10/2025) </w:t>
            </w:r>
            <w:r>
              <w:rPr>
                <w:rFonts w:ascii="Times New Roman" w:hAnsi="Times New Roman"/>
                <w:b/>
                <w:sz w:val="16"/>
              </w:rPr>
              <w:t>[VIT]</w:t>
            </w:r>
            <w:r>
              <w:rPr>
                <w:rFonts w:ascii="Times New Roman" w:hAnsi="Times New Roman"/>
                <w:sz w:val="16"/>
              </w:rPr>
              <w:t xml:space="preserve"> — presunção de legalidade da metodologia de preço de referência, ilegitimidade de liminar sem prova robusta; no mesmo sentido, negando suspensão liminar de certame em cognição sumária, (TJSP, Agravo de Instrumento 2165413-94.2024.8.26.0000, Rel. Des. Francisco Bianco, 5ª Câmara de Direito Público, j. 20/08/2024) </w:t>
            </w:r>
            <w:r>
              <w:rPr>
                <w:rFonts w:ascii="Times New Roman" w:hAnsi="Times New Roman"/>
                <w:b/>
                <w:sz w:val="16"/>
              </w:rPr>
              <w:t>[VIT]</w:t>
            </w:r>
            <w:r>
              <w:rPr>
                <w:rFonts w:ascii="Times New Roman" w:hAnsi="Times New Roman"/>
                <w:sz w:val="16"/>
              </w:rPr>
              <w:t>. Réplica: a liberdade de combinação de parâmetros não dispensa a motivação dos descartes — o próprio ETP demonstrou saber motivar (fez isso com o outlier de R$ 19.116,00) e silenciou quanto a Itapira; motivação seletiva evidencia o vício.</w:t>
            </w:r>
          </w:p>
          <w:p>
            <w:pPr>
              <w:spacing w:after="40" w:before="40" w:line="260" w:lineRule="exact"/>
              <w:jc w:val="both"/>
            </w:pPr>
            <w:r>
              <w:rPr>
                <w:rFonts w:ascii="Times New Roman" w:hAnsi="Times New Roman"/>
                <w:sz w:val="16"/>
              </w:rPr>
              <w:t xml:space="preserve">2. </w:t>
            </w:r>
            <w:r>
              <w:rPr>
                <w:rFonts w:ascii="Times New Roman" w:hAnsi="Times New Roman"/>
                <w:b/>
                <w:sz w:val="16"/>
              </w:rPr>
              <w:t>"O valor estimado é teto; a disputa de lances corrige eventual folga."</w:t>
            </w:r>
            <w:r>
              <w:rPr>
                <w:rFonts w:ascii="Times New Roman" w:hAnsi="Times New Roman"/>
                <w:sz w:val="16"/>
              </w:rPr>
              <w:t xml:space="preserve"> Réplica: em lote único com itens excludentes somados (T1) e julgamento pelo global, o teto inflado desloca a referência de aceitabilidade e as bases percentuais acessórias; a correção pela disputa é contingente, e a lei exige correção na origem (art. 23).</w:t>
            </w:r>
          </w:p>
          <w:p>
            <w:pPr>
              <w:spacing w:after="40" w:before="40" w:line="260" w:lineRule="exact"/>
              <w:jc w:val="both"/>
            </w:pPr>
            <w:r>
              <w:rPr>
                <w:rFonts w:ascii="Times New Roman" w:hAnsi="Times New Roman"/>
                <w:sz w:val="16"/>
              </w:rPr>
              <w:t xml:space="preserve">3. </w:t>
            </w:r>
            <w:r>
              <w:rPr>
                <w:rFonts w:ascii="Times New Roman" w:hAnsi="Times New Roman"/>
                <w:b/>
                <w:sz w:val="16"/>
              </w:rPr>
              <w:t>"Emergenciais são contratações similares e estão no PNCP."</w:t>
            </w:r>
            <w:r>
              <w:rPr>
                <w:rFonts w:ascii="Times New Roman" w:hAnsi="Times New Roman"/>
                <w:sz w:val="16"/>
              </w:rPr>
              <w:t xml:space="preserve"> Réplica: o inciso II exige similaridade e atualização; escala 4x menor, prazo de meses e prêmio de urgência descaracterizam a similaridade sem fator de ajuste — e a ausência de qualquer ponderação está documentada.</w:t>
            </w:r>
          </w:p>
          <w:p>
            <w:pPr>
              <w:spacing w:after="40" w:before="40" w:line="260" w:lineRule="exact"/>
              <w:jc w:val="both"/>
            </w:pPr>
            <w:r>
              <w:rPr>
                <w:rFonts w:ascii="Times New Roman" w:hAnsi="Times New Roman"/>
                <w:sz w:val="16"/>
              </w:rPr>
              <w:t xml:space="preserve">4. </w:t>
            </w:r>
            <w:r>
              <w:rPr>
                <w:rFonts w:ascii="Times New Roman" w:hAnsi="Times New Roman"/>
                <w:b/>
                <w:sz w:val="16"/>
              </w:rPr>
              <w:t>Interesse de agir da licitante.</w:t>
            </w:r>
            <w:r>
              <w:rPr>
                <w:rFonts w:ascii="Times New Roman" w:hAnsi="Times New Roman"/>
                <w:sz w:val="16"/>
              </w:rPr>
              <w:t xml:space="preserve"> A Administração pode arguir que licitante não se prejudica com teto alto. Réplica jurídica: a legitimidade de impugnação é universa</w:t>
            </w:r>
          </w:p>
          <w:p>
            <w:pPr>
              <w:spacing w:after="40" w:before="40" w:line="260" w:lineRule="exact"/>
              <w:jc w:val="both"/>
            </w:pPr>
            <w:r>
              <w:rPr>
                <w:rFonts w:ascii="Times New Roman" w:hAnsi="Times New Roman"/>
                <w:sz w:val="16"/>
              </w:rPr>
              <w:t>[...texto completo no arquivo AN_bloco correspondente]</w:t>
            </w:r>
          </w:p>
        </w:tc>
        <w:tc>
          <w:tcPr>
            <w:tcW w:type="dxa" w:w="2163"/>
          </w:tcPr>
          <w:p>
            <w:pPr>
              <w:spacing w:after="40" w:before="40" w:line="260" w:lineRule="exact"/>
              <w:jc w:val="both"/>
            </w:pPr>
            <w:r/>
            <w:r>
              <w:rPr>
                <w:rFonts w:ascii="Times New Roman" w:hAnsi="Times New Roman"/>
                <w:sz w:val="16"/>
              </w:rPr>
              <w:t>- art. 23, caput e § 1.º, incisos I a V (em especial inciso II), da Lei n.º 14.133/2021 (redação vigente conferida)</w:t>
            </w:r>
          </w:p>
          <w:p>
            <w:pPr>
              <w:spacing w:after="40" w:before="40" w:line="260" w:lineRule="exact"/>
              <w:jc w:val="both"/>
            </w:pPr>
            <w:r>
              <w:rPr>
                <w:rFonts w:ascii="Times New Roman" w:hAnsi="Times New Roman"/>
                <w:sz w:val="16"/>
              </w:rPr>
              <w:t>- art. 18, § 1.º, incisos IV e VI, da Lei n.º 14.133/2021</w:t>
            </w:r>
          </w:p>
          <w:p>
            <w:pPr>
              <w:spacing w:after="40" w:before="40" w:line="260" w:lineRule="exact"/>
              <w:jc w:val="both"/>
            </w:pPr>
            <w:r>
              <w:rPr>
                <w:rFonts w:ascii="Times New Roman" w:hAnsi="Times New Roman"/>
                <w:sz w:val="16"/>
              </w:rPr>
              <w:t>- art. 6.º, incisos XXIII, alínea "i", e LVI, da Lei n.º 14.133/2021</w:t>
            </w:r>
          </w:p>
          <w:p>
            <w:pPr>
              <w:spacing w:after="40" w:before="40" w:line="260" w:lineRule="exact"/>
              <w:jc w:val="both"/>
            </w:pPr>
            <w:r>
              <w:rPr>
                <w:rFonts w:ascii="Times New Roman" w:hAnsi="Times New Roman"/>
                <w:sz w:val="16"/>
              </w:rPr>
              <w:t>- art. 75, inciso VIII, da Lei n.º 14.133/2021 (natureza emergencial dos contratos-fonte de Juquiá e Artur Nogueira — elemento de fato)</w:t>
            </w:r>
          </w:p>
          <w:p>
            <w:pPr>
              <w:spacing w:after="40" w:before="40" w:line="260" w:lineRule="exact"/>
              <w:jc w:val="both"/>
            </w:pPr>
            <w:r>
              <w:rPr>
                <w:rFonts w:ascii="Times New Roman" w:hAnsi="Times New Roman"/>
                <w:sz w:val="16"/>
              </w:rPr>
              <w:t>- art. 5.º da Lei n.º 14.133/2021 (planejamento, motivação, economicidade)</w:t>
            </w:r>
          </w:p>
          <w:p>
            <w:pPr>
              <w:spacing w:after="40" w:before="40" w:line="260" w:lineRule="exact"/>
              <w:jc w:val="both"/>
            </w:pPr>
            <w:r>
              <w:rPr>
                <w:rFonts w:ascii="Times New Roman" w:hAnsi="Times New Roman"/>
                <w:sz w:val="16"/>
              </w:rPr>
              <w:t xml:space="preserve">- (STF, MS 39304, Rel. Min. Gilmar Mendes, decisão monocrática, j. 14/12/2023) — responsabilização de gestor por deficiências de quantificação/estimativa na fase preparatória </w:t>
            </w:r>
            <w:r>
              <w:rPr>
                <w:rFonts w:ascii="Times New Roman" w:hAnsi="Times New Roman"/>
                <w:b/>
                <w:sz w:val="16"/>
              </w:rPr>
              <w:t>[VIT]</w:t>
            </w:r>
            <w:r>
              <w:rPr>
                <w:rFonts w:ascii="Times New Roman" w:hAnsi="Times New Roman"/>
                <w:sz w:val="16"/>
              </w:rPr>
            </w:r>
          </w:p>
          <w:p>
            <w:pPr>
              <w:spacing w:after="40" w:before="40" w:line="260" w:lineRule="exact"/>
              <w:jc w:val="both"/>
            </w:pPr>
            <w:r>
              <w:rPr>
                <w:rFonts w:ascii="Times New Roman" w:hAnsi="Times New Roman"/>
                <w:sz w:val="16"/>
              </w:rPr>
              <w:t xml:space="preserve">- Não localizei, na base judicial consultada, precedente específico sobre exclusão injustificada de cotação de cesta de preços ou sobre uso de contratações emergenciais como parâmetro sem ajuste; a matéria é tipicamente decidida em foro de contas (controle de economicidade da fase interna) — </w:t>
            </w:r>
            <w:r>
              <w:rPr>
                <w:rFonts w:ascii="Times New Roman" w:hAnsi="Times New Roman"/>
                <w:b/>
                <w:sz w:val="16"/>
              </w:rPr>
              <w:t>[PENDENTE: busca TCU/TCE via Lei na Mão antes do protocolo]</w:t>
            </w:r>
            <w:r>
              <w:rPr>
                <w:rFonts w:ascii="Times New Roman" w:hAnsi="Times New Roman"/>
                <w:sz w:val="16"/>
              </w:rPr>
            </w:r>
          </w:p>
          <w:p>
            <w:pPr>
              <w:spacing w:after="40" w:before="40" w:line="260" w:lineRule="exact"/>
              <w:jc w:val="both"/>
            </w:pPr>
            <w:r>
              <w:rPr>
                <w:rFonts w:ascii="Times New Roman" w:hAnsi="Times New Roman"/>
                <w:sz w:val="16"/>
              </w:rPr>
              <w:t>Doutrina: A busca doutrinária (Jus IA, área administrativo) não retornou tratamento específico da pesquisa de preços do art. 23 da Lei n.º 14.133/2021 (acervo concentrado no regime anterior); não indico doutrina para este ponto sem fonte verificada.</w:t>
            </w:r>
          </w:p>
          <w:p>
            <w:pPr>
              <w:spacing w:after="40" w:before="40" w:line="260" w:lineRule="exact"/>
              <w:jc w:val="both"/>
            </w:pPr>
            <w:r>
              <w:rPr>
                <w:rFonts w:ascii="Times New Roman" w:hAnsi="Times New Roman"/>
                <w:sz w:val="16"/>
              </w:rPr>
              <w:t>— Jurisprudência TCU/TCE (Lei na Mão) —</w:t>
            </w:r>
          </w:p>
          <w:p>
            <w:pPr>
              <w:spacing w:after="40" w:before="40" w:line="260" w:lineRule="exact"/>
              <w:jc w:val="both"/>
            </w:pPr>
            <w:r>
              <w:rPr>
                <w:rFonts w:ascii="Times New Roman" w:hAnsi="Times New Roman"/>
                <w:sz w:val="16"/>
              </w:rPr>
              <w:t>• Entendimento TCU-Plenário, sessão de 21/10/2015 (Jurisprudência Selecionada 16331) [VIT</w:t>
            </w:r>
          </w:p>
          <w:p>
            <w:pPr>
              <w:spacing w:after="40" w:before="40" w:line="260" w:lineRule="exact"/>
              <w:jc w:val="both"/>
            </w:pPr>
            <w:r>
              <w:rPr>
                <w:rFonts w:ascii="Times New Roman" w:hAnsi="Times New Roman"/>
                <w:sz w:val="16"/>
              </w:rPr>
              <w:t xml:space="preserve">• Acórdão 1445/2022-TCU-Plenário, Rel. Augusto Sherman, sessão de 22/06/2022 </w:t>
            </w:r>
            <w:r>
              <w:rPr>
                <w:rFonts w:ascii="Times New Roman" w:hAnsi="Times New Roman"/>
                <w:b/>
                <w:color w:val="CC0000"/>
                <w:sz w:val="16"/>
              </w:rPr>
              <w:t>[VIT]</w:t>
            </w:r>
            <w:r>
              <w:rPr>
                <w:rFonts w:ascii="Times New Roman" w:hAnsi="Times New Roman"/>
                <w:sz w:val="16"/>
              </w:rPr>
            </w:r>
          </w:p>
          <w:p>
            <w:pPr>
              <w:spacing w:after="40" w:before="40" w:line="260" w:lineRule="exact"/>
              <w:jc w:val="both"/>
            </w:pPr>
            <w:r>
              <w:rPr>
                <w:rFonts w:ascii="Times New Roman" w:hAnsi="Times New Roman"/>
                <w:sz w:val="16"/>
              </w:rPr>
              <w:t xml:space="preserve">• Acórdão 11660/2019-TCU-Segunda Câmara, Rel. Marcos Bemquerer, sessão de 29/10/2019 </w:t>
            </w:r>
            <w:r>
              <w:rPr>
                <w:rFonts w:ascii="Times New Roman" w:hAnsi="Times New Roman"/>
                <w:b/>
                <w:color w:val="CC0000"/>
                <w:sz w:val="16"/>
              </w:rPr>
              <w:t>[VIT]</w:t>
            </w:r>
            <w:r>
              <w:rPr>
                <w:rFonts w:ascii="Times New Roman" w:hAnsi="Times New Roman"/>
                <w:sz w:val="16"/>
              </w:rPr>
            </w:r>
          </w:p>
          <w:p>
            <w:pPr>
              <w:spacing w:after="40" w:before="40" w:line="260" w:lineRule="exact"/>
              <w:jc w:val="both"/>
            </w:pPr>
            <w:r>
              <w:rPr>
                <w:rFonts w:ascii="Times New Roman" w:hAnsi="Times New Roman"/>
                <w:sz w:val="16"/>
              </w:rPr>
              <w:t xml:space="preserve">• Acórdão 2004/2015-TCU-Plenário, Rel. José Múcio Monteiro, sessão de 12/08/2015 </w:t>
            </w:r>
            <w:r>
              <w:rPr>
                <w:rFonts w:ascii="Times New Roman" w:hAnsi="Times New Roman"/>
                <w:b/>
                <w:color w:val="CC0000"/>
                <w:sz w:val="16"/>
              </w:rPr>
              <w:t>[VIT]</w:t>
            </w:r>
            <w:r>
              <w:rPr>
                <w:rFonts w:ascii="Times New Roman" w:hAnsi="Times New Roman"/>
                <w:sz w:val="16"/>
              </w:rPr>
            </w:r>
          </w:p>
          <w:p>
            <w:pPr>
              <w:spacing w:after="40" w:before="40" w:line="260" w:lineRule="exact"/>
              <w:jc w:val="both"/>
            </w:pPr>
            <w:r>
              <w:rPr>
                <w:rFonts w:ascii="Times New Roman" w:hAnsi="Times New Roman"/>
                <w:sz w:val="16"/>
              </w:rPr>
              <w:t>• Entendimento TCU-Plenário, sessão de 26/03/2014 (Jurisprudência Selecionada 21827) [VIT</w:t>
            </w:r>
          </w:p>
        </w:tc>
        <w:tc>
          <w:tcPr>
            <w:tcW w:type="dxa" w:w="2163"/>
          </w:tcPr>
          <w:p>
            <w:pPr>
              <w:spacing w:after="40" w:before="40" w:line="260" w:lineRule="exact"/>
              <w:jc w:val="center"/>
            </w:pPr>
            <w:r/>
            <w:r>
              <w:rPr>
                <w:rFonts w:ascii="Times New Roman" w:hAnsi="Times New Roman"/>
                <w:b w:val="0"/>
                <w:sz w:val="18"/>
              </w:rPr>
              <w:t>Não</w:t>
            </w:r>
          </w:p>
        </w:tc>
        <w:tc>
          <w:tcPr>
            <w:tcW w:type="dxa" w:w="2163"/>
          </w:tcPr>
          <w:p>
            <w:pPr>
              <w:spacing w:after="40" w:before="40" w:line="260" w:lineRule="exact"/>
              <w:jc w:val="center"/>
            </w:pPr>
            <w:r/>
            <w:r>
              <w:rPr>
                <w:rFonts w:ascii="Times New Roman" w:hAnsi="Times New Roman"/>
                <w:b w:val="0"/>
                <w:sz w:val="18"/>
              </w:rPr>
            </w:r>
          </w:p>
        </w:tc>
      </w:tr>
      <w:tr>
        <w:tc>
          <w:tcPr>
            <w:tcW w:type="dxa" w:w="2163"/>
            <w:shd w:fill="F2F2F2" w:val="clear"/>
          </w:tcPr>
          <w:p>
            <w:pPr>
              <w:spacing w:after="40" w:before="40" w:line="260" w:lineRule="exact"/>
              <w:jc w:val="center"/>
            </w:pPr>
            <w:r/>
            <w:r>
              <w:rPr>
                <w:rFonts w:ascii="Times New Roman" w:hAnsi="Times New Roman"/>
                <w:b w:val="0"/>
                <w:sz w:val="18"/>
              </w:rPr>
              <w:t>T6</w:t>
            </w:r>
          </w:p>
        </w:tc>
        <w:tc>
          <w:tcPr>
            <w:tcW w:type="dxa" w:w="2163"/>
            <w:shd w:fill="F2F2F2" w:val="clear"/>
          </w:tcPr>
          <w:p>
            <w:pPr>
              <w:spacing w:after="40" w:before="40" w:line="260" w:lineRule="exact"/>
            </w:pPr>
            <w:r/>
            <w:r>
              <w:rPr>
                <w:rFonts w:ascii="Times New Roman" w:hAnsi="Times New Roman"/>
                <w:b w:val="0"/>
                <w:sz w:val="18"/>
              </w:rPr>
              <w:t>Modelagem econômica</w:t>
            </w:r>
          </w:p>
        </w:tc>
        <w:tc>
          <w:tcPr>
            <w:tcW w:type="dxa" w:w="2163"/>
            <w:shd w:fill="F2F2F2" w:val="clear"/>
          </w:tcPr>
          <w:p>
            <w:pPr>
              <w:spacing w:after="40" w:before="40" w:line="260" w:lineRule="exact"/>
              <w:jc w:val="both"/>
            </w:pPr>
            <w:r/>
            <w:r>
              <w:rPr>
                <w:rFonts w:ascii="Times New Roman" w:hAnsi="Times New Roman"/>
                <w:sz w:val="18"/>
              </w:rPr>
              <w:t>CCT SIEMACO Araraquara</w:t>
            </w:r>
          </w:p>
          <w:p>
            <w:pPr>
              <w:spacing w:after="40" w:before="40" w:line="260" w:lineRule="exact"/>
              <w:jc w:val="both"/>
            </w:pPr>
            <w:r>
              <w:rPr>
                <w:rFonts w:ascii="Times New Roman" w:hAnsi="Times New Roman"/>
                <w:sz w:val="18"/>
              </w:rPr>
            </w:r>
            <w:r>
              <w:rPr>
                <w:rFonts w:ascii="Times New Roman" w:hAnsi="Times New Roman"/>
                <w:b/>
                <w:color w:val="CC0000"/>
                <w:sz w:val="18"/>
              </w:rPr>
              <w:t>[VALIDAÇÃO TÉCNICA]</w:t>
            </w:r>
            <w:r>
              <w:rPr>
                <w:rFonts w:ascii="Times New Roman" w:hAnsi="Times New Roman"/>
                <w:sz w:val="18"/>
              </w:rPr>
            </w:r>
          </w:p>
        </w:tc>
        <w:tc>
          <w:tcPr>
            <w:tcW w:type="dxa" w:w="2163"/>
            <w:shd w:fill="F2F2F2" w:val="clear"/>
          </w:tcPr>
          <w:p>
            <w:pPr>
              <w:spacing w:after="40" w:before="40" w:line="260" w:lineRule="exact"/>
              <w:jc w:val="both"/>
            </w:pPr>
            <w:r/>
            <w:r>
              <w:rPr>
                <w:rFonts w:ascii="Times New Roman" w:hAnsi="Times New Roman"/>
                <w:sz w:val="16"/>
              </w:rPr>
            </w:r>
            <w:r>
              <w:rPr>
                <w:rFonts w:ascii="Times New Roman" w:hAnsi="Times New Roman"/>
                <w:b/>
                <w:sz w:val="16"/>
              </w:rPr>
              <w:t>Premissa normativa.</w:t>
            </w:r>
            <w:r>
              <w:rPr>
                <w:rFonts w:ascii="Times New Roman" w:hAnsi="Times New Roman"/>
                <w:sz w:val="16"/>
              </w:rPr>
              <w:t xml:space="preserve"> O enquadramento sindical no direito brasileiro decorre da lei, não de ato administrativo: a categoria econômica/profissional se define pela atividade preponderante da empresa (art. 511, §§ 1.º, 2.º e 4.º, da CLT), a convenção coletiva aplica-se "no âmbito das respectivas representações" (art. 611 da CLT) e na base territorial dos sindicatos convenentes, respeitada a unicidade sindical (art. 8.º, incisos I e II, da CF/1988); os empregados de categoria diferenciada — como motoristas — regem-se por instrumento próprio (art. 511, § 3.º, da CLT; Súmula 374 do TST, referida nos precedentes adiante). É vedada duração de instrumento coletivo superior a dois anos "sendo vedada a ultratividade" (art. 614, § 3.º, da CLT, redação da Lei n.º 13.467/2017). Na licitação, o edital deve exigir declaração de que as propostas compreendem os custos trabalhistas das "convenções coletivas de trabalho ... </w:t>
            </w:r>
            <w:r>
              <w:rPr>
                <w:rFonts w:ascii="Times New Roman" w:hAnsi="Times New Roman"/>
                <w:b/>
                <w:sz w:val="16"/>
              </w:rPr>
              <w:t>vigentes na data de entrega das propostas</w:t>
            </w:r>
            <w:r>
              <w:rPr>
                <w:rFonts w:ascii="Times New Roman" w:hAnsi="Times New Roman"/>
                <w:sz w:val="16"/>
              </w:rPr>
              <w:t xml:space="preserve">" (art. 63, § 1.º, da Lei n.º 14.133/2021); a repactuação vincula-se "ao acordo, à convenção coletiva ou ao dissídio coletivo </w:t>
            </w:r>
            <w:r>
              <w:rPr>
                <w:rFonts w:ascii="Times New Roman" w:hAnsi="Times New Roman"/>
                <w:b/>
                <w:sz w:val="16"/>
              </w:rPr>
              <w:t>ao qual a proposta esteja vinculada</w:t>
            </w:r>
            <w:r>
              <w:rPr>
                <w:rFonts w:ascii="Times New Roman" w:hAnsi="Times New Roman"/>
                <w:sz w:val="16"/>
              </w:rPr>
              <w:t>" (art. 135, caput e inciso II), com os limites dos §§ 1.º e 2.º do art. 135 (não vinculação da Administração a matéria não trabalhista, PLR, direitos não previstos em lei e obrigações restritas a contratos com a Administração); o contrato deve conter cláusula clara de preço, reajuste e medição (art. 92, incisos V e VI); e o certame se rege pela isonomia e pelo julgamento objetivo (art. 5.º da Lei n.º 14.133/2021), vinculando-se a Administração aos próprios atos divulgados, inclusive respostas a impugnações e esclarecimentos (art. 164, parágrafo único, c/c art. 5.º da Lei n.º 14.133/2021).</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Fato editalício.</w:t>
            </w:r>
            <w:r>
              <w:rPr>
                <w:rFonts w:ascii="Times New Roman" w:hAnsi="Times New Roman"/>
                <w:sz w:val="16"/>
              </w:rPr>
              <w:t xml:space="preserve"> O TR do edital reaberto impõe: *"5.4.29. A CONTRATADA deverá atender integralmente à Convenção Coletiva de Trabalho 2025/2026 (em anexo) do SIEMACO Araraquara (Sindicato dos Trabalhadores em Empresas de Limpeza Urbana, Asseio e Conservação de Araraquara e Região), sindicato este que atende os trabalhadores da categoria em Porto Ferreira"* (repetido na cláusula 9.4.29 da minuta). Contra esse comando militam os próprios documentos do certame:</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xml:space="preserve">1. </w:t>
            </w:r>
            <w:r>
              <w:rPr>
                <w:rFonts w:ascii="Times New Roman" w:hAnsi="Times New Roman"/>
                <w:b/>
                <w:sz w:val="16"/>
              </w:rPr>
              <w:t>Contradição com resposta vinculante anterior.</w:t>
            </w:r>
            <w:r>
              <w:rPr>
                <w:rFonts w:ascii="Times New Roman" w:hAnsi="Times New Roman"/>
                <w:sz w:val="16"/>
              </w:rPr>
              <w:t xml:space="preserve"> Na resposta à 6ª impugnação (item III.10.4), a Administração afirmara: *"caberá a cada licitante adotar a convenção coletiva aplicável à sua categoria e base territorial, com a correspondente composição de custos"*. O edital reaberto dispôs em sentido oposto, sem motivação da mudança (C-130).</w:t>
            </w:r>
          </w:p>
          <w:p>
            <w:pPr>
              <w:spacing w:after="40" w:before="40" w:line="260" w:lineRule="exact"/>
              <w:jc w:val="both"/>
            </w:pPr>
            <w:r>
              <w:rPr>
                <w:rFonts w:ascii="Times New Roman" w:hAnsi="Times New Roman"/>
                <w:sz w:val="16"/>
              </w:rPr>
              <w:t xml:space="preserve">2. </w:t>
            </w:r>
            <w:r>
              <w:rPr>
                <w:rFonts w:ascii="Times New Roman" w:hAnsi="Times New Roman"/>
                <w:b/>
                <w:sz w:val="16"/>
              </w:rPr>
              <w:t>Instrumento expirado.</w:t>
            </w:r>
            <w:r>
              <w:rPr>
                <w:rFonts w:ascii="Times New Roman" w:hAnsi="Times New Roman"/>
                <w:sz w:val="16"/>
              </w:rPr>
              <w:t xml:space="preserve"> A CCT anexada (registro MTE SP006321/2025, de 09/06/2025) tem vigência de 01/03/2025 a 28/02/2026 (cláusula 1ª; data-base 1.º de março). O certame reaberto tem sessão posterior a 28/02/2026; o Anexo IV, alínea "b", exige declaração de custos conforme CCTs "vigentes na data de entrega das propostas" (reprodução do art. 63, § 1.º) — o edital manda atender "integralmente" instrumento que não estará vigente na entrega das propostas (C-129). A cláusula 71ª da própria CCT ("será mantida a vigência das cláusulas durante o período de negociação") colide frontalmente com a vedação de ultratividade do art. 614, § 3.º, da CLT (C-167).</w:t>
            </w:r>
          </w:p>
          <w:p>
            <w:pPr>
              <w:spacing w:after="40" w:before="40" w:line="260" w:lineRule="exact"/>
              <w:jc w:val="both"/>
            </w:pPr>
            <w:r>
              <w:rPr>
                <w:rFonts w:ascii="Times New Roman" w:hAnsi="Times New Roman"/>
                <w:sz w:val="16"/>
              </w:rPr>
              <w:t xml:space="preserve">3. </w:t>
            </w:r>
            <w:r>
              <w:rPr>
                <w:rFonts w:ascii="Times New Roman" w:hAnsi="Times New Roman"/>
                <w:b/>
                <w:sz w:val="16"/>
              </w:rPr>
              <w:t>Porto Ferreira fora da abrangência territorial.</w:t>
            </w:r>
            <w:r>
              <w:rPr>
                <w:rFonts w:ascii="Times New Roman" w:hAnsi="Times New Roman"/>
                <w:sz w:val="16"/>
              </w:rPr>
              <w:t xml:space="preserve"> A cláusula 2ª da CCT delimita a abrangência a Américo Brasiliense, Araraquara, Boa Esperança do Sul, Bocaina, Dourado, Ibaté, Ibitinga, Jaboticabal, Jaú, Matão, Ribeirão Bonito e Taquaritinga — </w:t>
            </w:r>
            <w:r>
              <w:rPr>
                <w:rFonts w:ascii="Times New Roman" w:hAnsi="Times New Roman"/>
                <w:b/>
                <w:sz w:val="16"/>
              </w:rPr>
              <w:t>Porto Ferreira não consta do rol</w:t>
            </w:r>
            <w:r>
              <w:rPr>
                <w:rFonts w:ascii="Times New Roman" w:hAnsi="Times New Roman"/>
                <w:sz w:val="16"/>
              </w:rPr>
              <w:t>. A afirmação do TR de que o sindicato "atende os trabalhadores da categoria em Porto Ferreira" é desmentida pelo próprio anexo (C-153).</w:t>
            </w:r>
          </w:p>
          <w:p>
            <w:pPr>
              <w:spacing w:after="40" w:before="40" w:line="260" w:lineRule="exact"/>
              <w:jc w:val="both"/>
            </w:pPr>
            <w:r>
              <w:rPr>
                <w:rFonts w:ascii="Times New Roman" w:hAnsi="Times New Roman"/>
                <w:sz w:val="16"/>
              </w:rPr>
              <w:t xml:space="preserve">4. </w:t>
            </w:r>
            <w:r>
              <w:rPr>
                <w:rFonts w:ascii="Times New Roman" w:hAnsi="Times New Roman"/>
                <w:b/>
                <w:sz w:val="16"/>
              </w:rPr>
              <w:t>Sem piso para motorista e duas tabelas de pisos.</w:t>
            </w:r>
            <w:r>
              <w:rPr>
                <w:rFonts w:ascii="Times New Roman" w:hAnsi="Times New Roman"/>
                <w:sz w:val="16"/>
              </w:rPr>
              <w:t xml:space="preserve"> A tabela de salários funcionais (cláusula 7ª) contempla coletores/bueristas, varredores/serventes, operador de máquina de aterro e operador de roçadeira/motosserra/capinador — não há piso de </w:t>
            </w:r>
            <w:r>
              <w:rPr>
                <w:rFonts w:ascii="Times New Roman" w:hAnsi="Times New Roman"/>
                <w:b/>
                <w:sz w:val="16"/>
              </w:rPr>
              <w:t>motorista</w:t>
            </w:r>
            <w:r>
              <w:rPr>
                <w:rFonts w:ascii="Times New Roman" w:hAnsi="Times New Roman"/>
                <w:sz w:val="16"/>
              </w:rPr>
              <w:t xml:space="preserve">, função essencial ao quadro mínimo do TR (item 5.4.28: 13 coletores e 4 motoristas), sendo os motoristas potencialmente categoria diferenciada (art. 511, § 3.º, da CLT) regida por outro instrumento (C-157). A mesma cláusula 7ª traz </w:t>
            </w:r>
            <w:r>
              <w:rPr>
                <w:rFonts w:ascii="Times New Roman" w:hAnsi="Times New Roman"/>
                <w:b/>
                <w:sz w:val="16"/>
              </w:rPr>
              <w:t>duas</w:t>
            </w:r>
            <w:r>
              <w:rPr>
                <w:rFonts w:ascii="Times New Roman" w:hAnsi="Times New Roman"/>
                <w:sz w:val="16"/>
              </w:rPr>
              <w:t xml:space="preserve"> tabelas (A: empresas que reajustaram 9,5% em 2015 — coletor R$ 1.724,40; B: 8,5% — coletor R$ 1.708,65), sem que o edital defina a aplicável a licitante sem histórico na base territorial: a exigência de atendimento "integral" é indeterminada no seu próprio objeto (C-156).</w:t>
            </w:r>
          </w:p>
          <w:p>
            <w:pPr>
              <w:spacing w:after="40" w:before="40" w:line="260" w:lineRule="exact"/>
              <w:jc w:val="both"/>
            </w:pPr>
            <w:r>
              <w:rPr>
                <w:rFonts w:ascii="Times New Roman" w:hAnsi="Times New Roman"/>
                <w:sz w:val="16"/>
              </w:rPr>
              <w:t xml:space="preserve">5. </w:t>
            </w:r>
            <w:r>
              <w:rPr>
                <w:rFonts w:ascii="Times New Roman" w:hAnsi="Times New Roman"/>
                <w:b/>
                <w:sz w:val="16"/>
              </w:rPr>
              <w:t>Custos convencionais exigidos e vedados na repactuação — contradição interna.</w:t>
            </w:r>
            <w:r>
              <w:rPr>
                <w:rFonts w:ascii="Times New Roman" w:hAnsi="Times New Roman"/>
                <w:sz w:val="16"/>
              </w:rPr>
              <w:t xml:space="preserve"> O atendimento "integral" à CCT abarca: isonomia salarial com piso do varredor para funções operacionais em novos contratos licitados (cláusula 6ª — C-155); insalubridade convencional de 40% do salário-mínimo para coletores/bueristas e 20% para operador de aterro e demais (cláusula 12ª — C-158); tíquete-refeição de R$ 483,68 + vale-alimentação de R$ 241,85 mensais, devidos também em férias e afastamentos de até 150 dias (cláusulas 15ª/16ª — C-159); convênio médico de R$ 203,00/vida com custeio residual patronal (cláusula 18ª — C-160); auxílio-creche de 30% do salário-base do varredor (cláusula 19ª — C-161); seguro de vida gratuito com cobertura de 6 salários (cláusula 20ª — C-162); </w:t>
            </w:r>
            <w:r>
              <w:rPr>
                <w:rFonts w:ascii="Times New Roman" w:hAnsi="Times New Roman"/>
                <w:b/>
                <w:sz w:val="16"/>
              </w:rPr>
              <w:t>Benefício Social Sindical</w:t>
            </w:r>
            <w:r>
              <w:rPr>
                <w:rFonts w:ascii="Times New Roman" w:hAnsi="Times New Roman"/>
                <w:sz w:val="16"/>
              </w:rPr>
              <w:t xml:space="preserve"> compulsório de R$ 14,08/trabalhador/mês, com exigência convencional de previsão financeira "em todas as planilhas de custos e editais de licitações" (cláusula 22ª, §§ 2.º e 4.º — C-163); </w:t>
            </w:r>
            <w:r>
              <w:rPr>
                <w:rFonts w:ascii="Times New Roman" w:hAnsi="Times New Roman"/>
                <w:b/>
                <w:sz w:val="16"/>
              </w:rPr>
              <w:t>taxa assistencial patronal</w:t>
            </w:r>
            <w:r>
              <w:rPr>
                <w:rFonts w:ascii="Times New Roman" w:hAnsi="Times New Roman"/>
                <w:sz w:val="16"/>
              </w:rPr>
              <w:t xml:space="preserve"> de 0,5% da folha bruta mensal, inclusive 13º, em favor do SELUR (cláusula 66ª — C-164); e </w:t>
            </w:r>
            <w:r>
              <w:rPr>
                <w:rFonts w:ascii="Times New Roman" w:hAnsi="Times New Roman"/>
                <w:b/>
                <w:sz w:val="16"/>
              </w:rPr>
              <w:t>PPR</w:t>
            </w:r>
            <w:r>
              <w:rPr>
                <w:rFonts w:ascii="Times New Roman" w:hAnsi="Times New Roman"/>
                <w:sz w:val="16"/>
              </w:rPr>
              <w:t xml:space="preserve"> sob pena de multa indenizatória de 70% do salário por empregado (cláusula 14ª — C-165); além de condicionar a escala 12x36 nas frentes de descarga do aterro a anuência sindical prévia (cláusula 39ª, § 4.º — C-166). A cláusula 5.7 da minuta, porém, reproduzindo o art. 135, §§ 1.º e 2.º, dispõe que *"o contratante não se vinculará às disposições contidas em acordos, convenções ou dissídios coletivos de trabalho que tratem ... de matéria não trabalhista, de pagamento de participação dos trabalhadores nos lucros ou resultados do contratado, ou que estabeleçam direitos não previstos em lei, como valores ou índices obrigatórios de encargos sociais ou previdenciários, bem como de preços para os insumos"*. Resultado: o TR exige na execução (atendimento "integral": BSS, taxa patronal, PPR) exatamente aquilo que a minuta exclui da repactuação — custo imposto sem via de recomposição (C-206, C-164, C-165).</w:t>
            </w:r>
          </w:p>
          <w:p>
            <w:pPr>
              <w:spacing w:after="40" w:before="40" w:line="260" w:lineRule="exact"/>
              <w:jc w:val="both"/>
            </w:pPr>
            <w:r>
              <w:rPr>
                <w:rFonts w:ascii="Times New Roman" w:hAnsi="Times New Roman"/>
                <w:sz w:val="16"/>
              </w:rPr>
              <w:t xml:space="preserve">6. </w:t>
            </w:r>
            <w:r>
              <w:rPr>
                <w:rFonts w:ascii="Times New Roman" w:hAnsi="Times New Roman"/>
                <w:b/>
                <w:sz w:val="16"/>
              </w:rPr>
              <w:t>Marco da primeira repactuação indefinido.</w:t>
            </w:r>
            <w:r>
              <w:rPr>
                <w:rFonts w:ascii="Times New Roman" w:hAnsi="Times New Roman"/>
                <w:sz w:val="16"/>
              </w:rPr>
              <w:t xml:space="preserve"> A cláusula 5.2, alínea "a", da minuta conta o interregno da "data de início dos efeitos financeiros do acordo, convenção ou dissídio ... </w:t>
            </w:r>
            <w:r>
              <w:rPr>
                <w:rFonts w:ascii="Times New Roman" w:hAnsi="Times New Roman"/>
                <w:b/>
                <w:sz w:val="16"/>
              </w:rPr>
              <w:t>ao qual a proposta estiver vinculada</w:t>
            </w:r>
            <w:r>
              <w:rPr>
                <w:rFonts w:ascii="Times New Roman" w:hAnsi="Times New Roman"/>
                <w:sz w:val="16"/>
              </w:rPr>
              <w:t>"; o edital não define se a proposta se vincula à CCT 2025/2026 anexada (efeitos desde 01/03/2025) ou à CCT 2026/2027 (data-base 01/03/2026, não anexada nem referida) — indefinição que desloca em até um ano o marco da primeira repactuação e a precificação do interregno (C-136).</w:t>
            </w:r>
          </w:p>
          <w:p>
            <w:pPr>
              <w:spacing w:after="40" w:before="40" w:line="260" w:lineRule="exact"/>
              <w:jc w:val="both"/>
            </w:pPr>
            <w:r>
              <w:rPr>
                <w:rFonts w:ascii="Times New Roman" w:hAnsi="Times New Roman"/>
                <w:sz w:val="16"/>
              </w:rPr>
              <w:t xml:space="preserve">7. </w:t>
            </w:r>
            <w:r>
              <w:rPr>
                <w:rFonts w:ascii="Times New Roman" w:hAnsi="Times New Roman"/>
                <w:b/>
                <w:sz w:val="16"/>
              </w:rPr>
              <w:t>Orçamento possivelmente defasado.</w:t>
            </w:r>
            <w:r>
              <w:rPr>
                <w:rFonts w:ascii="Times New Roman" w:hAnsi="Times New Roman"/>
                <w:sz w:val="16"/>
              </w:rPr>
              <w:t xml:space="preserve"> O custo estimado (R$ 9.193.852,80 — item 9.1 do TR) foi elaborado na vigência de pisos e benefícios da CCT 2025/2026, vencida em 28/02/2026; a CCT 2026/2027, que regerá a execução, não é considerada, com potencial defasagem do valor estimado e das propostas (art. 23 da Lei n.º 14.133/2021) (C-154).</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Conclusão.</w:t>
            </w:r>
            <w:r>
              <w:rPr>
                <w:rFonts w:ascii="Times New Roman" w:hAnsi="Times New Roman"/>
                <w:sz w:val="16"/>
              </w:rPr>
              <w:t xml:space="preserve"> (i) Não localizei fundamento normativo específico que autorize o edital a impor a todas as licitantes instrumento coletivo de sindicato nominado: o enquadramento decorre dos arts. 511 e 611 da CLT e do art. 8.º, incisos I e II, da CF/1988, sendo da licitante — como a própria Administração afirmara na resposta à 6ª impugnação — a definição da CCT aplicável à sua categoria e base territorial; a imposição contraria ainda o art. 135, inciso II, da Lei n.º 14.133/2021, que vincula a repactuação ao instrumento da proposta de cada contratado; (ii) impor "atendimento integral" a instrumento </w:t>
            </w:r>
            <w:r>
              <w:rPr>
                <w:rFonts w:ascii="Times New Roman" w:hAnsi="Times New Roman"/>
                <w:b/>
                <w:sz w:val="16"/>
              </w:rPr>
              <w:t>expirado</w:t>
            </w:r>
            <w:r>
              <w:rPr>
                <w:rFonts w:ascii="Times New Roman" w:hAnsi="Times New Roman"/>
                <w:sz w:val="16"/>
              </w:rPr>
              <w:t xml:space="preserve"> e </w:t>
            </w:r>
            <w:r>
              <w:rPr>
                <w:rFonts w:ascii="Times New Roman" w:hAnsi="Times New Roman"/>
                <w:b/>
                <w:sz w:val="16"/>
              </w:rPr>
              <w:t>territorialmente inaplicável</w:t>
            </w:r>
            <w:r>
              <w:rPr>
                <w:rFonts w:ascii="Times New Roman" w:hAnsi="Times New Roman"/>
                <w:sz w:val="16"/>
              </w:rPr>
              <w:t xml:space="preserve"> (cláusulas 1ª e 2ª da própria CCT anexada) é exigência de cumprimento i</w:t>
            </w:r>
          </w:p>
          <w:p>
            <w:pPr>
              <w:spacing w:after="40" w:before="40" w:line="260" w:lineRule="exact"/>
              <w:jc w:val="both"/>
            </w:pPr>
            <w:r>
              <w:rPr>
                <w:rFonts w:ascii="Times New Roman" w:hAnsi="Times New Roman"/>
                <w:sz w:val="16"/>
              </w:rPr>
              <w:t>[...texto completo no arquivo AN_bloco correspondente]</w:t>
            </w:r>
          </w:p>
        </w:tc>
        <w:tc>
          <w:tcPr>
            <w:tcW w:type="dxa" w:w="2163"/>
            <w:shd w:fill="F2F2F2" w:val="clear"/>
          </w:tcPr>
          <w:p>
            <w:pPr>
              <w:spacing w:after="40" w:before="40" w:line="260" w:lineRule="exact"/>
              <w:jc w:val="both"/>
            </w:pPr>
            <w:r/>
            <w:r>
              <w:rPr>
                <w:rFonts w:ascii="Times New Roman" w:hAnsi="Times New Roman"/>
                <w:sz w:val="16"/>
              </w:rPr>
              <w:t>- arts. 511, caput e §§ 1.º a 4.º, 570, 611 e 612 da CLT (Decreto-Lei n.º 5.452/1943) (redação vigente conferida para os arts. 511 e 614)</w:t>
            </w:r>
          </w:p>
          <w:p>
            <w:pPr>
              <w:spacing w:after="40" w:before="40" w:line="260" w:lineRule="exact"/>
              <w:jc w:val="both"/>
            </w:pPr>
            <w:r>
              <w:rPr>
                <w:rFonts w:ascii="Times New Roman" w:hAnsi="Times New Roman"/>
                <w:sz w:val="16"/>
              </w:rPr>
              <w:t>- art. 614, § 3.º, da CLT (vigência máxima de dois anos; vedação de ultratividade)</w:t>
            </w:r>
          </w:p>
          <w:p>
            <w:pPr>
              <w:spacing w:after="40" w:before="40" w:line="260" w:lineRule="exact"/>
              <w:jc w:val="both"/>
            </w:pPr>
            <w:r>
              <w:rPr>
                <w:rFonts w:ascii="Times New Roman" w:hAnsi="Times New Roman"/>
                <w:sz w:val="16"/>
              </w:rPr>
              <w:t>- art. 8.º, incisos I e II, da CF/1988 (unicidade sindical e base territorial)</w:t>
            </w:r>
          </w:p>
          <w:p>
            <w:pPr>
              <w:spacing w:after="40" w:before="40" w:line="260" w:lineRule="exact"/>
              <w:jc w:val="both"/>
            </w:pPr>
            <w:r>
              <w:rPr>
                <w:rFonts w:ascii="Times New Roman" w:hAnsi="Times New Roman"/>
                <w:sz w:val="16"/>
              </w:rPr>
              <w:t>- art. 63, § 1.º, da Lei n.º 14.133/2021 (custos conforme CCTs vigentes na data de entrega das propostas) (redação vigente conferida)</w:t>
            </w:r>
          </w:p>
          <w:p>
            <w:pPr>
              <w:spacing w:after="40" w:before="40" w:line="260" w:lineRule="exact"/>
              <w:jc w:val="both"/>
            </w:pPr>
            <w:r>
              <w:rPr>
                <w:rFonts w:ascii="Times New Roman" w:hAnsi="Times New Roman"/>
                <w:sz w:val="16"/>
              </w:rPr>
              <w:t>- art. 135, caput e incisos I e II, e §§ 1.º a 6.º, da Lei n.º 14.133/2021 (repactuação vinculada ao instrumento da proposta; limites de vinculação) (redação vigente conferida)</w:t>
            </w:r>
          </w:p>
          <w:p>
            <w:pPr>
              <w:spacing w:after="40" w:before="40" w:line="260" w:lineRule="exact"/>
              <w:jc w:val="both"/>
            </w:pPr>
            <w:r>
              <w:rPr>
                <w:rFonts w:ascii="Times New Roman" w:hAnsi="Times New Roman"/>
                <w:sz w:val="16"/>
              </w:rPr>
              <w:t>- art. 92, incisos V e VI, e § 4.º, inciso II, da Lei n.º 14.133/2021 (cláusulas necessárias de preço, reajustamento e medição) (redação vigente conferida)</w:t>
            </w:r>
          </w:p>
          <w:p>
            <w:pPr>
              <w:spacing w:after="40" w:before="40" w:line="260" w:lineRule="exact"/>
              <w:jc w:val="both"/>
            </w:pPr>
            <w:r>
              <w:rPr>
                <w:rFonts w:ascii="Times New Roman" w:hAnsi="Times New Roman"/>
                <w:sz w:val="16"/>
              </w:rPr>
              <w:t>- art. 5.º e art. 9.º, inciso I, da Lei n.º 14.133/2021 (isonomia, julgamento objetivo, vedação de condições que comprometam o caráter competitivo)</w:t>
            </w:r>
          </w:p>
          <w:p>
            <w:pPr>
              <w:spacing w:after="40" w:before="40" w:line="260" w:lineRule="exact"/>
              <w:jc w:val="both"/>
            </w:pPr>
            <w:r>
              <w:rPr>
                <w:rFonts w:ascii="Times New Roman" w:hAnsi="Times New Roman"/>
                <w:sz w:val="16"/>
              </w:rPr>
              <w:t>- art. 164, caput e parágrafo único, da Lei n.º 14.133/2021 (impugnação/esclarecimento e publicidade das respostas) (redação vigente conferida)</w:t>
            </w:r>
          </w:p>
          <w:p>
            <w:pPr>
              <w:spacing w:after="40" w:before="40" w:line="260" w:lineRule="exact"/>
              <w:jc w:val="both"/>
            </w:pPr>
            <w:r>
              <w:rPr>
                <w:rFonts w:ascii="Times New Roman" w:hAnsi="Times New Roman"/>
                <w:sz w:val="16"/>
              </w:rPr>
              <w:t>- cláusulas 1ª, 2ª, 6ª, 7ª, 12ª, 14ª, 15ª, 16ª, 18ª, 19ª, 20ª, 22ª (§§ 2.º e 4.º), 39ª (§ 4.º), 66ª e 71ª da CCT 2025/2026 (registro MTE SP006321/2025)</w:t>
            </w:r>
          </w:p>
          <w:p>
            <w:pPr>
              <w:spacing w:after="40" w:before="40" w:line="260" w:lineRule="exact"/>
              <w:jc w:val="both"/>
            </w:pPr>
            <w:r>
              <w:rPr>
                <w:rFonts w:ascii="Times New Roman" w:hAnsi="Times New Roman"/>
                <w:sz w:val="16"/>
              </w:rPr>
              <w:t xml:space="preserve">- (TRT1, RO 0100053-32.2024.5.01.0248, Rel. Des. Dalva Macedo, 2ª Turma, j. 05/02/2025) — "normas coletivas têm aplicação restrita à base territorial do sindicato convenente (art. 611 da CLT), impossibilitando a extensão dos direitos previstos nas convenções de base diversa"; enquadramento pela atividade preponderante e pela base territorial (arts. 570 e 581, § 2.º, da CLT; art. 8.º, II, da CF) </w:t>
            </w:r>
            <w:r>
              <w:rPr>
                <w:rFonts w:ascii="Times New Roman" w:hAnsi="Times New Roman"/>
                <w:b/>
                <w:sz w:val="16"/>
              </w:rPr>
              <w:t>[VIT]</w:t>
            </w:r>
            <w:r>
              <w:rPr>
                <w:rFonts w:ascii="Times New Roman" w:hAnsi="Times New Roman"/>
                <w:sz w:val="16"/>
              </w:rPr>
            </w:r>
          </w:p>
          <w:p>
            <w:pPr>
              <w:spacing w:after="40" w:before="40" w:line="260" w:lineRule="exact"/>
              <w:jc w:val="both"/>
            </w:pPr>
            <w:r>
              <w:rPr>
                <w:rFonts w:ascii="Times New Roman" w:hAnsi="Times New Roman"/>
                <w:sz w:val="16"/>
              </w:rPr>
              <w:t xml:space="preserve">- (TRT1, RO 0100219-86.2016.5.01.0008, Rel. Des. José Mateus Alexandre Romano, 2ª Turma, j. 12/03/2025) — enquadramento sindical patronal definido pela atividade econômica preponderante do empregador (arts. 611 e 581, § 2.º, da CLT); aplicação da Súmula 374 do TST para afastar normas coletivas de sindicato que não representa o empregador </w:t>
            </w:r>
            <w:r>
              <w:rPr>
                <w:rFonts w:ascii="Times New Roman" w:hAnsi="Times New Roman"/>
                <w:b/>
                <w:sz w:val="16"/>
              </w:rPr>
              <w:t>[VIT]</w:t>
            </w:r>
            <w:r>
              <w:rPr>
                <w:rFonts w:ascii="Times New Roman" w:hAnsi="Times New Roman"/>
                <w:sz w:val="16"/>
              </w:rPr>
            </w:r>
          </w:p>
          <w:p>
            <w:pPr>
              <w:spacing w:after="40" w:before="40" w:line="260" w:lineRule="exact"/>
              <w:jc w:val="both"/>
            </w:pPr>
            <w:r>
              <w:rPr>
                <w:rFonts w:ascii="Times New Roman" w:hAnsi="Times New Roman"/>
                <w:sz w:val="16"/>
              </w:rPr>
              <w:t xml:space="preserve">- (STF, Rcl 55050, Rel. Min. André Mendonça, decisão monocrática, j. 22/05/2023) — reclamação procedente para cassar decisões que aplicaram ultratividade de convenção coletiva expirada, por afronta à ADPF 323 (inconstitucionalidade da ultratividade; Súmula 277 do TST) </w:t>
            </w:r>
            <w:r>
              <w:rPr>
                <w:rFonts w:ascii="Times New Roman" w:hAnsi="Times New Roman"/>
                <w:b/>
                <w:sz w:val="16"/>
              </w:rPr>
              <w:t>[VIT]</w:t>
            </w:r>
            <w:r>
              <w:rPr>
                <w:rFonts w:ascii="Times New Roman" w:hAnsi="Times New Roman"/>
                <w:sz w:val="16"/>
              </w:rPr>
            </w:r>
          </w:p>
          <w:p>
            <w:pPr>
              <w:spacing w:after="40" w:before="40" w:line="260" w:lineRule="exact"/>
              <w:jc w:val="both"/>
            </w:pPr>
            <w:r>
              <w:rPr>
                <w:rFonts w:ascii="Times New Roman" w:hAnsi="Times New Roman"/>
                <w:sz w:val="16"/>
              </w:rPr>
              <w:t xml:space="preserve">- (TRT2, RO 1000358-48.2024.5.02.0317, Rel. Des. Fernando Cesar Teixeira Franca, 6ª Turma, j. 06/03/2025) — vedação à ultratividade (art. 614, § 3.º, da CLT; ADPF 323 do STF): cláusulas de instrumento extinto não se incorporam nem projetam efeitos após o termo final </w:t>
            </w:r>
            <w:r>
              <w:rPr>
                <w:rFonts w:ascii="Times New Roman" w:hAnsi="Times New Roman"/>
                <w:b/>
                <w:sz w:val="16"/>
              </w:rPr>
              <w:t>[VIT]</w:t>
            </w:r>
            <w:r>
              <w:rPr>
                <w:rFonts w:ascii="Times New Roman" w:hAnsi="Times New Roman"/>
                <w:sz w:val="16"/>
              </w:rPr>
            </w:r>
          </w:p>
          <w:p>
            <w:pPr>
              <w:spacing w:after="40" w:before="40" w:line="260" w:lineRule="exact"/>
              <w:jc w:val="both"/>
            </w:pPr>
            <w:r>
              <w:rPr>
                <w:rFonts w:ascii="Times New Roman" w:hAnsi="Times New Roman"/>
                <w:sz w:val="16"/>
              </w:rPr>
              <w:t xml:space="preserve">- (TJPR, Apelação 0001209-73.2020.8.16.0004, Rel. Juíza Subst. Luciani de Lourdes Tesseroli Maronezi, 4ª Câmara Cível, j. — publ. 31/07/2024) — contrato de coleta com sindicatos SITRO (motoristas) e SIEMACO (coletores): força vinculante do instrumento coletivo (art. 620 da CLT) e necessidade de repactuação/reequilíbrio para recomposição dos aumentos de custo de mão de obra </w:t>
            </w:r>
            <w:r>
              <w:rPr>
                <w:rFonts w:ascii="Times New Roman" w:hAnsi="Times New Roman"/>
                <w:b/>
                <w:sz w:val="16"/>
              </w:rPr>
              <w:t>[VIT]</w:t>
            </w:r>
            <w:r>
              <w:rPr>
                <w:rFonts w:ascii="Times New Roman" w:hAnsi="Times New Roman"/>
                <w:sz w:val="16"/>
              </w:rPr>
              <w:t xml:space="preserve"> — nota: ilustra a convivência de dois instrumentos coletivos (motoristas em categoria própria) no mesmo contrato de coleta</w:t>
            </w:r>
          </w:p>
          <w:p>
            <w:pPr>
              <w:spacing w:after="40" w:before="40" w:line="260" w:lineRule="exact"/>
              <w:jc w:val="both"/>
            </w:pPr>
            <w:r>
              <w:rPr>
                <w:rFonts w:ascii="Times New Roman" w:hAnsi="Times New Roman"/>
                <w:sz w:val="16"/>
              </w:rPr>
              <w:t xml:space="preserve">- Não localizei, na base judicial consultada, precedente específico sobre a nulidade de cláusula editalícia que imponha CCT de sindicato nominado a todas as licitantes; a matéria é recorrente em foro de contas — </w:t>
            </w:r>
            <w:r>
              <w:rPr>
                <w:rFonts w:ascii="Times New Roman" w:hAnsi="Times New Roman"/>
                <w:b/>
                <w:sz w:val="16"/>
              </w:rPr>
              <w:t>[PENDENTE: busca TCU/TCE via Lei na Mão antes do protocolo]</w:t>
            </w:r>
            <w:r>
              <w:rPr>
                <w:rFonts w:ascii="Times New Roman" w:hAnsi="Times New Roman"/>
                <w:sz w:val="16"/>
              </w:rPr>
            </w:r>
          </w:p>
          <w:p>
            <w:pPr>
              <w:spacing w:after="40" w:before="40" w:line="260" w:lineRule="exact"/>
              <w:jc w:val="both"/>
            </w:pPr>
            <w:r>
              <w:rPr>
                <w:rFonts w:ascii="Times New Roman" w:hAnsi="Times New Roman"/>
                <w:sz w:val="16"/>
              </w:rPr>
              <w:t>Doutrina: - Carla Tereza Martins Romar, *Direito do Trabalho Esquematizado*, 2ª ed., Saraiva, 2018, p. 961-963: quanto ao espaço geográfico, a aplicação da convenção coletiva é a base territorial de representação dos sindicatos convenentes; "os direitos do empregado são os resultantes da convenção coletiva vigente na localidade da prestação dos serviços" (com apoio em Amauri Mascaro Nascimento); na mesma obra, p. 918-921: enquadramento pela atividade preponderante do empregador e categoria diferenciada (art. 511, § 3.º, da CLT), com menção expressa aos "condutores de veículos rodoviários (motoristas)" como categoria diferenciada e à Súmula 374 do TST.</w:t>
            </w:r>
          </w:p>
          <w:p>
            <w:pPr>
              <w:spacing w:after="40" w:before="40" w:line="260" w:lineRule="exact"/>
              <w:jc w:val="both"/>
            </w:pPr>
            <w:r>
              <w:rPr>
                <w:rFonts w:ascii="Times New Roman" w:hAnsi="Times New Roman"/>
                <w:sz w:val="16"/>
              </w:rPr>
              <w:t>- Hely Lopes Meirelles, *Direito Administrativo Brasileiro*, 23ª ed., Malheiros, p. 104-105: a equação econômico-financeira é a relação encargo-remuneração estabelecida na celebração do ajuste, que "deve ser mantida durante toda a execução do contrato" — base dogmática para a incompatibilidade entre exigir custo convencional e negar sua recomposição.</w:t>
            </w:r>
          </w:p>
          <w:p>
            <w:pPr>
              <w:spacing w:after="40" w:before="40" w:line="260" w:lineRule="exact"/>
              <w:jc w:val="both"/>
            </w:pPr>
            <w:r>
              <w:rPr>
                <w:rFonts w:ascii="Times New Roman" w:hAnsi="Times New Roman"/>
                <w:sz w:val="16"/>
              </w:rPr>
              <w:t>— Jurisprudência TCU/TCE (Lei na Mão) —</w:t>
            </w:r>
          </w:p>
          <w:p>
            <w:pPr>
              <w:spacing w:after="40" w:before="40" w:line="260" w:lineRule="exact"/>
              <w:jc w:val="both"/>
            </w:pPr>
            <w:r>
              <w:rPr>
                <w:rFonts w:ascii="Times New Roman" w:hAnsi="Times New Roman"/>
                <w:sz w:val="16"/>
              </w:rPr>
              <w:t>• Entendimentos TCU-Plenário, sessões de 15/05/2019 e de 12/08/2020 (Jurisprudência Selecionada 73010 e 97014) [VIT</w:t>
            </w:r>
          </w:p>
          <w:p>
            <w:pPr>
              <w:spacing w:after="40" w:before="40" w:line="260" w:lineRule="exact"/>
              <w:jc w:val="both"/>
            </w:pPr>
            <w:r>
              <w:rPr>
                <w:rFonts w:ascii="Times New Roman" w:hAnsi="Times New Roman"/>
                <w:sz w:val="16"/>
              </w:rPr>
              <w:t>• Entendimento TCU-Plenário, sessão de 30/09/2020 (Jurisprudência Selecionada 99882) [VIT</w:t>
            </w:r>
          </w:p>
          <w:p>
            <w:pPr>
              <w:spacing w:after="40" w:before="40" w:line="260" w:lineRule="exact"/>
              <w:jc w:val="both"/>
            </w:pPr>
            <w:r>
              <w:rPr>
                <w:rFonts w:ascii="Times New Roman" w:hAnsi="Times New Roman"/>
                <w:sz w:val="16"/>
              </w:rPr>
              <w:t>• Entendimento TCU-Primeira Câmara, sessão de 20/07/2021 (Jurisprudência Selecionada 116633) [VIT</w:t>
            </w:r>
          </w:p>
          <w:p>
            <w:pPr>
              <w:spacing w:after="40" w:before="40" w:line="260" w:lineRule="exact"/>
              <w:jc w:val="both"/>
            </w:pPr>
            <w:r>
              <w:rPr>
                <w:rFonts w:ascii="Times New Roman" w:hAnsi="Times New Roman"/>
                <w:sz w:val="16"/>
              </w:rPr>
              <w:t xml:space="preserve">• Acórdão 1646/2025-TCU-Plenário, Rel. Jorge Oliveira, sessão de 23/07/2025 </w:t>
            </w:r>
            <w:r>
              <w:rPr>
                <w:rFonts w:ascii="Times New Roman" w:hAnsi="Times New Roman"/>
                <w:b/>
                <w:color w:val="CC0000"/>
                <w:sz w:val="16"/>
              </w:rPr>
              <w:t>[VIT]</w:t>
            </w:r>
            <w:r>
              <w:rPr>
                <w:rFonts w:ascii="Times New Roman" w:hAnsi="Times New Roman"/>
                <w:sz w:val="16"/>
              </w:rPr>
            </w:r>
          </w:p>
          <w:p>
            <w:pPr>
              <w:spacing w:after="40" w:before="40" w:line="260" w:lineRule="exact"/>
              <w:jc w:val="both"/>
            </w:pPr>
            <w:r>
              <w:rPr>
                <w:rFonts w:ascii="Times New Roman" w:hAnsi="Times New Roman"/>
                <w:sz w:val="16"/>
              </w:rPr>
              <w:t xml:space="preserve">• Entendimentos TCU-Plenário, sessão de 28/11/2018, e TCU-Primeira Câmara, sessão de 05/05/2020 (Jurisprudência Selecionada 65954 e 90345) [VIT — recuperar números dos acórdãos no inteiro teor] — admite-se exigir </w:t>
            </w:r>
            <w:r>
              <w:rPr>
                <w:rFonts w:ascii="Times New Roman" w:hAnsi="Times New Roman"/>
                <w:b/>
                <w:sz w:val="16"/>
              </w:rPr>
              <w:t>piso salarial superior ao da CCT desde que o gestor demonstre compatibilidade com os preços de mercado</w:t>
            </w:r>
            <w:r>
              <w:rPr>
                <w:rFonts w:ascii="Times New Roman" w:hAnsi="Times New Roman"/>
                <w:sz w:val="16"/>
              </w:rPr>
              <w:t xml:space="preserve"> para serviços similares. Porta de defesa da Administração (proteção da exequibilidade); pressupõe, porém, justificativa demonstrada nos autos — inexistente no certame — e não legitima a imposição de instrumento expirado e de base territorial alheia.</w:t>
            </w:r>
          </w:p>
        </w:tc>
        <w:tc>
          <w:tcPr>
            <w:tcW w:type="dxa" w:w="2163"/>
            <w:shd w:fill="F2F2F2" w:val="clear"/>
          </w:tcPr>
          <w:p>
            <w:pPr>
              <w:spacing w:after="40" w:before="40" w:line="260" w:lineRule="exact"/>
              <w:jc w:val="center"/>
            </w:pPr>
            <w:r/>
            <w:r>
              <w:rPr>
                <w:rFonts w:ascii="Times New Roman" w:hAnsi="Times New Roman"/>
                <w:b w:val="0"/>
                <w:sz w:val="18"/>
              </w:rPr>
              <w:t>Não</w:t>
            </w:r>
          </w:p>
        </w:tc>
        <w:tc>
          <w:tcPr>
            <w:tcW w:type="dxa" w:w="2163"/>
            <w:shd w:fill="F2F2F2" w:val="clear"/>
          </w:tcPr>
          <w:p>
            <w:pPr>
              <w:spacing w:after="40" w:before="40" w:line="260" w:lineRule="exact"/>
              <w:jc w:val="center"/>
            </w:pPr>
            <w:r/>
            <w:r>
              <w:rPr>
                <w:rFonts w:ascii="Times New Roman" w:hAnsi="Times New Roman"/>
                <w:b w:val="0"/>
                <w:sz w:val="18"/>
              </w:rPr>
            </w:r>
          </w:p>
        </w:tc>
      </w:tr>
      <w:tr>
        <w:tc>
          <w:tcPr>
            <w:tcW w:type="dxa" w:w="2163"/>
          </w:tcPr>
          <w:p>
            <w:pPr>
              <w:spacing w:after="40" w:before="40" w:line="260" w:lineRule="exact"/>
              <w:jc w:val="center"/>
            </w:pPr>
            <w:r/>
            <w:r>
              <w:rPr>
                <w:rFonts w:ascii="Times New Roman" w:hAnsi="Times New Roman"/>
                <w:b w:val="0"/>
                <w:sz w:val="18"/>
              </w:rPr>
              <w:t>T7</w:t>
            </w:r>
          </w:p>
        </w:tc>
        <w:tc>
          <w:tcPr>
            <w:tcW w:type="dxa" w:w="2163"/>
          </w:tcPr>
          <w:p>
            <w:pPr>
              <w:spacing w:after="40" w:before="40" w:line="260" w:lineRule="exact"/>
            </w:pPr>
            <w:r/>
            <w:r>
              <w:rPr>
                <w:rFonts w:ascii="Times New Roman" w:hAnsi="Times New Roman"/>
                <w:b w:val="0"/>
                <w:sz w:val="18"/>
              </w:rPr>
              <w:t>Licenciamento ambiental</w:t>
            </w:r>
          </w:p>
        </w:tc>
        <w:tc>
          <w:tcPr>
            <w:tcW w:type="dxa" w:w="2163"/>
          </w:tcPr>
          <w:p>
            <w:pPr>
              <w:spacing w:after="40" w:before="40" w:line="260" w:lineRule="exact"/>
              <w:jc w:val="both"/>
            </w:pPr>
            <w:r/>
            <w:r>
              <w:rPr>
                <w:rFonts w:ascii="Times New Roman" w:hAnsi="Times New Roman"/>
                <w:sz w:val="18"/>
              </w:rPr>
              <w:t>Estação de transbordo</w:t>
            </w:r>
          </w:p>
          <w:p>
            <w:pPr>
              <w:spacing w:after="40" w:before="40" w:line="260" w:lineRule="exact"/>
              <w:jc w:val="both"/>
            </w:pPr>
            <w:r>
              <w:rPr>
                <w:rFonts w:ascii="Times New Roman" w:hAnsi="Times New Roman"/>
                <w:sz w:val="18"/>
              </w:rPr>
            </w:r>
            <w:r>
              <w:rPr>
                <w:rFonts w:ascii="Times New Roman" w:hAnsi="Times New Roman"/>
                <w:b/>
                <w:color w:val="CC0000"/>
                <w:sz w:val="18"/>
              </w:rPr>
              <w:t>[VALIDAÇÃO TÉCNICA]</w:t>
            </w:r>
            <w:r>
              <w:rPr>
                <w:rFonts w:ascii="Times New Roman" w:hAnsi="Times New Roman"/>
                <w:sz w:val="18"/>
              </w:rPr>
            </w:r>
          </w:p>
        </w:tc>
        <w:tc>
          <w:tcPr>
            <w:tcW w:type="dxa" w:w="2163"/>
          </w:tcPr>
          <w:p>
            <w:pPr>
              <w:spacing w:after="40" w:before="40" w:line="260" w:lineRule="exact"/>
              <w:jc w:val="both"/>
            </w:pPr>
            <w:r/>
            <w:r>
              <w:rPr>
                <w:rFonts w:ascii="Times New Roman" w:hAnsi="Times New Roman"/>
                <w:sz w:val="16"/>
              </w:rPr>
              <w:t>O edital reaberto estrutura a fase final do contrato (Item 3 — destinação externa) sobre a Estação de Transbordo em construção, mas o conjunto documental que deveria defini-la não define, o licenciamento não a cobre integralmente e as obrigações correlatas não têm disciplina nem remuneração. Sete elos compõem a tese:</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(i) O "Projeto Básico" da Estação não é projeto básico.</w:t>
            </w:r>
            <w:r>
              <w:rPr>
                <w:rFonts w:ascii="Times New Roman" w:hAnsi="Times New Roman"/>
                <w:sz w:val="16"/>
              </w:rPr>
              <w:t xml:space="preserve"> A premissa normativa é o art. 6.º, inciso XXV, da Lei n.º 14.133/2021: projeto básico é o "conjunto de elementos necessários e suficientes, com nível de precisão adequado" para definir e dimensionar o serviço, possibilitar a avaliação do custo e a definição dos métodos de execução, devendo conter, entre outros, soluções técnicas suficientemente detalhadas (alínea "b") e a identificação dos equipamentos com suas especificações (alínea "c"). O fato editalício: o arquivo anexado ("PROJETO ARQUITETÔNICO — FOLHA ÚNICA — OBJETO: ESTAÇÃO DE TRANSBORDO - ATERRO SANITÁRIO", Secretaria de Obras, agosto/2024) contém apenas planta baixa, planta de cobertura e dois cortes, sem memorial descritivo, dimensionamento operacional, fluxo de veículos, balança ou moega. Não obstante, o TR vincula obrigação da contratada a esse documento: "deverá disponibilizar 03 (três) carretas de semirreboque basculante com 3 eixos e capacidade de 30 a 40 toneladas, </w:t>
            </w:r>
            <w:r>
              <w:rPr>
                <w:rFonts w:ascii="Times New Roman" w:hAnsi="Times New Roman"/>
                <w:b/>
                <w:sz w:val="16"/>
              </w:rPr>
              <w:t>adequadas conforme Projeto Básico da Estação de Transbordo em anexo</w:t>
            </w:r>
            <w:r>
              <w:rPr>
                <w:rFonts w:ascii="Times New Roman" w:hAnsi="Times New Roman"/>
                <w:sz w:val="16"/>
              </w:rPr>
              <w:t>" (itens 2.5 e 5.5.19). A conclusão: exige-se adequação a um parâmetro que o documento não fornece — a obrigação é insuscetível de precificação e de aferição objetiva.</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(ii) A concepção do projeto é incompatível com o equipamento exigido.</w:t>
            </w:r>
            <w:r>
              <w:rPr>
                <w:rFonts w:ascii="Times New Roman" w:hAnsi="Times New Roman"/>
                <w:sz w:val="16"/>
              </w:rPr>
              <w:t xml:space="preserve"> A prancha indica descarga por gravidade de plataforma em NÍVEL +3,50 m para "CAÇAMBA ROLL ON" e "COLETOR COMPACTADOR" posicionados no nível 0,00. O TR, porém, exige da contratada carretas semirreboque basculantes de 30–40 t (itens 2.5, 5.1.6.4, "a", 5.4.5 e 5.5.19). Não há, na prancha, moega, funil ou qualquer dispositivo que viabilize o carregamento direto de carretas dessa configuração. Ou o projeto anexado está superado (e então o anexo divulgado não corresponde ao que se constrói), ou a exigência de carretas é incompatível com a instalação (art. 6.º, inciso XXV, alíneas "b" e "c", e art. 40, § 1.º, inciso I, da Lei n.º 14.133/2021 — especificação observados os requisitos de compatibilidade). Registre-se ainda que o item 5.4.5 qualifica a estação como "subsidiada por convenio estadual", informação que não consta de nenhum outro documento do certame — mais um indício de redação desalinhada entre dispositivos.</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(iii) Faculdade ou obrigação: o edital diz as duas coisas.</w:t>
            </w:r>
            <w:r>
              <w:rPr>
                <w:rFonts w:ascii="Times New Roman" w:hAnsi="Times New Roman"/>
                <w:sz w:val="16"/>
              </w:rPr>
              <w:t xml:space="preserve"> Os itens 2.5, 5.1.6.4 ("a CONTRATADA </w:t>
            </w:r>
            <w:r>
              <w:rPr>
                <w:rFonts w:ascii="Times New Roman" w:hAnsi="Times New Roman"/>
                <w:b/>
                <w:sz w:val="16"/>
              </w:rPr>
              <w:t>poderá optar</w:t>
            </w:r>
            <w:r>
              <w:rPr>
                <w:rFonts w:ascii="Times New Roman" w:hAnsi="Times New Roman"/>
                <w:sz w:val="16"/>
              </w:rPr>
              <w:t xml:space="preserve"> por: a) Utilização da Estação de Transbordo Municipal (...) ou b) Transporte Direto") e 5.4.5 ("</w:t>
            </w:r>
            <w:r>
              <w:rPr>
                <w:rFonts w:ascii="Times New Roman" w:hAnsi="Times New Roman"/>
                <w:b/>
                <w:sz w:val="16"/>
              </w:rPr>
              <w:t>Caso a CONTRATADA opte</w:t>
            </w:r>
            <w:r>
              <w:rPr>
                <w:rFonts w:ascii="Times New Roman" w:hAnsi="Times New Roman"/>
                <w:sz w:val="16"/>
              </w:rPr>
              <w:t xml:space="preserve"> pela utilização da estação de transbordo") tratam o uso da Estação como faculdade. O item 5.5.16 (replicado na cláusula 9.5.16 da minuta) impõe: "A CONTRATADA </w:t>
            </w:r>
            <w:r>
              <w:rPr>
                <w:rFonts w:ascii="Times New Roman" w:hAnsi="Times New Roman"/>
                <w:b/>
                <w:sz w:val="16"/>
              </w:rPr>
              <w:t>deverá realizar a operação integral</w:t>
            </w:r>
            <w:r>
              <w:rPr>
                <w:rFonts w:ascii="Times New Roman" w:hAnsi="Times New Roman"/>
                <w:sz w:val="16"/>
              </w:rPr>
              <w:t xml:space="preserve"> do Aterro Sanitário </w:t>
            </w:r>
            <w:r>
              <w:rPr>
                <w:rFonts w:ascii="Times New Roman" w:hAnsi="Times New Roman"/>
                <w:b/>
                <w:sz w:val="16"/>
              </w:rPr>
              <w:t>e da Estação de Transbordo (quando apta)</w:t>
            </w:r>
            <w:r>
              <w:rPr>
                <w:rFonts w:ascii="Times New Roman" w:hAnsi="Times New Roman"/>
                <w:sz w:val="16"/>
              </w:rPr>
              <w:t>, compreendendo o recebimento, triagem primária, transporte e a destinação final ambientalmente adequada". A resposta à 4.ª impugnação (item III.IV) afirmara: "está claro que a Contratada PODERÁ OPTAR por utilizar a Estação de Transbordo ou fazer o transporte direto". A contradição entre dispositivos do mesmo instrumento — e entre o instrumento e a resposta divulgada — impede saber se a licitante precifica a logística de transbordo (frota de carretas, equipe da estação, condicionantes) ou a logística de transporte direto (67–140 km por viagem em compactador), alternativas de custo radicalmente distinto para o mesmo preço unitário do Item 3 (R$ 249,28/t). Violação aos arts. 5.º (segurança jurídica, julgamento objetivo, vinculação ao edital), 6.º, inciso XXIII, alínea "a", e 92, inciso I, da Lei n.º 14.133/2021. Agrava o quadro a não incorporação ao edital reaberto dos parâmetros operacionais revelados na mesma resposta — capacidade de 1.040 t/mês e uma das três carretas como reserva (C-046): quem lê apenas o edital reaberto não dispõe dos parâmetros que a Administração já declarou existirem.</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(iv) "Triagem primária": atividade fora do objeto, fora da planilha e fora da licença.</w:t>
            </w:r>
            <w:r>
              <w:rPr>
                <w:rFonts w:ascii="Times New Roman" w:hAnsi="Times New Roman"/>
                <w:sz w:val="16"/>
              </w:rPr>
              <w:t xml:space="preserve"> O item 5.5.16 inclui "triagem primária" na "operação integral" exigida, mas: (a) a atividade não consta da definição do objeto (item 1.1 do TR e tabela de itens 1 a 4), não possui especificação de escopo em nenhum documento e não tem item remuneratório (art. 6.º, inciso XXIII, alínea "a", e art. 92, incisos I e V, da Lei n.º 14.133/2021); (b) a LI CETESB n.º 400000157 licencia a instalação como "Estações de transferência de lixo" — atividade de transferência, não de triagem. Premissa normativa ambiental: toda atividade potencialmente poluidora depende de prévio licenciamento (art. 10 da Lei n.º 6.938/1981, na redação da LC n.º 140/2011) e o licenciamento se dá por licenças sucessivas para a atividade efetivamente exercida (art. 2.º, caput e § 1.º, e art. 8.º da Resolução CONAMA n.º 237/1997 [verificar redação]). Exercer triagem em unidade licenciada apenas como transferência configura funcionamento em desacordo com a licença, com risco de sanção administrativa e enquadramento no art. 60 da Lei n.º 9.605/1998 — tipo penal recentemente agravado pela Lei n.º 15.190/2025 (detenção de 6 meses a 2 anos, com aumento até o dobro quando exigível EIA). O risco recai sobre o operador contratado.</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(v) Condicionantes da LI não alocadas.</w:t>
            </w:r>
            <w:r>
              <w:rPr>
                <w:rFonts w:ascii="Times New Roman" w:hAnsi="Times New Roman"/>
                <w:sz w:val="16"/>
              </w:rPr>
              <w:t xml:space="preserve"> As Exigências Técnicas 01 a 09 da LI n.º 400000157 impõem, entre outras: segregação e tratamento local de esgoto conforme NBR 17076:2024 (Exigência 02); caixa de areia e Sistema Separador de Água e Óleo na eventual lavagem de caminhões (Exigência 03); área de recepção coberta, com piso impermeabilizado e canaletas direcionando chorume a caixa impermeabilizada (Exigência 08); controle de odores, ruídos e vibrações (Exigências 05 e 07); e apresentação de CTF/APP-IBAMA quando da solicitação da LO (Exigência 09). O TR transfere a "operação integral" (5.5.16) sem reproduzir nem alocar essas condicionantes: não se sabe quem implanta, quem mantém e quem responde pelo cumprimento continuado de cada uma — custo não precificável e responsabilidade indefinida (art. 6.º, inciso XXIII, alíneas "a" e "e", e art. 92, inciso I, da Lei n.º 14.133/2021; C-253). Some-se que as licenças são tituladas pelo Município (CNPJ 45.339.363/0001-94), sem disciplina de comunicação do operador ao órgão ambiental nem de alocação de autos de infração (interseção com C-257/T9).</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(vi) Horários incompatíveis: coleta até 0h, transbordo licenciado até 22h.</w:t>
            </w:r>
            <w:r>
              <w:rPr>
                <w:rFonts w:ascii="Times New Roman" w:hAnsi="Times New Roman"/>
                <w:sz w:val="16"/>
              </w:rPr>
              <w:t xml:space="preserve"> A Observação 07 da LI fixa o horário de funcionamento licenciado da Estação: início 06:00, término 22:00. O TR prevê turno vespertino "das 16h00min às 24h00min", com "coleta diária (...) iniciada às 16h00min" (itens 5.2.1 e 5.3.1.5). Migrada a operação para o transbordo, a descarga das últimas viagens ocorreria após as 22h — fora do horário licenciado —, sem qualquer compatibilização no TR (C-260). Operação fora do horário da licença é operação em desacordo com a licença (art. 60 da Lei n.º 9.605/1998; Observação 06 da LI: constatada irregularidade, "a presente licença poderá ser cancelada a qualquer momento").</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(vii) Cronologia das obras vs. data da LI.</w:t>
            </w:r>
            <w:r>
              <w:rPr>
                <w:rFonts w:ascii="Times New Roman" w:hAnsi="Times New Roman"/>
                <w:sz w:val="16"/>
              </w:rPr>
              <w:t xml:space="preserve"> O edital reaberto afirma: "As obras já foram iniciadas e a previsão de conclusão é ainda em 2026" (itens 2.5 e 5.5.19). A LI, contudo, foi emitida em 22/06/2026 — após a suspensão do certame (15/06/2026) — com finalidade "Novo Estabelecimento - Edifício a Construir", precedida de LP n.º 4003211 de 19/08/2025. A LP não autoriza instalação; apenas a LI o faz (art. 8.º, incisos I e II, da Resolução CONAMA n.º 237/1997 [verificar redação]). Se as obras foram efetivamente iniciadas antes de 22/06/2026, houve implantação de empreendimento sem licença de instalação (art. 10 da Lei n.º 6.938/1981; art. 60 da Lei n.º 9.605/1998) — vício que contamina o ativo público sobre o qu</w:t>
            </w:r>
          </w:p>
          <w:p>
            <w:pPr>
              <w:spacing w:after="40" w:before="40" w:line="260" w:lineRule="exact"/>
              <w:jc w:val="both"/>
            </w:pPr>
            <w:r>
              <w:rPr>
                <w:rFonts w:ascii="Times New Roman" w:hAnsi="Times New Roman"/>
                <w:sz w:val="16"/>
              </w:rPr>
              <w:t>[...texto completo no arquivo AN_bloco correspondente]</w:t>
            </w:r>
          </w:p>
        </w:tc>
        <w:tc>
          <w:tcPr>
            <w:tcW w:type="dxa" w:w="2163"/>
          </w:tcPr>
          <w:p>
            <w:pPr>
              <w:spacing w:after="40" w:before="40" w:line="260" w:lineRule="exact"/>
              <w:jc w:val="both"/>
            </w:pPr>
            <w:r/>
            <w:r>
              <w:rPr>
                <w:rFonts w:ascii="Times New Roman" w:hAnsi="Times New Roman"/>
                <w:sz w:val="16"/>
              </w:rPr>
              <w:t>- art. 6.º, inciso XXV, alíneas "b" e "c", da Lei n.º 14.133/2021 (conceito e conteúdo mínimo do projeto básico)</w:t>
            </w:r>
          </w:p>
          <w:p>
            <w:pPr>
              <w:spacing w:after="40" w:before="40" w:line="260" w:lineRule="exact"/>
              <w:jc w:val="both"/>
            </w:pPr>
            <w:r>
              <w:rPr>
                <w:rFonts w:ascii="Times New Roman" w:hAnsi="Times New Roman"/>
                <w:sz w:val="16"/>
              </w:rPr>
              <w:t>- art. 6.º, inciso XXIII, alíneas "a" e "e", da Lei n.º 14.133/2021 (TR: definição do objeto e modelo de execução)</w:t>
            </w:r>
          </w:p>
          <w:p>
            <w:pPr>
              <w:spacing w:after="40" w:before="40" w:line="260" w:lineRule="exact"/>
              <w:jc w:val="both"/>
            </w:pPr>
            <w:r>
              <w:rPr>
                <w:rFonts w:ascii="Times New Roman" w:hAnsi="Times New Roman"/>
                <w:sz w:val="16"/>
              </w:rPr>
              <w:t>- art. 18, caput e inciso II, da Lei n.º 14.133/2021 (fase preparatória: definição do objeto)</w:t>
            </w:r>
          </w:p>
          <w:p>
            <w:pPr>
              <w:spacing w:after="40" w:before="40" w:line="260" w:lineRule="exact"/>
              <w:jc w:val="both"/>
            </w:pPr>
            <w:r>
              <w:rPr>
                <w:rFonts w:ascii="Times New Roman" w:hAnsi="Times New Roman"/>
                <w:sz w:val="16"/>
              </w:rPr>
              <w:t>- art. 25, caput e § 3.º, da Lei n.º 14.133/2021 (conteúdo do edital; divulgação integral dos anexos em sítio oficial)</w:t>
            </w:r>
          </w:p>
          <w:p>
            <w:pPr>
              <w:spacing w:after="40" w:before="40" w:line="260" w:lineRule="exact"/>
              <w:jc w:val="both"/>
            </w:pPr>
            <w:r>
              <w:rPr>
                <w:rFonts w:ascii="Times New Roman" w:hAnsi="Times New Roman"/>
                <w:sz w:val="16"/>
              </w:rPr>
              <w:t>- art. 40, § 1.º, inciso I, da Lei n.º 14.133/2021 (especificação observados requisitos de compatibilidade)</w:t>
            </w:r>
          </w:p>
          <w:p>
            <w:pPr>
              <w:spacing w:after="40" w:before="40" w:line="260" w:lineRule="exact"/>
              <w:jc w:val="both"/>
            </w:pPr>
            <w:r>
              <w:rPr>
                <w:rFonts w:ascii="Times New Roman" w:hAnsi="Times New Roman"/>
                <w:sz w:val="16"/>
              </w:rPr>
              <w:t>- art. 92, incisos I e V, da Lei n.º 14.133/2021 (cláusulas necessárias: objeto e preço)</w:t>
            </w:r>
          </w:p>
          <w:p>
            <w:pPr>
              <w:spacing w:after="40" w:before="40" w:line="260" w:lineRule="exact"/>
              <w:jc w:val="both"/>
            </w:pPr>
            <w:r>
              <w:rPr>
                <w:rFonts w:ascii="Times New Roman" w:hAnsi="Times New Roman"/>
                <w:sz w:val="16"/>
              </w:rPr>
              <w:t>- art. 5.º da Lei n.º 14.133/2021 (segurança jurídica, vinculação ao edital, julgamento objetivo, planejamento)</w:t>
            </w:r>
          </w:p>
          <w:p>
            <w:pPr>
              <w:spacing w:after="40" w:before="40" w:line="260" w:lineRule="exact"/>
              <w:jc w:val="both"/>
            </w:pPr>
            <w:r>
              <w:rPr>
                <w:rFonts w:ascii="Times New Roman" w:hAnsi="Times New Roman"/>
                <w:sz w:val="16"/>
              </w:rPr>
              <w:t>- art. 164, parágrafo único, da Lei n.º 14.133/2021 (divulgação da resposta à impugnação/esclarecimento)</w:t>
            </w:r>
          </w:p>
          <w:p>
            <w:pPr>
              <w:spacing w:after="40" w:before="40" w:line="260" w:lineRule="exact"/>
              <w:jc w:val="both"/>
            </w:pPr>
            <w:r>
              <w:rPr>
                <w:rFonts w:ascii="Times New Roman" w:hAnsi="Times New Roman"/>
                <w:sz w:val="16"/>
              </w:rPr>
              <w:t>- art. 10 da Lei n.º 6.938/1981, na redação da LC n.º 140/2011 (obrigatoriedade de prévio licenciamento)</w:t>
            </w:r>
          </w:p>
          <w:p>
            <w:pPr>
              <w:spacing w:after="40" w:before="40" w:line="260" w:lineRule="exact"/>
              <w:jc w:val="both"/>
            </w:pPr>
            <w:r>
              <w:rPr>
                <w:rFonts w:ascii="Times New Roman" w:hAnsi="Times New Roman"/>
                <w:sz w:val="16"/>
              </w:rPr>
              <w:t>- art. 2.º, caput e § 1.º, e art. 8.º, incisos I e II, da Resolução CONAMA n.º 237/1997 [verificar redação]</w:t>
            </w:r>
          </w:p>
          <w:p>
            <w:pPr>
              <w:spacing w:after="40" w:before="40" w:line="260" w:lineRule="exact"/>
              <w:jc w:val="both"/>
            </w:pPr>
            <w:r>
              <w:rPr>
                <w:rFonts w:ascii="Times New Roman" w:hAnsi="Times New Roman"/>
                <w:sz w:val="16"/>
              </w:rPr>
              <w:t>- art. 60 da Lei n.º 9.605/1998, com a redação da Lei n.º 15.190/2025 (funcionamento sem licença ou em desacordo com ela)</w:t>
            </w:r>
          </w:p>
          <w:p>
            <w:pPr>
              <w:spacing w:after="40" w:before="40" w:line="260" w:lineRule="exact"/>
              <w:jc w:val="both"/>
            </w:pPr>
            <w:r>
              <w:rPr>
                <w:rFonts w:ascii="Times New Roman" w:hAnsi="Times New Roman"/>
                <w:sz w:val="16"/>
              </w:rPr>
              <w:t>- LI CETESB n.º 400000157, de 22/06/2026: Exigências Técnicas 01–09; Observações 01 (capacidade nominal 75 t/dia), 04, 06 e 07 (horário 06:00–22:00) — documento anexado ao certame</w:t>
            </w:r>
          </w:p>
          <w:p>
            <w:pPr>
              <w:spacing w:after="40" w:before="40" w:line="260" w:lineRule="exact"/>
              <w:jc w:val="both"/>
            </w:pPr>
            <w:r>
              <w:rPr>
                <w:rFonts w:ascii="Times New Roman" w:hAnsi="Times New Roman"/>
                <w:sz w:val="16"/>
              </w:rPr>
              <w:t>- Jurisprudência (busca Jus IA):</w:t>
            </w:r>
          </w:p>
          <w:p>
            <w:pPr>
              <w:spacing w:after="40" w:before="40" w:line="260" w:lineRule="exact"/>
              <w:jc w:val="both"/>
            </w:pPr>
            <w:r>
              <w:rPr>
                <w:rFonts w:ascii="Times New Roman" w:hAnsi="Times New Roman"/>
                <w:sz w:val="16"/>
              </w:rPr>
              <w:t xml:space="preserve">  - (TJPR, Processo n.º 0000709-18.2023.8.16.0128, Rel. Giovana Ehlers Fabro Esmanhotto, 4.ª Turma Recursal, publ. 29/03/2025) `</w:t>
            </w:r>
            <w:r>
              <w:rPr>
                <w:rFonts w:ascii="Times New Roman" w:hAnsi="Times New Roman"/>
                <w:b/>
                <w:color w:val="CC0000"/>
                <w:sz w:val="16"/>
              </w:rPr>
              <w:t>[VIT]</w:t>
            </w:r>
            <w:r>
              <w:rPr>
                <w:rFonts w:ascii="Times New Roman" w:hAnsi="Times New Roman"/>
                <w:sz w:val="16"/>
              </w:rPr>
              <w:t xml:space="preserve">` — condenação pelo art. 60 da Lei n.º 9.605/1998 pelo funcionamento de estabelecimento potencialmente poluidor </w:t>
            </w:r>
            <w:r>
              <w:rPr>
                <w:rFonts w:ascii="Times New Roman" w:hAnsi="Times New Roman"/>
                <w:b/>
                <w:sz w:val="16"/>
              </w:rPr>
              <w:t>sem licença ambiental específica para a atividade desenvolvida, ainda que titular de licença de operação para outra atividade distinta</w:t>
            </w:r>
            <w:r>
              <w:rPr>
                <w:rFonts w:ascii="Times New Roman" w:hAnsi="Times New Roman"/>
                <w:sz w:val="16"/>
              </w:rPr>
              <w:t>; crime de perigo abstrato, dispensada a efetiva poluição.</w:t>
            </w:r>
          </w:p>
          <w:p>
            <w:pPr>
              <w:spacing w:after="40" w:before="40" w:line="260" w:lineRule="exact"/>
              <w:jc w:val="both"/>
            </w:pPr>
            <w:r>
              <w:rPr>
                <w:rFonts w:ascii="Times New Roman" w:hAnsi="Times New Roman"/>
                <w:sz w:val="16"/>
              </w:rPr>
              <w:t xml:space="preserve">  - Sobre a deficiência do projeto básico como vício do certame, </w:t>
            </w:r>
            <w:r>
              <w:rPr>
                <w:rFonts w:ascii="Times New Roman" w:hAnsi="Times New Roman"/>
                <w:b/>
                <w:sz w:val="16"/>
              </w:rPr>
              <w:t>não localizei precedente judicial específico para esta tese</w:t>
            </w:r>
            <w:r>
              <w:rPr>
                <w:rFonts w:ascii="Times New Roman" w:hAnsi="Times New Roman"/>
                <w:sz w:val="16"/>
              </w:rPr>
              <w:t xml:space="preserve"> na base consultada (Jus IA). </w:t>
            </w:r>
            <w:r>
              <w:rPr>
                <w:rFonts w:ascii="Times New Roman" w:hAnsi="Times New Roman"/>
                <w:b/>
                <w:sz w:val="16"/>
              </w:rPr>
              <w:t>[PENDENTE: busca TCU/TCE via Lei na Mão antes do protocolo</w:t>
            </w:r>
            <w:r>
              <w:rPr>
                <w:rFonts w:ascii="Times New Roman" w:hAnsi="Times New Roman"/>
                <w:sz w:val="16"/>
              </w:rPr>
              <w:t xml:space="preserve"> — temas: projeto básico/anexo técnico deficiente; exigência editalícia sem parâmetro objetivo; obrigação sem item remuneratório</w:t>
            </w:r>
            <w:r>
              <w:rPr>
                <w:rFonts w:ascii="Times New Roman" w:hAnsi="Times New Roman"/>
                <w:b/>
                <w:sz w:val="16"/>
              </w:rPr>
              <w:t>]</w:t>
            </w:r>
            <w:r>
              <w:rPr>
                <w:rFonts w:ascii="Times New Roman" w:hAnsi="Times New Roman"/>
                <w:sz w:val="16"/>
              </w:rPr>
            </w:r>
          </w:p>
          <w:p>
            <w:pPr>
              <w:spacing w:after="40" w:before="40" w:line="260" w:lineRule="exact"/>
              <w:jc w:val="both"/>
            </w:pPr>
            <w:r>
              <w:rPr>
                <w:rFonts w:ascii="Times New Roman" w:hAnsi="Times New Roman"/>
                <w:sz w:val="16"/>
              </w:rPr>
              <w:t>Doutrina: - HELY LOPES MEIRELLES. *Direito Administrativo Brasileiro*. 23.ª ed. Malheiros, p. 136-137: "Licitação sem caracterização de seu objeto é nula, porque dificulta a apresentação das propostas e compromete a lisura do julgamento e a execução do contrato subsequente"; a definição do objeto "é condição de legitimidade da licitação".</w:t>
            </w:r>
          </w:p>
          <w:p>
            <w:pPr>
              <w:spacing w:after="40" w:before="40" w:line="260" w:lineRule="exact"/>
              <w:jc w:val="both"/>
            </w:pPr>
            <w:r>
              <w:rPr>
                <w:rFonts w:ascii="Times New Roman" w:hAnsi="Times New Roman"/>
                <w:sz w:val="16"/>
              </w:rPr>
              <w:t>- HELY LOPES MEIRELLES. *Direito Administrativo Brasileiro*. 23.ª ed. Malheiros, p. 293: o principal instrumento de controle da poluição é a licença, exigida para a execução de obra ou o exercício de qualquer atividade efetiva ou potencialmente poluidora (Lei n.º 6.938/1981, art. 10).</w:t>
            </w:r>
          </w:p>
          <w:p>
            <w:pPr>
              <w:spacing w:after="40" w:before="40" w:line="260" w:lineRule="exact"/>
              <w:jc w:val="both"/>
            </w:pPr>
            <w:r>
              <w:rPr>
                <w:rFonts w:ascii="Times New Roman" w:hAnsi="Times New Roman"/>
                <w:sz w:val="16"/>
              </w:rPr>
              <w:t>— Jurisprudência TCU/TCE (Lei na Mão) —</w:t>
            </w:r>
          </w:p>
          <w:p>
            <w:pPr>
              <w:spacing w:after="40" w:before="40" w:line="260" w:lineRule="exact"/>
              <w:jc w:val="both"/>
            </w:pPr>
            <w:r>
              <w:rPr>
                <w:rFonts w:ascii="Times New Roman" w:hAnsi="Times New Roman"/>
                <w:sz w:val="16"/>
              </w:rPr>
              <w:t xml:space="preserve">• Acórdão 2158/2015-TCU-Plenário, Rel. Marcos Bemquerer, sessão de 26/08/2015 </w:t>
            </w:r>
            <w:r>
              <w:rPr>
                <w:rFonts w:ascii="Times New Roman" w:hAnsi="Times New Roman"/>
                <w:b/>
                <w:color w:val="CC0000"/>
                <w:sz w:val="16"/>
              </w:rPr>
              <w:t>[VIT]</w:t>
            </w:r>
            <w:r>
              <w:rPr>
                <w:rFonts w:ascii="Times New Roman" w:hAnsi="Times New Roman"/>
                <w:sz w:val="16"/>
              </w:rPr>
            </w:r>
          </w:p>
          <w:p>
            <w:pPr>
              <w:spacing w:after="40" w:before="40" w:line="260" w:lineRule="exact"/>
              <w:jc w:val="both"/>
            </w:pPr>
            <w:r>
              <w:rPr>
                <w:rFonts w:ascii="Times New Roman" w:hAnsi="Times New Roman"/>
                <w:sz w:val="16"/>
              </w:rPr>
              <w:t xml:space="preserve">• Acórdão 63/2024-TCU-Plenário, Rel. Vital do Rêgo, sessão de 24/01/2024 </w:t>
            </w:r>
            <w:r>
              <w:rPr>
                <w:rFonts w:ascii="Times New Roman" w:hAnsi="Times New Roman"/>
                <w:b/>
                <w:color w:val="CC0000"/>
                <w:sz w:val="16"/>
              </w:rPr>
              <w:t>[VIT]</w:t>
            </w:r>
            <w:r>
              <w:rPr>
                <w:rFonts w:ascii="Times New Roman" w:hAnsi="Times New Roman"/>
                <w:sz w:val="16"/>
              </w:rPr>
            </w:r>
          </w:p>
          <w:p>
            <w:pPr>
              <w:spacing w:after="40" w:before="40" w:line="260" w:lineRule="exact"/>
              <w:jc w:val="both"/>
            </w:pPr>
            <w:r>
              <w:rPr>
                <w:rFonts w:ascii="Times New Roman" w:hAnsi="Times New Roman"/>
                <w:sz w:val="16"/>
              </w:rPr>
              <w:t xml:space="preserve">• Acórdão 872/2016-TCU-Plenário, Rel. Marcos Bemquerer, sessão de 13/04/2016 </w:t>
            </w:r>
            <w:r>
              <w:rPr>
                <w:rFonts w:ascii="Times New Roman" w:hAnsi="Times New Roman"/>
                <w:b/>
                <w:color w:val="CC0000"/>
                <w:sz w:val="16"/>
              </w:rPr>
              <w:t>[VIT]</w:t>
            </w:r>
            <w:r>
              <w:rPr>
                <w:rFonts w:ascii="Times New Roman" w:hAnsi="Times New Roman"/>
                <w:sz w:val="16"/>
              </w:rPr>
            </w:r>
          </w:p>
          <w:p>
            <w:pPr>
              <w:spacing w:after="40" w:before="40" w:line="260" w:lineRule="exact"/>
              <w:jc w:val="both"/>
            </w:pPr>
            <w:r>
              <w:rPr>
                <w:rFonts w:ascii="Times New Roman" w:hAnsi="Times New Roman"/>
                <w:sz w:val="16"/>
              </w:rPr>
              <w:t xml:space="preserve">• Acórdão 2504/2010-TCU-Plenário, Rel. Marcos Bemquerer, sessão de 22/09/2010 </w:t>
            </w:r>
            <w:r>
              <w:rPr>
                <w:rFonts w:ascii="Times New Roman" w:hAnsi="Times New Roman"/>
                <w:b/>
                <w:color w:val="CC0000"/>
                <w:sz w:val="16"/>
              </w:rPr>
              <w:t>[VIT]</w:t>
            </w:r>
            <w:r>
              <w:rPr>
                <w:rFonts w:ascii="Times New Roman" w:hAnsi="Times New Roman"/>
                <w:sz w:val="16"/>
              </w:rPr>
            </w:r>
          </w:p>
          <w:p>
            <w:pPr>
              <w:spacing w:after="40" w:before="40" w:line="260" w:lineRule="exact"/>
              <w:jc w:val="both"/>
            </w:pPr>
            <w:r>
              <w:rPr>
                <w:rFonts w:ascii="Times New Roman" w:hAnsi="Times New Roman"/>
                <w:sz w:val="16"/>
              </w:rPr>
              <w:t xml:space="preserve">• Acórdão 3062/2011-TCU-Plenário, Rel. Valmir Campelo, sessão de 23/11/2011 </w:t>
            </w:r>
            <w:r>
              <w:rPr>
                <w:rFonts w:ascii="Times New Roman" w:hAnsi="Times New Roman"/>
                <w:b/>
                <w:color w:val="CC0000"/>
                <w:sz w:val="16"/>
              </w:rPr>
              <w:t>[VIT]</w:t>
            </w:r>
            <w:r>
              <w:rPr>
                <w:rFonts w:ascii="Times New Roman" w:hAnsi="Times New Roman"/>
                <w:sz w:val="16"/>
              </w:rPr>
            </w:r>
          </w:p>
        </w:tc>
        <w:tc>
          <w:tcPr>
            <w:tcW w:type="dxa" w:w="2163"/>
          </w:tcPr>
          <w:p>
            <w:pPr>
              <w:spacing w:after="40" w:before="40" w:line="260" w:lineRule="exact"/>
              <w:jc w:val="center"/>
            </w:pPr>
            <w:r/>
            <w:r>
              <w:rPr>
                <w:rFonts w:ascii="Times New Roman" w:hAnsi="Times New Roman"/>
                <w:b w:val="0"/>
                <w:sz w:val="18"/>
              </w:rPr>
              <w:t>Sim</w:t>
            </w:r>
          </w:p>
        </w:tc>
        <w:tc>
          <w:tcPr>
            <w:tcW w:type="dxa" w:w="2163"/>
          </w:tcPr>
          <w:p>
            <w:pPr>
              <w:spacing w:after="40" w:before="40" w:line="260" w:lineRule="exact"/>
              <w:jc w:val="center"/>
            </w:pPr>
            <w:r/>
            <w:r>
              <w:rPr>
                <w:rFonts w:ascii="Times New Roman" w:hAnsi="Times New Roman"/>
                <w:b w:val="0"/>
                <w:sz w:val="18"/>
              </w:rPr>
              <w:t>IMPUGNACAO</w:t>
              <w:br/>
              <w:t>(Administração)</w:t>
            </w:r>
          </w:p>
        </w:tc>
      </w:tr>
      <w:tr>
        <w:tc>
          <w:tcPr>
            <w:tcW w:type="dxa" w:w="2163"/>
            <w:shd w:fill="F2F2F2" w:val="clear"/>
          </w:tcPr>
          <w:p>
            <w:pPr>
              <w:spacing w:after="40" w:before="40" w:line="260" w:lineRule="exact"/>
              <w:jc w:val="center"/>
            </w:pPr>
            <w:r/>
            <w:r>
              <w:rPr>
                <w:rFonts w:ascii="Times New Roman" w:hAnsi="Times New Roman"/>
                <w:b w:val="0"/>
                <w:sz w:val="18"/>
              </w:rPr>
              <w:t>T8</w:t>
            </w:r>
          </w:p>
        </w:tc>
        <w:tc>
          <w:tcPr>
            <w:tcW w:type="dxa" w:w="2163"/>
            <w:shd w:fill="F2F2F2" w:val="clear"/>
          </w:tcPr>
          <w:p>
            <w:pPr>
              <w:spacing w:after="40" w:before="40" w:line="260" w:lineRule="exact"/>
            </w:pPr>
            <w:r/>
            <w:r>
              <w:rPr>
                <w:rFonts w:ascii="Times New Roman" w:hAnsi="Times New Roman"/>
                <w:b w:val="0"/>
                <w:sz w:val="18"/>
              </w:rPr>
              <w:t>Objeto e escopo</w:t>
            </w:r>
          </w:p>
        </w:tc>
        <w:tc>
          <w:tcPr>
            <w:tcW w:type="dxa" w:w="2163"/>
            <w:shd w:fill="F2F2F2" w:val="clear"/>
          </w:tcPr>
          <w:p>
            <w:pPr>
              <w:spacing w:after="40" w:before="40" w:line="260" w:lineRule="exact"/>
              <w:jc w:val="both"/>
            </w:pPr>
            <w:r/>
            <w:r>
              <w:rPr>
                <w:rFonts w:ascii="Times New Roman" w:hAnsi="Times New Roman"/>
                <w:sz w:val="18"/>
              </w:rPr>
              <w:t>Dimensionamento operacional inconsistente</w:t>
            </w:r>
          </w:p>
          <w:p>
            <w:pPr>
              <w:spacing w:after="40" w:before="40" w:line="260" w:lineRule="exact"/>
              <w:jc w:val="both"/>
            </w:pPr>
            <w:r>
              <w:rPr>
                <w:rFonts w:ascii="Times New Roman" w:hAnsi="Times New Roman"/>
                <w:sz w:val="18"/>
              </w:rPr>
            </w:r>
            <w:r>
              <w:rPr>
                <w:rFonts w:ascii="Times New Roman" w:hAnsi="Times New Roman"/>
                <w:b/>
                <w:color w:val="CC0000"/>
                <w:sz w:val="18"/>
              </w:rPr>
              <w:t>[VALIDAÇÃO TÉCNICA]</w:t>
            </w:r>
            <w:r>
              <w:rPr>
                <w:rFonts w:ascii="Times New Roman" w:hAnsi="Times New Roman"/>
                <w:sz w:val="18"/>
              </w:rPr>
            </w:r>
          </w:p>
        </w:tc>
        <w:tc>
          <w:tcPr>
            <w:tcW w:type="dxa" w:w="2163"/>
            <w:shd w:fill="F2F2F2" w:val="clear"/>
          </w:tcPr>
          <w:p>
            <w:pPr>
              <w:spacing w:after="40" w:before="40" w:line="260" w:lineRule="exact"/>
              <w:jc w:val="both"/>
            </w:pPr>
            <w:r/>
            <w:r>
              <w:rPr>
                <w:rFonts w:ascii="Times New Roman" w:hAnsi="Times New Roman"/>
                <w:sz w:val="16"/>
              </w:rPr>
              <w:t>A premissa normativa é una: a fase preparatória deve definir o objeto e as condições de execução com precisão suficiente para que as propostas sejam formuladas sobre a mesma base objetiva (arts. 6.º, inciso XXIII, alíneas "a", "e" e "g", 18, caput e § 1.º, incisos IV e VI, 25, caput, e 40, caput, incisos III e V, da Lei n.º 14.133/2021), e o contrato deve estipular obrigações compatíveis entre si (art. 92, incisos I e XIV). O TR reaberto descumpre essa premissa em seis frentes que, somadas, impedem a estimativa objetiva dos custos do Lote 1:</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(i) O KPI de 48h pune o cumprimento do próprio plano de frequências.</w:t>
            </w:r>
            <w:r>
              <w:rPr>
                <w:rFonts w:ascii="Times New Roman" w:hAnsi="Times New Roman"/>
                <w:sz w:val="16"/>
              </w:rPr>
              <w:t xml:space="preserve"> Os itens 3.5 e 5.3.1.13 do TR vedam intervalo superior a 48 horas entre coletas, e o KPI "Intervalo entre Coletas" comina "Glosa do valor da rota não executada + Multa de 1% sobre o valor mensal por dia de atraso". Contudo, o plano de frequências do mesmo TR (5.2.1 e 5.3.1.5) institui coleta alternada — "segunda, quarta e sexta" e "terça, quinta e sábado" — que gera, estruturalmente, intervalos de 72 horas todo fim de semana (sexta→segunda; sábado→terça), e coleta rural semanal (5.3.1.6), com intervalo de 168 horas. A regra sancionadora colide com o regime de execução desenhado pelo próprio edital: ou a contratada descumpre o calendário editalício ou incorre, todo fim de semana, na hipótese de glosa e multa. Trata-se de antinomia interna (art. 25, caput; art. 92, incisos I e XIV; art. 5.º — segurança jurídica e julgamento objetivo).</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(ii) Rota até 0h sem destino de descarga no mesmo dia.</w:t>
            </w:r>
            <w:r>
              <w:rPr>
                <w:rFonts w:ascii="Times New Roman" w:hAnsi="Times New Roman"/>
                <w:sz w:val="16"/>
              </w:rPr>
              <w:t xml:space="preserve"> O turno vespertino vai "das 16h00min às 24h00min" (5.2.1 e 5.3.1.5 — dispositivos que ainda nomeiam "matutino" o turno de 7h–16h e "vespertino" o turno que avança pela noite, com trabalho noturno após 22h e reflexos de adicional noturno não mencionados na modelagem — C-014); o aterro municipal opera das 6h às 22h (5.7.3, alínea "b") e a descarga é restrita a segunda–sábado (5.4.38). O resíduo coletado após ~21h não tem destino no mesmo dia; o coletado sábado à noite aguardaria até segunda 6h. O TR não disciplina pernoite de veículo carregado (o reservatório de chorume é dimensionado "para uma viagem" — 5.4.17), não indica local de estacionamento com contenção nem exclui penalidade. Referências técnicas de operação de aterro: ABNT NBR 13.896/1997 e NBR 8.419 (citadas pelo próprio TR, item 2.6) [verificar aplicabilidade e redação].</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(iii) Equipamentos da operação do aterro fora da frota mínima.</w:t>
            </w:r>
            <w:r>
              <w:rPr>
                <w:rFonts w:ascii="Times New Roman" w:hAnsi="Times New Roman"/>
                <w:sz w:val="16"/>
              </w:rPr>
              <w:t xml:space="preserve"> Os itens 5.5.3 e 5.5.4 exigem compactação por trator de esteiras (3 a 5 passadas por camada); a Exigência Técnica 01 da LO n.º 4011055 impõe recobrimento diário com terra (o que pressupõe equipamento de escavação/transporte de solo); o item 5.7.2 exige umectação em períodos secos. A frota mínima do TR, porém, contempla exclusivamente "04 (quatro) caminhões coletores/compactadores, incluindo o reserva" (5.4.2) e as três carretas do transbordo (5.4.5); o KPI "Frota Mínima" refere "03 caminhões em operação". Trator de esteiras, retroescavadeira, caminhão-pipa e equipamento de cobertura não têm quantitativo, especificação nem item remuneratório próprio (o Item 2 é pago por tonelada). Cada licitante arbitrará sozinho o custo do principal centro de custo do Item 2 (arts. 6.º, XXIII, "a", e 18, § 1.º, IV).</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(iv) Transporte direto sem qualquer dimensionamento.</w:t>
            </w:r>
            <w:r>
              <w:rPr>
                <w:rFonts w:ascii="Times New Roman" w:hAnsi="Times New Roman"/>
                <w:sz w:val="16"/>
              </w:rPr>
              <w:t xml:space="preserve"> A alternativa "b" do item 5.1.6.4 ("Transporte Direto: Destinação para aterro licenciado em outro município, sob inteira responsabilidade da CONTRATADA") não vem acompanhada de nenhuma estimativa: a Tabela de Quilometragem dimensiona apenas o cenário transbordo com carretas (5.226 a 10.920 km/mês para destinos de 67 a 140 km), nada prevendo para compactadores de 15 m³ realizando o percurso — cenário obrigatório se a Estação não estiver "apta" na data da transição (evento fora do controle da contratada, pois a LO da Estação será requerida pela Administração). A própria tabela contém premissas divergentes: o quadro refere "1,5 viagens por dia (40 ton/dia)", mas a nota de rodapé ("1,5 viagens por dia, cada viagem com 30 toneladas") resulta em 45 t/dia — e o item 5.5.20 exige carta de anuência do aterro receptor para exatamente "40 (quarenta) toneladas por dia", média atual sem margem para crescimento vegetativo ao longo de 60 meses (C-003, C-043). Não há, tampouco, definição do ponto de pesagem para medição no cenário externo (interseção com T12).</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(v) Anexos de itinerário divergentes entre si.</w:t>
            </w:r>
            <w:r>
              <w:rPr>
                <w:rFonts w:ascii="Times New Roman" w:hAnsi="Times New Roman"/>
                <w:sz w:val="16"/>
              </w:rPr>
              <w:t xml:space="preserve"> Para a região central, o mapa do zip técnico indica "Diária - 16h às 00h" (sugerindo 7 dias), enquanto o PDF avulso (6673b034) indica "6 coletas semanais (seg a sáb)" — e o TR usa a fórmula ambígua "diária (6 vezes na semana)" (5.2.1), deixando indefinida a coleta dominical (impacto direto em equipes, frota e no represamento de domingo que pressiona o teto diário do aterro — interseção com T9). O mesmo PDF avulso não contempla a rota rural, prevista no outro mapa, na Tabela de Quilometragem ("Rural (sexta) — roxo — 21,7 km/dia — 86,8 km/mês") e no item 5.3.1.6 (C-020, C-021). Anexos contraditórios equivalem a ausência de parâmetro (art. 6.º, XXIII, "a"; art. 25, caput).</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(vi) Quilometragem de deslocamento não estimada e encargos acessórios sem dimensionamento.</w:t>
            </w:r>
            <w:r>
              <w:rPr>
                <w:rFonts w:ascii="Times New Roman" w:hAnsi="Times New Roman"/>
                <w:sz w:val="16"/>
              </w:rPr>
              <w:t xml:space="preserve"> O item 5.2.1.1 declara 4.078 km/mês "</w:t>
            </w:r>
            <w:r>
              <w:rPr>
                <w:rFonts w:ascii="Times New Roman" w:hAnsi="Times New Roman"/>
                <w:b/>
                <w:sz w:val="16"/>
              </w:rPr>
              <w:t>sem considerar o trajeto até o aterro</w:t>
            </w:r>
            <w:r>
              <w:rPr>
                <w:rFonts w:ascii="Times New Roman" w:hAnsi="Times New Roman"/>
                <w:sz w:val="16"/>
              </w:rPr>
              <w:t>" — os deslocamentos setores→aterro→garagem, percorridos múltiplas vezes ao dia, não são estimados em nenhum anexo (C-038). Somam-se obrigações sem frequência, equipe ou frota definidas: "remoção periódica" dos contêineres rurais sem periodicidade (5.3.1.15 — em potencial conflito com a regra das 48h; C-008); coleta rural sob intempéries por "veículos utilitários próprios" não incluídos na frota mínima nem em item remuneratório (5.3.1.6.1; C-031); limpeza diária do entorno de 80 contêineres e higienização 2x/semana sem equipe/veículo dedicados no quadro mínimo, com KPI sancionador próprio (5.4.4.1.2, 5.4.28; C-032); e incerteza sobre a existência e cessão da balança municipal, com custo de solução alternativa "por conta da CONTRATADA" (5.4.6, 5.4.7 e cronograma de mobilização "caso existam bens públicos cedidos"; C-034).</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Conclusão.</w:t>
            </w:r>
            <w:r>
              <w:rPr>
                <w:rFonts w:ascii="Times New Roman" w:hAnsi="Times New Roman"/>
                <w:sz w:val="16"/>
              </w:rPr>
              <w:t xml:space="preserve"> Cada lacuna, isoladamente, obrigaria o licitante a arbitrar premissas; o conjunto — intervalos sancionados inconciliáveis com o calendário, janela de descarga incompatível com a rota, centro de custo do Item 2 sem equipamentos definidos, cenário logístico alternativo sem dimensionamento, itinerários contraditórios e quilometragem relevante não estimada — retira das propostas a base comum de comparação exigida pelos arts. 6.º, XXIII, 18, § 1.º, e 25, caput, da Lei n.º 14.133/2021, transferindo à precificação um risco não mensurável que onera a proposta prudente e favorece o lance temerário.</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Contra-argumentos antecipados —</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xml:space="preserve">- </w:t>
            </w:r>
            <w:r>
              <w:rPr>
                <w:rFonts w:ascii="Times New Roman" w:hAnsi="Times New Roman"/>
                <w:b/>
                <w:sz w:val="16"/>
              </w:rPr>
              <w:t>"O intervalo de 48h é regra geral e o plano alternado é regra especial; não há conflito."</w:t>
            </w:r>
            <w:r>
              <w:rPr>
                <w:rFonts w:ascii="Times New Roman" w:hAnsi="Times New Roman"/>
                <w:sz w:val="16"/>
              </w:rPr>
              <w:t xml:space="preserve"> Defesa provável: a vedação de 48h aplicar-se-ia apenas a atrasos em relação ao calendário. Réplica: o texto não faz a ressalva; o KPI comina glosa + multa por "dia de atraso" sem excepcionar os intervalos estruturais; a ressalva precisa ser formalizada — matéria ideal para esclarecimento vinculante.</w:t>
            </w:r>
          </w:p>
          <w:p>
            <w:pPr>
              <w:spacing w:after="40" w:before="40" w:line="260" w:lineRule="exact"/>
              <w:jc w:val="both"/>
            </w:pPr>
            <w:r>
              <w:rPr>
                <w:rFonts w:ascii="Times New Roman" w:hAnsi="Times New Roman"/>
                <w:sz w:val="16"/>
              </w:rPr>
              <w:t xml:space="preserve">- </w:t>
            </w:r>
            <w:r>
              <w:rPr>
                <w:rFonts w:ascii="Times New Roman" w:hAnsi="Times New Roman"/>
                <w:b/>
                <w:sz w:val="16"/>
              </w:rPr>
              <w:t>"Cabe ao licitante, profissional do setor, dimensionar frota e equipamentos."</w:t>
            </w:r>
            <w:r>
              <w:rPr>
                <w:rFonts w:ascii="Times New Roman" w:hAnsi="Times New Roman"/>
                <w:sz w:val="16"/>
              </w:rPr>
              <w:t xml:space="preserve"> Réplica: a lei impõe à Administração as estimativas com memórias de cálculo (art. 18, § 1.º, IV e VI — elementos obrigatórios do ETP por força do § 2.º); a expertise do particular não supre a ausência de base comum de comparação entre propostas, e a jurisprudência que atribui ao contratado os riscos previsíveis (v.g. TJPR 0001742-77.2020 `</w:t>
            </w:r>
            <w:r>
              <w:rPr>
                <w:rFonts w:ascii="Times New Roman" w:hAnsi="Times New Roman"/>
                <w:b/>
                <w:color w:val="CC0000"/>
                <w:sz w:val="16"/>
              </w:rPr>
              <w:t>[VIT]</w:t>
            </w:r>
            <w:r>
              <w:rPr>
                <w:rFonts w:ascii="Times New Roman" w:hAnsi="Times New Roman"/>
                <w:sz w:val="16"/>
              </w:rPr>
              <w:t>`, citada no T7) pressupõe parâmetros editalícios para prever.</w:t>
            </w:r>
          </w:p>
          <w:p>
            <w:pPr>
              <w:spacing w:after="40" w:before="40" w:line="260" w:lineRule="exact"/>
              <w:jc w:val="both"/>
            </w:pPr>
            <w:r>
              <w:rPr>
                <w:rFonts w:ascii="Times New Roman" w:hAnsi="Times New Roman"/>
                <w:sz w:val="16"/>
              </w:rPr>
              <w:t xml:space="preserve">- </w:t>
            </w:r>
            <w:r>
              <w:rPr>
                <w:rFonts w:ascii="Times New Roman" w:hAnsi="Times New Roman"/>
                <w:b/>
                <w:sz w:val="16"/>
              </w:rPr>
              <w:t>"A quilometragem até o aterro depende da garagem, escolha da contratada."</w:t>
            </w:r>
            <w:r>
              <w:rPr>
                <w:rFonts w:ascii="Times New Roman" w:hAnsi="Times New Roman"/>
                <w:sz w:val="16"/>
              </w:rPr>
              <w:t xml:space="preserve"> Réplica: o TR obriga sede/garagem no Município (interseção T16) e conhece a localização do aterro e dos setores; a estimativa referencial é possível e devida (art. 18, § 1.º, IV); a omissão é reconhecida pelo próprio 5.2.1.1 ("sem considerar o trajeto até o aterro").</w:t>
            </w:r>
          </w:p>
          <w:p>
            <w:pPr>
              <w:spacing w:after="40" w:before="40" w:line="260" w:lineRule="exact"/>
              <w:jc w:val="both"/>
            </w:pPr>
            <w:r>
              <w:rPr>
                <w:rFonts w:ascii="Times New Roman" w:hAnsi="Times New Roman"/>
                <w:sz w:val="16"/>
              </w:rPr>
              <w:t>- **"Div</w:t>
            </w:r>
          </w:p>
          <w:p>
            <w:pPr>
              <w:spacing w:after="40" w:before="40" w:line="260" w:lineRule="exact"/>
              <w:jc w:val="both"/>
            </w:pPr>
            <w:r>
              <w:rPr>
                <w:rFonts w:ascii="Times New Roman" w:hAnsi="Times New Roman"/>
                <w:sz w:val="16"/>
              </w:rPr>
              <w:t>[...texto completo no arquivo AN_bloco correspondente]</w:t>
            </w:r>
          </w:p>
        </w:tc>
        <w:tc>
          <w:tcPr>
            <w:tcW w:type="dxa" w:w="2163"/>
            <w:shd w:fill="F2F2F2" w:val="clear"/>
          </w:tcPr>
          <w:p>
            <w:pPr>
              <w:spacing w:after="40" w:before="40" w:line="260" w:lineRule="exact"/>
              <w:jc w:val="both"/>
            </w:pPr>
            <w:r/>
            <w:r>
              <w:rPr>
                <w:rFonts w:ascii="Times New Roman" w:hAnsi="Times New Roman"/>
                <w:sz w:val="16"/>
              </w:rPr>
              <w:t>- art. 6.º, inciso XXIII, alíneas "a", "e" e "g", da Lei n.º 14.133/2021 (definição do objeto, modelo de execução, critérios de medição)</w:t>
            </w:r>
          </w:p>
          <w:p>
            <w:pPr>
              <w:spacing w:after="40" w:before="40" w:line="260" w:lineRule="exact"/>
              <w:jc w:val="both"/>
            </w:pPr>
            <w:r>
              <w:rPr>
                <w:rFonts w:ascii="Times New Roman" w:hAnsi="Times New Roman"/>
                <w:sz w:val="16"/>
              </w:rPr>
              <w:t>- art. 18, caput e § 1.º, incisos IV e VI, da Lei n.º 14.133/2021 (estimativas de quantidades e de valor com memórias de cálculo — elementos obrigatórios por força do § 2.º)</w:t>
            </w:r>
          </w:p>
          <w:p>
            <w:pPr>
              <w:spacing w:after="40" w:before="40" w:line="260" w:lineRule="exact"/>
              <w:jc w:val="both"/>
            </w:pPr>
            <w:r>
              <w:rPr>
                <w:rFonts w:ascii="Times New Roman" w:hAnsi="Times New Roman"/>
                <w:sz w:val="16"/>
              </w:rPr>
              <w:t>- art. 25, caput, da Lei n.º 14.133/2021 (edital deve conter as regras da execução e do pagamento)</w:t>
            </w:r>
          </w:p>
          <w:p>
            <w:pPr>
              <w:spacing w:after="40" w:before="40" w:line="260" w:lineRule="exact"/>
              <w:jc w:val="both"/>
            </w:pPr>
            <w:r>
              <w:rPr>
                <w:rFonts w:ascii="Times New Roman" w:hAnsi="Times New Roman"/>
                <w:sz w:val="16"/>
              </w:rPr>
              <w:t>- art. 40, caput, incisos III e V, alínea "a", e § 1.º, inciso I, da Lei n.º 14.133/2021 (quantidades por técnicas quantitativas adequadas; padronização/compatibilidade)</w:t>
            </w:r>
          </w:p>
          <w:p>
            <w:pPr>
              <w:spacing w:after="40" w:before="40" w:line="260" w:lineRule="exact"/>
              <w:jc w:val="both"/>
            </w:pPr>
            <w:r>
              <w:rPr>
                <w:rFonts w:ascii="Times New Roman" w:hAnsi="Times New Roman"/>
                <w:sz w:val="16"/>
              </w:rPr>
              <w:t>- art. 92, incisos I, IV, VI e XIV, da Lei n.º 14.133/2021 (objeto, regime de execução, medição, penalidades e bases de cálculo)</w:t>
            </w:r>
          </w:p>
          <w:p>
            <w:pPr>
              <w:spacing w:after="40" w:before="40" w:line="260" w:lineRule="exact"/>
              <w:jc w:val="both"/>
            </w:pPr>
            <w:r>
              <w:rPr>
                <w:rFonts w:ascii="Times New Roman" w:hAnsi="Times New Roman"/>
                <w:sz w:val="16"/>
              </w:rPr>
              <w:t>- art. 5.º da Lei n.º 14.133/2021 (planejamento, segurança jurídica, julgamento objetivo)</w:t>
            </w:r>
          </w:p>
          <w:p>
            <w:pPr>
              <w:spacing w:after="40" w:before="40" w:line="260" w:lineRule="exact"/>
              <w:jc w:val="both"/>
            </w:pPr>
            <w:r>
              <w:rPr>
                <w:rFonts w:ascii="Times New Roman" w:hAnsi="Times New Roman"/>
                <w:sz w:val="16"/>
              </w:rPr>
              <w:t>- art. 73 da CLT (adicional noturno — reflexo de custo do turno até 24h) [conferir repercussões com trabalhista antes do protocolo]</w:t>
            </w:r>
          </w:p>
          <w:p>
            <w:pPr>
              <w:spacing w:after="40" w:before="40" w:line="260" w:lineRule="exact"/>
              <w:jc w:val="both"/>
            </w:pPr>
            <w:r>
              <w:rPr>
                <w:rFonts w:ascii="Times New Roman" w:hAnsi="Times New Roman"/>
                <w:sz w:val="16"/>
              </w:rPr>
              <w:t>- ABNT NBR 13.896/1997 e NBR 8.419 (referidas pelo item 2.6 do TR) [verificar redação]</w:t>
            </w:r>
          </w:p>
          <w:p>
            <w:pPr>
              <w:spacing w:after="40" w:before="40" w:line="260" w:lineRule="exact"/>
              <w:jc w:val="both"/>
            </w:pPr>
            <w:r>
              <w:rPr>
                <w:rFonts w:ascii="Times New Roman" w:hAnsi="Times New Roman"/>
                <w:sz w:val="16"/>
              </w:rPr>
              <w:t>- Exigência Técnica 01 e Observação 01 da LO CETESB n.º 4011055 (recobrimento diário; teto de 60 t/dia) — documento anexado ao certame</w:t>
            </w:r>
          </w:p>
          <w:p>
            <w:pPr>
              <w:spacing w:after="40" w:before="40" w:line="260" w:lineRule="exact"/>
              <w:jc w:val="both"/>
            </w:pPr>
            <w:r>
              <w:rPr>
                <w:rFonts w:ascii="Times New Roman" w:hAnsi="Times New Roman"/>
                <w:sz w:val="16"/>
              </w:rPr>
              <w:t>- Jurisprudência (busca Jus IA):</w:t>
            </w:r>
          </w:p>
          <w:p>
            <w:pPr>
              <w:spacing w:after="40" w:before="40" w:line="260" w:lineRule="exact"/>
              <w:jc w:val="both"/>
            </w:pPr>
            <w:r>
              <w:rPr>
                <w:rFonts w:ascii="Times New Roman" w:hAnsi="Times New Roman"/>
                <w:sz w:val="16"/>
              </w:rPr>
              <w:t xml:space="preserve">  - </w:t>
            </w:r>
            <w:r>
              <w:rPr>
                <w:rFonts w:ascii="Times New Roman" w:hAnsi="Times New Roman"/>
                <w:b/>
                <w:sz w:val="16"/>
              </w:rPr>
              <w:t>Não localizei precedente judicial específico para esta tese</w:t>
            </w:r>
            <w:r>
              <w:rPr>
                <w:rFonts w:ascii="Times New Roman" w:hAnsi="Times New Roman"/>
                <w:sz w:val="16"/>
              </w:rPr>
              <w:t xml:space="preserve"> (omissão de dimensionamento editalício impossibilitando a formulação de propostas) na base consultada. </w:t>
            </w:r>
            <w:r>
              <w:rPr>
                <w:rFonts w:ascii="Times New Roman" w:hAnsi="Times New Roman"/>
                <w:b/>
                <w:sz w:val="16"/>
              </w:rPr>
              <w:t>[PENDENTE: busca TCU/TCE via Lei na Mão antes do protocolo</w:t>
            </w:r>
            <w:r>
              <w:rPr>
                <w:rFonts w:ascii="Times New Roman" w:hAnsi="Times New Roman"/>
                <w:sz w:val="16"/>
              </w:rPr>
              <w:t xml:space="preserve"> — temas: orçamento/quantitativo sem memória de cálculo; obrigações sem item remuneratório; exigências contraditórias entre anexos; KPI/multa sem base de cálculo</w:t>
            </w:r>
            <w:r>
              <w:rPr>
                <w:rFonts w:ascii="Times New Roman" w:hAnsi="Times New Roman"/>
                <w:b/>
                <w:sz w:val="16"/>
              </w:rPr>
              <w:t>]</w:t>
            </w:r>
            <w:r>
              <w:rPr>
                <w:rFonts w:ascii="Times New Roman" w:hAnsi="Times New Roman"/>
                <w:sz w:val="16"/>
              </w:rPr>
            </w:r>
          </w:p>
          <w:p>
            <w:pPr>
              <w:spacing w:after="40" w:before="40" w:line="260" w:lineRule="exact"/>
              <w:jc w:val="both"/>
            </w:pPr>
            <w:r>
              <w:rPr>
                <w:rFonts w:ascii="Times New Roman" w:hAnsi="Times New Roman"/>
                <w:sz w:val="16"/>
              </w:rPr>
              <w:t xml:space="preserve">  - Como reforço indireto (fato da Administração e dever de recompor o equilíbrio): (TJGO, Processo n.º 5511700-37.2019.8.09.0162, Rel. Des. Sandra Regina Teodoro Reis, 6.ª Câmara Cível, publ. 06/12/2024) `</w:t>
            </w:r>
            <w:r>
              <w:rPr>
                <w:rFonts w:ascii="Times New Roman" w:hAnsi="Times New Roman"/>
                <w:b/>
                <w:color w:val="CC0000"/>
                <w:sz w:val="16"/>
              </w:rPr>
              <w:t>[VIT]</w:t>
            </w:r>
            <w:r>
              <w:rPr>
                <w:rFonts w:ascii="Times New Roman" w:hAnsi="Times New Roman"/>
                <w:sz w:val="16"/>
              </w:rPr>
              <w:t>` — desequilíbrio decorrente de atos ou omissões da Administração impõe o dever de indenizar o contratado; útil para demonstrar que a indefinição atual apenas transfere o litígio para a fase de execução.</w:t>
            </w:r>
          </w:p>
          <w:p>
            <w:pPr>
              <w:spacing w:after="40" w:before="40" w:line="260" w:lineRule="exact"/>
              <w:jc w:val="both"/>
            </w:pPr>
            <w:r>
              <w:rPr>
                <w:rFonts w:ascii="Times New Roman" w:hAnsi="Times New Roman"/>
                <w:sz w:val="16"/>
              </w:rPr>
              <w:t>Doutrina: - HELY LOPES MEIRELLES. *Direito Administrativo Brasileiro*. 23.ª ed. Malheiros, p. 136-137: nulidade da licitação sem caracterização do objeto, por dificultar a apresentação das propostas e comprometer a lisura do julgamento; p. 144: prazos e condições de execução "devem ser estabelecidos com clareza e precisão técnica e jurídica, para orientação dos interessados na formulação de suas propostas".</w:t>
            </w:r>
          </w:p>
          <w:p>
            <w:pPr>
              <w:spacing w:after="40" w:before="40" w:line="260" w:lineRule="exact"/>
              <w:jc w:val="both"/>
            </w:pPr>
            <w:r>
              <w:rPr>
                <w:rFonts w:ascii="Times New Roman" w:hAnsi="Times New Roman"/>
                <w:sz w:val="16"/>
              </w:rPr>
              <w:t>— Jurisprudência TCU/TCE (Lei na Mão) —</w:t>
            </w:r>
          </w:p>
          <w:p>
            <w:pPr>
              <w:spacing w:after="40" w:before="40" w:line="260" w:lineRule="exact"/>
              <w:jc w:val="both"/>
            </w:pPr>
            <w:r>
              <w:rPr>
                <w:rFonts w:ascii="Times New Roman" w:hAnsi="Times New Roman"/>
                <w:sz w:val="16"/>
              </w:rPr>
              <w:t xml:space="preserve">• Acórdão 2600/2015-TCU-Plenário, Rel. Vital do Rêgo, sessão de 21/10/2015 </w:t>
            </w:r>
            <w:r>
              <w:rPr>
                <w:rFonts w:ascii="Times New Roman" w:hAnsi="Times New Roman"/>
                <w:b/>
                <w:color w:val="CC0000"/>
                <w:sz w:val="16"/>
              </w:rPr>
              <w:t>[VIT]</w:t>
            </w:r>
            <w:r>
              <w:rPr>
                <w:rFonts w:ascii="Times New Roman" w:hAnsi="Times New Roman"/>
                <w:sz w:val="16"/>
              </w:rPr>
            </w:r>
          </w:p>
          <w:p>
            <w:pPr>
              <w:spacing w:after="40" w:before="40" w:line="260" w:lineRule="exact"/>
              <w:jc w:val="both"/>
            </w:pPr>
            <w:r>
              <w:rPr>
                <w:rFonts w:ascii="Times New Roman" w:hAnsi="Times New Roman"/>
                <w:sz w:val="16"/>
              </w:rPr>
              <w:t xml:space="preserve">• Acórdão 2504/2010-TCU-Plenário, Rel. Marcos Bemquerer, sessão de 22/09/2010 </w:t>
            </w:r>
            <w:r>
              <w:rPr>
                <w:rFonts w:ascii="Times New Roman" w:hAnsi="Times New Roman"/>
                <w:b/>
                <w:color w:val="CC0000"/>
                <w:sz w:val="16"/>
              </w:rPr>
              <w:t>[VIT]</w:t>
            </w:r>
            <w:r>
              <w:rPr>
                <w:rFonts w:ascii="Times New Roman" w:hAnsi="Times New Roman"/>
                <w:sz w:val="16"/>
              </w:rPr>
            </w:r>
          </w:p>
          <w:p>
            <w:pPr>
              <w:spacing w:after="40" w:before="40" w:line="260" w:lineRule="exact"/>
              <w:jc w:val="both"/>
            </w:pPr>
            <w:r>
              <w:rPr>
                <w:rFonts w:ascii="Times New Roman" w:hAnsi="Times New Roman"/>
                <w:sz w:val="16"/>
              </w:rPr>
              <w:t>• Acórdão TCE-SP, sessão de 08/08/2014, TC-3706/989/14 [VIT</w:t>
            </w:r>
          </w:p>
        </w:tc>
        <w:tc>
          <w:tcPr>
            <w:tcW w:type="dxa" w:w="2163"/>
            <w:shd w:fill="F2F2F2" w:val="clear"/>
          </w:tcPr>
          <w:p>
            <w:pPr>
              <w:spacing w:after="40" w:before="40" w:line="260" w:lineRule="exact"/>
              <w:jc w:val="center"/>
            </w:pPr>
            <w:r/>
            <w:r>
              <w:rPr>
                <w:rFonts w:ascii="Times New Roman" w:hAnsi="Times New Roman"/>
                <w:b w:val="0"/>
                <w:sz w:val="18"/>
              </w:rPr>
              <w:t>Sim</w:t>
            </w:r>
          </w:p>
        </w:tc>
        <w:tc>
          <w:tcPr>
            <w:tcW w:type="dxa" w:w="2163"/>
            <w:shd w:fill="F2F2F2" w:val="clear"/>
          </w:tcPr>
          <w:p>
            <w:pPr>
              <w:spacing w:after="40" w:before="40" w:line="260" w:lineRule="exact"/>
              <w:jc w:val="center"/>
            </w:pPr>
            <w:r/>
            <w:r>
              <w:rPr>
                <w:rFonts w:ascii="Times New Roman" w:hAnsi="Times New Roman"/>
                <w:b w:val="0"/>
                <w:sz w:val="18"/>
              </w:rPr>
              <w:t>ESCLARECIMENTO dirigido como canal principal</w:t>
              <w:br/>
              <w:t>(ADMINISTRACAO **[PENDENTE: busca TCU/TCE via Lei na Mão antes do protocolo)</w:t>
            </w:r>
          </w:p>
        </w:tc>
      </w:tr>
      <w:tr>
        <w:tc>
          <w:tcPr>
            <w:tcW w:type="dxa" w:w="2163"/>
          </w:tcPr>
          <w:p>
            <w:pPr>
              <w:spacing w:after="40" w:before="40" w:line="260" w:lineRule="exact"/>
              <w:jc w:val="center"/>
            </w:pPr>
            <w:r/>
            <w:r>
              <w:rPr>
                <w:rFonts w:ascii="Times New Roman" w:hAnsi="Times New Roman"/>
                <w:b w:val="0"/>
                <w:sz w:val="18"/>
              </w:rPr>
              <w:t>T9</w:t>
            </w:r>
          </w:p>
        </w:tc>
        <w:tc>
          <w:tcPr>
            <w:tcW w:type="dxa" w:w="2163"/>
          </w:tcPr>
          <w:p>
            <w:pPr>
              <w:spacing w:after="40" w:before="40" w:line="260" w:lineRule="exact"/>
            </w:pPr>
            <w:r/>
            <w:r>
              <w:rPr>
                <w:rFonts w:ascii="Times New Roman" w:hAnsi="Times New Roman"/>
                <w:b w:val="0"/>
                <w:sz w:val="18"/>
              </w:rPr>
              <w:t>Objeto e escopo</w:t>
            </w:r>
          </w:p>
        </w:tc>
        <w:tc>
          <w:tcPr>
            <w:tcW w:type="dxa" w:w="2163"/>
          </w:tcPr>
          <w:p>
            <w:pPr>
              <w:spacing w:after="40" w:before="40" w:line="260" w:lineRule="exact"/>
              <w:jc w:val="both"/>
            </w:pPr>
            <w:r/>
            <w:r>
              <w:rPr>
                <w:rFonts w:ascii="Times New Roman" w:hAnsi="Times New Roman"/>
                <w:sz w:val="18"/>
              </w:rPr>
              <w:t>Aterro municipal</w:t>
            </w:r>
          </w:p>
          <w:p>
            <w:pPr>
              <w:spacing w:after="40" w:before="40" w:line="260" w:lineRule="exact"/>
              <w:jc w:val="both"/>
            </w:pPr>
            <w:r>
              <w:rPr>
                <w:rFonts w:ascii="Times New Roman" w:hAnsi="Times New Roman"/>
                <w:sz w:val="18"/>
              </w:rPr>
            </w:r>
            <w:r>
              <w:rPr>
                <w:rFonts w:ascii="Times New Roman" w:hAnsi="Times New Roman"/>
                <w:b/>
                <w:color w:val="CC0000"/>
                <w:sz w:val="18"/>
              </w:rPr>
              <w:t>[VALIDAÇÃO TÉCNICA]</w:t>
            </w:r>
            <w:r>
              <w:rPr>
                <w:rFonts w:ascii="Times New Roman" w:hAnsi="Times New Roman"/>
                <w:sz w:val="18"/>
              </w:rPr>
            </w:r>
          </w:p>
        </w:tc>
        <w:tc>
          <w:tcPr>
            <w:tcW w:type="dxa" w:w="2163"/>
          </w:tcPr>
          <w:p>
            <w:pPr>
              <w:spacing w:after="40" w:before="40" w:line="260" w:lineRule="exact"/>
              <w:jc w:val="both"/>
            </w:pPr>
            <w:r/>
            <w:r>
              <w:rPr>
                <w:rFonts w:ascii="Times New Roman" w:hAnsi="Times New Roman"/>
                <w:sz w:val="16"/>
              </w:rPr>
            </w:r>
            <w:r>
              <w:rPr>
                <w:rFonts w:ascii="Times New Roman" w:hAnsi="Times New Roman"/>
                <w:b/>
                <w:sz w:val="16"/>
              </w:rPr>
              <w:t>(i) Dados essenciais retidos — segunda promessa descumprida.</w:t>
            </w:r>
            <w:r>
              <w:rPr>
                <w:rFonts w:ascii="Times New Roman" w:hAnsi="Times New Roman"/>
                <w:sz w:val="16"/>
              </w:rPr>
              <w:t xml:space="preserve"> Premissa normativa: todos os elementos do edital, "incluídos minuta de contrato, termos de referência, anteprojeto, projetos e outros anexos", devem ser divulgados em sítio eletrônico oficial na mesma data do edital, sem registro para acesso (art. 25, § 3.º, da Lei n.º 14.133/2021); as estimativas de quantidades e de valor devem vir "acompanhadas das memórias de cálculo e dos documentos que lhes dão suporte" (art. 18, § 1.º, incisos IV e VI — elementos obrigatórios do ETP, § 2.º); e a licitação se rege pela publicidade, transparência e isonomia (art. 5.º da Lei n.º 14.133/2021; art. 37, caput, e art. 5.º, inciso XXXIII, da CF/1988; Lei n.º 12.527/2011 — transparência ativa e passiva, arts. 7.º e 8.º [verificar redação]). O fato: para licitar a "operação integral do Aterro Sanitário" (5.5.16) e a precificação da transição Item 2→Item 3, os licitantes precisam de levantamento topográfico, capacidade volumétrica remanescente da Vala 05, relatórios de monitoramento, condicionantes ativas e histórico de pesagens. Nada disso foi anexado. Na resposta à 6.ª impugnação a Administração prometeu: "serão disponibilizados os documentos técnicos objetivos de que dispõe a Administração, notadamente a Licença de Operação CETESB e condicionantes, o histórico de pesagens, os dados de geração de chorume". O edital reaberto entregou apenas dois dados pontuais inseridos no corpo do TR: vida útil da Vala 05 "estimada para o primeiro semestre de 2027" (2.4/5.5.17) e geração de "cerca de 190 litros de chorume por tonelada" (5.6.1) — sem memória de cálculo, sem série histórica, sem topografia (C-039, C-044). O rol de arquivos do TR (item 15.1) segue vazio. A retenção de dados que só a Administração detém, após promessa pública de divulgação, fere a isonomia informacional: licitantes estimam às cegas a data da transição — variável que define qual logística precificar (interseção com T1/T2).</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(ii) ETP sem item de custo nem análise da operação que declara licitar.</w:t>
            </w:r>
            <w:r>
              <w:rPr>
                <w:rFonts w:ascii="Times New Roman" w:hAnsi="Times New Roman"/>
                <w:sz w:val="16"/>
              </w:rPr>
              <w:t xml:space="preserve"> O objeto do ETP inclui "a operação do aterro sanitário municipal", mas o estudo não contém item de serviço, estimativa de custo, análise de capacidade remanescente, vida útil, investimentos, encerramento ou licenciamento da operação do aterro — as tabelas de quantidades e valores tratam somente de "destinação final" por tonelada (C-114). A seção de impactos ambientais é genérica, sem tratar da situação concreta da unidade (C-256). Violação direta do art. 18, § 1.º, incisos IV, VI, VII e XII, c/c § 2.º, da Lei n.º 14.133/2021 (IV e VI são inafastáveis; a omissão dos demais exige justificativa, inexistente) e do princípio do planejamento (art. 5.º).</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(iii) LO com horário imprestável e teto diário de 60 t/dia sem regra de escalonamento.</w:t>
            </w:r>
            <w:r>
              <w:rPr>
                <w:rFonts w:ascii="Times New Roman" w:hAnsi="Times New Roman"/>
                <w:sz w:val="16"/>
              </w:rPr>
              <w:t xml:space="preserve"> A LO CETESB n.º 4011055 registra horário de funcionamento "00:01 às 00:01" — dado inconsistente que deixa indefinido o horário licenciado de recebimento (C-262), enquanto o TR pressupõe descarga noturna (rota até 24h) e o item 5.7.3.b indica operação 6h–22h. A Observação 01 da LO é expressa: "A presente licença é válida </w:t>
            </w:r>
            <w:r>
              <w:rPr>
                <w:rFonts w:ascii="Times New Roman" w:hAnsi="Times New Roman"/>
                <w:b/>
                <w:sz w:val="16"/>
              </w:rPr>
              <w:t>exclusivamente</w:t>
            </w:r>
            <w:r>
              <w:rPr>
                <w:rFonts w:ascii="Times New Roman" w:hAnsi="Times New Roman"/>
                <w:sz w:val="16"/>
              </w:rPr>
              <w:t xml:space="preserve"> para a disposição de </w:t>
            </w:r>
            <w:r>
              <w:rPr>
                <w:rFonts w:ascii="Times New Roman" w:hAnsi="Times New Roman"/>
                <w:b/>
                <w:sz w:val="16"/>
              </w:rPr>
              <w:t>60ton/d</w:t>
            </w:r>
            <w:r>
              <w:rPr>
                <w:rFonts w:ascii="Times New Roman" w:hAnsi="Times New Roman"/>
                <w:sz w:val="16"/>
              </w:rPr>
              <w:t xml:space="preserve"> de Resíduos Sólidos Domiciliares (RSU)". A média estimada é de 40 t/dia (12.480 t/ano), mas a concentração de segunda-feira (setores alternados + região central + resíduo represado do domingo, em que não há coleta) pode exceder o teto — e o TR não contém regra de escalonamento da descarga nem atribui a quem quer que seja o dever de gerenciá-lo (C-258). Operar acima do licenciado é operar em desacordo com a licença (art. 60 da Lei n.º 9.605/1998; Observação 05 da LO: a inconsistência no atendimento das exigências implica "automaticamente" o cancelamento da licença). O risco — cancelamento da LO e responsabilização — recairia sobre o operador contratado sem que o edital o discipline.</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(iv) Licenças tituladas pelo Município, operação transferida sem disciplina de responsabilidade.</w:t>
            </w:r>
            <w:r>
              <w:rPr>
                <w:rFonts w:ascii="Times New Roman" w:hAnsi="Times New Roman"/>
                <w:sz w:val="16"/>
              </w:rPr>
              <w:t xml:space="preserve"> A LO (e a LI da Estação) está em nome do Município de Porto Ferreira. O contrato transfere a operação integral a particular sem prever: comunicação/averbação do operador junto à CETESB; alocação de autos de infração ambiental na execução; dever do contratante de renovar tempestivamente a LO (validade até 16/09/2029 — dentro da vigência de 60 meses —, com antecedência mínima de 120 dias exigida no próprio documento); entrega da infraestrutura em condições operacionais; segregação de passivos anteriores (C-252, C-257 — interseção com T3). O rol de obrigações do contratante silencia (art. 92, incisos I e XIV, da Lei n.º 14.133/2021; art. 10 da Lei n.º 6.938/1981).</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(v) Fluxo de terceiros indefinido.</w:t>
            </w:r>
            <w:r>
              <w:rPr>
                <w:rFonts w:ascii="Times New Roman" w:hAnsi="Times New Roman"/>
                <w:sz w:val="16"/>
              </w:rPr>
              <w:t xml:space="preserve"> O TR não define se o aterro receberá resíduos de outras fontes (varrição e serviços próprios da Prefeitura, particulares autorizados) e se essas toneladas integram a medição do Item 2 e o teto diário de 60 t/d (C-036) — indefinição simultânea de receita, de capacidade e de consumo da vida útil da Vala 05, que retroalimenta a incerteza sobre a data da transição.</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Conclusão.</w:t>
            </w:r>
            <w:r>
              <w:rPr>
                <w:rFonts w:ascii="Times New Roman" w:hAnsi="Times New Roman"/>
                <w:sz w:val="16"/>
              </w:rPr>
              <w:t xml:space="preserve"> O certame licita a operação de um ativo cujo estado físico, capacidade, condicionantes e histórico só a Administração conhece — e que ela, instada duas vezes, não divulgou. A combinação (dados retidos + ETP sem custo da operação + limites de licença sem disciplina) compromete a isonomia informacional entre licitantes, a seriedade das estimativas e a comparabilidade das propostas (arts. 5.º, 18, § 1.º, e 25, § 3.º, da Lei n.º 14.133/2021; art. 5.º, XXXIII, e art. 37, caput, da CF/1988; Lei n.º 12.527/2011).</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Contra-argumentos antecipados —</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xml:space="preserve">- </w:t>
            </w:r>
            <w:r>
              <w:rPr>
                <w:rFonts w:ascii="Times New Roman" w:hAnsi="Times New Roman"/>
                <w:b/>
                <w:sz w:val="16"/>
              </w:rPr>
              <w:t>"Os dados constam do processo administrativo e podem ser obtidos mediante solicitação/vista."</w:t>
            </w:r>
            <w:r>
              <w:rPr>
                <w:rFonts w:ascii="Times New Roman" w:hAnsi="Times New Roman"/>
                <w:sz w:val="16"/>
              </w:rPr>
              <w:t xml:space="preserve"> Réplica: o art. 25, § 3.º exige divulgação em sítio eletrônico oficial, na mesma data do edital e sem necessidade de registro; a disponibilidade sob demanda não satisfaz a norma e perpetua a assimetria (quem já conhece a unidade não precisa pedir).</w:t>
            </w:r>
          </w:p>
          <w:p>
            <w:pPr>
              <w:spacing w:after="40" w:before="40" w:line="260" w:lineRule="exact"/>
              <w:jc w:val="both"/>
            </w:pPr>
            <w:r>
              <w:rPr>
                <w:rFonts w:ascii="Times New Roman" w:hAnsi="Times New Roman"/>
                <w:sz w:val="16"/>
              </w:rPr>
              <w:t xml:space="preserve">- </w:t>
            </w:r>
            <w:r>
              <w:rPr>
                <w:rFonts w:ascii="Times New Roman" w:hAnsi="Times New Roman"/>
                <w:b/>
                <w:sz w:val="16"/>
              </w:rPr>
              <w:t>"A Administração divulgou o essencial (vida útil estimada e geração de chorume); o restante é detalhe operacional."</w:t>
            </w:r>
            <w:r>
              <w:rPr>
                <w:rFonts w:ascii="Times New Roman" w:hAnsi="Times New Roman"/>
                <w:sz w:val="16"/>
              </w:rPr>
              <w:t xml:space="preserve"> Réplica: vida útil sem topografia e sem série de pesagens é conclusão sem premissa (art. 18, § 1.º, IV e VI exigem a memória de cálculo, não apenas o resultado); a data da transição define qual logística será precificada no Item 3 — não é detalhe, é a variável central do lote; e os próprios autos registram datas divergentes (1.º sem/2027 no TR vs. 2029 na resposta à 2.ª impugnação — T2).</w:t>
            </w:r>
          </w:p>
          <w:p>
            <w:pPr>
              <w:spacing w:after="40" w:before="40" w:line="260" w:lineRule="exact"/>
              <w:jc w:val="both"/>
            </w:pPr>
            <w:r>
              <w:rPr>
                <w:rFonts w:ascii="Times New Roman" w:hAnsi="Times New Roman"/>
                <w:sz w:val="16"/>
              </w:rPr>
              <w:t xml:space="preserve">- </w:t>
            </w:r>
            <w:r>
              <w:rPr>
                <w:rFonts w:ascii="Times New Roman" w:hAnsi="Times New Roman"/>
                <w:b/>
                <w:sz w:val="16"/>
              </w:rPr>
              <w:t>"A visita técnica facultada supre a informação."</w:t>
            </w:r>
            <w:r>
              <w:rPr>
                <w:rFonts w:ascii="Times New Roman" w:hAnsi="Times New Roman"/>
                <w:sz w:val="16"/>
              </w:rPr>
              <w:t xml:space="preserve"> Réplica: visita não substitui documento (topografia, monitoramento, séries históricas não se levantam em visita); a Súmula 272 do TCU admite declaração substitutiva justamente porque a visita não pode ser fonte exclusiva de dados essenciais [conferir aplicação; súmula de conhecimento consolidado, manter citação após checagem no portal TCU].</w:t>
            </w:r>
          </w:p>
          <w:p>
            <w:pPr>
              <w:spacing w:after="40" w:before="40" w:line="260" w:lineRule="exact"/>
              <w:jc w:val="both"/>
            </w:pPr>
            <w:r>
              <w:rPr>
                <w:rFonts w:ascii="Times New Roman" w:hAnsi="Times New Roman"/>
                <w:sz w:val="16"/>
              </w:rPr>
              <w:t xml:space="preserve">- </w:t>
            </w:r>
            <w:r>
              <w:rPr>
                <w:rFonts w:ascii="Times New Roman" w:hAnsi="Times New Roman"/>
                <w:b/>
                <w:sz w:val="16"/>
              </w:rPr>
              <w:t>"O teto de 60 t/d é problema do gerenciamento da contratada."</w:t>
            </w:r>
            <w:r>
              <w:rPr>
                <w:rFonts w:ascii="Times New Roman" w:hAnsi="Times New Roman"/>
                <w:sz w:val="16"/>
              </w:rPr>
              <w:t xml:space="preserve"> Réplica: o gerador do pico é o desenho editalício das frequências (represamento dominical) somado ao teto da licença do próprio Município; sem regra de escalonamento o edital cria obrigação de resultado impossível de cumprir licitamente nos picos — a alocação desse risco precisa ser expressa (art. 92, XIV).</w:t>
            </w:r>
          </w:p>
          <w:p>
            <w:pPr>
              <w:spacing w:after="40" w:before="40" w:line="260" w:lineRule="exact"/>
              <w:jc w:val="both"/>
            </w:pPr>
            <w:r>
              <w:rPr>
                <w:rFonts w:ascii="Times New Roman" w:hAnsi="Times New Roman"/>
                <w:sz w:val="16"/>
              </w:rPr>
              <w:t xml:space="preserve">- </w:t>
            </w:r>
            <w:r>
              <w:rPr>
                <w:rFonts w:ascii="Times New Roman" w:hAnsi="Times New Roman"/>
                <w:b/>
                <w:sz w:val="16"/>
              </w:rPr>
              <w:t>"O ETP é peça interna, e o valor foi estimado por cotações."</w:t>
            </w:r>
            <w:r>
              <w:rPr>
                <w:rFonts w:ascii="Times New Roman" w:hAnsi="Times New Roman"/>
                <w:sz w:val="16"/>
              </w:rPr>
              <w:t xml:space="preserve"> Réplica: o art. 18, § 2.º torna obrigatórios exatamente os elementos faltantes (estimativas de quantidades e valor com memórias); a pesquisa de preços do Item 2 sem análise da operação (equipamentos, cobertura, chorume de 190 L/t) não estima o custo da operação — estima outra coisa (interseção com T5).</w:t>
            </w:r>
          </w:p>
        </w:tc>
        <w:tc>
          <w:tcPr>
            <w:tcW w:type="dxa" w:w="2163"/>
          </w:tcPr>
          <w:p>
            <w:pPr>
              <w:spacing w:after="40" w:before="40" w:line="260" w:lineRule="exact"/>
              <w:jc w:val="both"/>
            </w:pPr>
            <w:r/>
            <w:r>
              <w:rPr>
                <w:rFonts w:ascii="Times New Roman" w:hAnsi="Times New Roman"/>
                <w:sz w:val="16"/>
              </w:rPr>
              <w:t>- art. 25, § 3.º, da Lei n.º 14.133/2021 (divulgação de todos os elementos do edital, incluídos anexos, em sítio oficial, na mesma data, sem registro)</w:t>
            </w:r>
          </w:p>
          <w:p>
            <w:pPr>
              <w:spacing w:after="40" w:before="40" w:line="260" w:lineRule="exact"/>
              <w:jc w:val="both"/>
            </w:pPr>
            <w:r>
              <w:rPr>
                <w:rFonts w:ascii="Times New Roman" w:hAnsi="Times New Roman"/>
                <w:sz w:val="16"/>
              </w:rPr>
              <w:t>- art. 18, caput e § 1.º, incisos IV, VI, VII e XII, c/c § 2.º, da Lei n.º 14.133/2021 (ETP: estimativas com memórias de cálculo — obrigatórias —; descrição da solução; impactos ambientais; justificativa para omissões)</w:t>
            </w:r>
          </w:p>
          <w:p>
            <w:pPr>
              <w:spacing w:after="40" w:before="40" w:line="260" w:lineRule="exact"/>
              <w:jc w:val="both"/>
            </w:pPr>
            <w:r>
              <w:rPr>
                <w:rFonts w:ascii="Times New Roman" w:hAnsi="Times New Roman"/>
                <w:sz w:val="16"/>
              </w:rPr>
              <w:t>- art. 6.º, inciso XXIII, alíneas "a" e "i", da Lei n.º 14.133/2021 (TR: definição do objeto; estimativas do valor com memórias de cálculo e documentos de suporte)</w:t>
            </w:r>
          </w:p>
          <w:p>
            <w:pPr>
              <w:spacing w:after="40" w:before="40" w:line="260" w:lineRule="exact"/>
              <w:jc w:val="both"/>
            </w:pPr>
            <w:r>
              <w:rPr>
                <w:rFonts w:ascii="Times New Roman" w:hAnsi="Times New Roman"/>
                <w:sz w:val="16"/>
              </w:rPr>
              <w:t>- art. 5.º da Lei n.º 14.133/2021 (planejamento, transparência, publicidade, igualdade, motivação)</w:t>
            </w:r>
          </w:p>
          <w:p>
            <w:pPr>
              <w:spacing w:after="40" w:before="40" w:line="260" w:lineRule="exact"/>
              <w:jc w:val="both"/>
            </w:pPr>
            <w:r>
              <w:rPr>
                <w:rFonts w:ascii="Times New Roman" w:hAnsi="Times New Roman"/>
                <w:sz w:val="16"/>
              </w:rPr>
              <w:t>- art. 164, caput e parágrafo único, da Lei n.º 14.133/2021 (impugnação/esclarecimento e divulgação da resposta em sítio oficial)</w:t>
            </w:r>
          </w:p>
          <w:p>
            <w:pPr>
              <w:spacing w:after="40" w:before="40" w:line="260" w:lineRule="exact"/>
              <w:jc w:val="both"/>
            </w:pPr>
            <w:r>
              <w:rPr>
                <w:rFonts w:ascii="Times New Roman" w:hAnsi="Times New Roman"/>
                <w:sz w:val="16"/>
              </w:rPr>
              <w:t>- art. 92, incisos I e XIV, da Lei n.º 14.133/2021 (cláusulas necessárias: objeto/elementos característicos; responsabilidades das partes)</w:t>
            </w:r>
          </w:p>
          <w:p>
            <w:pPr>
              <w:spacing w:after="40" w:before="40" w:line="260" w:lineRule="exact"/>
              <w:jc w:val="both"/>
            </w:pPr>
            <w:r>
              <w:rPr>
                <w:rFonts w:ascii="Times New Roman" w:hAnsi="Times New Roman"/>
                <w:sz w:val="16"/>
              </w:rPr>
              <w:t>- art. 5.º, inciso XXXIII, e art. 37, caput, da CF/1988 (direito de acesso a informações públicas; publicidade administrativa)</w:t>
            </w:r>
          </w:p>
          <w:p>
            <w:pPr>
              <w:spacing w:after="40" w:before="40" w:line="260" w:lineRule="exact"/>
              <w:jc w:val="both"/>
            </w:pPr>
            <w:r>
              <w:rPr>
                <w:rFonts w:ascii="Times New Roman" w:hAnsi="Times New Roman"/>
                <w:sz w:val="16"/>
              </w:rPr>
              <w:t>- Lei n.º 12.527/2011, arts. 7.º e 8.º (transparência passiva e ativa) [verificar redação]</w:t>
            </w:r>
          </w:p>
          <w:p>
            <w:pPr>
              <w:spacing w:after="40" w:before="40" w:line="260" w:lineRule="exact"/>
              <w:jc w:val="both"/>
            </w:pPr>
            <w:r>
              <w:rPr>
                <w:rFonts w:ascii="Times New Roman" w:hAnsi="Times New Roman"/>
                <w:sz w:val="16"/>
              </w:rPr>
              <w:t>- art. 10 da Lei n.º 6.938/1981, na redação da LC n.º 140/2011 (licenciamento; operação nos limites da licença)</w:t>
            </w:r>
          </w:p>
          <w:p>
            <w:pPr>
              <w:spacing w:after="40" w:before="40" w:line="260" w:lineRule="exact"/>
              <w:jc w:val="both"/>
            </w:pPr>
            <w:r>
              <w:rPr>
                <w:rFonts w:ascii="Times New Roman" w:hAnsi="Times New Roman"/>
                <w:sz w:val="16"/>
              </w:rPr>
              <w:t>- art. 60 da Lei n.º 9.605/1998, com a redação da Lei n.º 15.190/2025 (funcionamento em desacordo com a licença)</w:t>
            </w:r>
          </w:p>
          <w:p>
            <w:pPr>
              <w:spacing w:after="40" w:before="40" w:line="260" w:lineRule="exact"/>
              <w:jc w:val="both"/>
            </w:pPr>
            <w:r>
              <w:rPr>
                <w:rFonts w:ascii="Times New Roman" w:hAnsi="Times New Roman"/>
                <w:sz w:val="16"/>
              </w:rPr>
              <w:t>- Resolução CONAMA n.º 237/1997 e Resolução CONAMA n.º 499/2020 (licenciamento de sistemas de destinação de RSU) [verificar redação]</w:t>
            </w:r>
          </w:p>
          <w:p>
            <w:pPr>
              <w:spacing w:after="40" w:before="40" w:line="260" w:lineRule="exact"/>
              <w:jc w:val="both"/>
            </w:pPr>
            <w:r>
              <w:rPr>
                <w:rFonts w:ascii="Times New Roman" w:hAnsi="Times New Roman"/>
                <w:sz w:val="16"/>
              </w:rPr>
              <w:t>- LO CETESB n.º 4011055 (validade 16/09/2029; Exigências Técnicas 01–08; Observações 01 — 60 t/d — e 05; renovação com 120 dias de antecedência; horário "00:01 às 00:01") — documento anexado ao certame</w:t>
            </w:r>
          </w:p>
          <w:p>
            <w:pPr>
              <w:spacing w:after="40" w:before="40" w:line="260" w:lineRule="exact"/>
              <w:jc w:val="both"/>
            </w:pPr>
            <w:r>
              <w:rPr>
                <w:rFonts w:ascii="Times New Roman" w:hAnsi="Times New Roman"/>
                <w:sz w:val="16"/>
              </w:rPr>
              <w:t>- Jurisprudência (busca Jus IA):</w:t>
            </w:r>
          </w:p>
          <w:p>
            <w:pPr>
              <w:spacing w:after="40" w:before="40" w:line="260" w:lineRule="exact"/>
              <w:jc w:val="both"/>
            </w:pPr>
            <w:r>
              <w:rPr>
                <w:rFonts w:ascii="Times New Roman" w:hAnsi="Times New Roman"/>
                <w:sz w:val="16"/>
              </w:rPr>
              <w:t xml:space="preserve">  - (TJSP, Processo n.º 1002566-86.2023.8.26.0360, Rel. Ana Liarte, 4.ª Câmara de Direito Público, j. 02/04/2025, publ. 02/04/2025) `</w:t>
            </w:r>
            <w:r>
              <w:rPr>
                <w:rFonts w:ascii="Times New Roman" w:hAnsi="Times New Roman"/>
                <w:b/>
                <w:color w:val="CC0000"/>
                <w:sz w:val="16"/>
              </w:rPr>
              <w:t>[VIT]</w:t>
            </w:r>
            <w:r>
              <w:rPr>
                <w:rFonts w:ascii="Times New Roman" w:hAnsi="Times New Roman"/>
                <w:sz w:val="16"/>
              </w:rPr>
              <w:t xml:space="preserve">` — mandado de segurança contra pregão municipal paulista: a falta de publicidade e transparência — inclusive a demora na prestação de esclarecimentos que "impediu a formulação da melhor proposta, afetando a competitividade" — </w:t>
            </w:r>
            <w:r>
              <w:rPr>
                <w:rFonts w:ascii="Times New Roman" w:hAnsi="Times New Roman"/>
                <w:b/>
                <w:sz w:val="16"/>
              </w:rPr>
              <w:t>justifica a anulação do certame e a republicação do edital</w:t>
            </w:r>
            <w:r>
              <w:rPr>
                <w:rFonts w:ascii="Times New Roman" w:hAnsi="Times New Roman"/>
                <w:sz w:val="16"/>
              </w:rPr>
              <w:t>; tese assentada nos arts. 5.º, XXXIII e LX, e 37, caput, da CF/1988. Precedente do foro estadual competente para o caso.</w:t>
            </w:r>
          </w:p>
          <w:p>
            <w:pPr>
              <w:spacing w:after="40" w:before="40" w:line="260" w:lineRule="exact"/>
              <w:jc w:val="both"/>
            </w:pPr>
            <w:r>
              <w:rPr>
                <w:rFonts w:ascii="Times New Roman" w:hAnsi="Times New Roman"/>
                <w:sz w:val="16"/>
              </w:rPr>
              <w:t xml:space="preserve">  - (TJPR, Processo n.º 0040136-88.2024.8.16.0030, Rel. Ramon de Medeiros Nogueira, 5.ª Câmara Cível, publ. 24/04/2025) `</w:t>
            </w:r>
            <w:r>
              <w:rPr>
                <w:rFonts w:ascii="Times New Roman" w:hAnsi="Times New Roman"/>
                <w:b/>
                <w:color w:val="CC0000"/>
                <w:sz w:val="16"/>
              </w:rPr>
              <w:t>[VIT]</w:t>
            </w:r>
            <w:r>
              <w:rPr>
                <w:rFonts w:ascii="Times New Roman" w:hAnsi="Times New Roman"/>
                <w:sz w:val="16"/>
              </w:rPr>
              <w:t>` — por analogia (certame público de seleção): a negativa de acesso a elementos indispensáveis detidos pela banca viola os arts. 5.º, XXXIII e LV, e 37 da CF/1988 e o art. 21 da Lei n.º 12.527/2011, ensejando concessão da segurança com reabertura de prazo.</w:t>
            </w:r>
          </w:p>
          <w:p>
            <w:pPr>
              <w:spacing w:after="40" w:before="40" w:line="260" w:lineRule="exact"/>
              <w:jc w:val="both"/>
            </w:pPr>
            <w:r>
              <w:rPr>
                <w:rFonts w:ascii="Times New Roman" w:hAnsi="Times New Roman"/>
                <w:sz w:val="16"/>
              </w:rPr>
              <w:t xml:space="preserve">  - </w:t>
            </w:r>
            <w:r>
              <w:rPr>
                <w:rFonts w:ascii="Times New Roman" w:hAnsi="Times New Roman"/>
                <w:b/>
                <w:sz w:val="16"/>
              </w:rPr>
              <w:t>[PENDENTE: busca TCU/TCE via Lei na Mão antes do protocolo</w:t>
            </w:r>
            <w:r>
              <w:rPr>
                <w:rFonts w:ascii="Times New Roman" w:hAnsi="Times New Roman"/>
                <w:sz w:val="16"/>
              </w:rPr>
              <w:t xml:space="preserve"> — temas: ausência de anexos/estudos que suportem estimativas; assimetria de informação entre licitantes; ETP deficiente; operação de aterro e limites de licença</w:t>
            </w:r>
            <w:r>
              <w:rPr>
                <w:rFonts w:ascii="Times New Roman" w:hAnsi="Times New Roman"/>
                <w:b/>
                <w:sz w:val="16"/>
              </w:rPr>
              <w:t>]</w:t>
            </w:r>
            <w:r>
              <w:rPr>
                <w:rFonts w:ascii="Times New Roman" w:hAnsi="Times New Roman"/>
                <w:sz w:val="16"/>
              </w:rPr>
            </w:r>
          </w:p>
          <w:p>
            <w:pPr>
              <w:spacing w:after="40" w:before="40" w:line="260" w:lineRule="exact"/>
              <w:jc w:val="both"/>
            </w:pPr>
            <w:r>
              <w:rPr>
                <w:rFonts w:ascii="Times New Roman" w:hAnsi="Times New Roman"/>
                <w:sz w:val="16"/>
              </w:rPr>
              <w:t xml:space="preserve">Doutrina: - HELY LOPES MEIRELLES. *Direito Administrativo Brasileiro*. 23.ª ed. Malheiros, p. 144: o edital completo e seus elementos definidores (projetos, memoriais, especificações, planilhas) devem ser fornecidos aos interessados, "não podendo ser dificultados ou </w:t>
            </w:r>
            <w:r>
              <w:rPr>
                <w:rFonts w:ascii="Times New Roman" w:hAnsi="Times New Roman"/>
                <w:b/>
                <w:sz w:val="16"/>
              </w:rPr>
              <w:t>sonegados</w:t>
            </w:r>
            <w:r>
              <w:rPr>
                <w:rFonts w:ascii="Times New Roman" w:hAnsi="Times New Roman"/>
                <w:sz w:val="16"/>
              </w:rPr>
              <w:t xml:space="preserve"> a nenhum interessado"; p. 136-137: licitação sem caracterização do objeto é nula.</w:t>
            </w:r>
          </w:p>
          <w:p>
            <w:pPr>
              <w:spacing w:after="40" w:before="40" w:line="260" w:lineRule="exact"/>
              <w:jc w:val="both"/>
            </w:pPr>
            <w:r>
              <w:rPr>
                <w:rFonts w:ascii="Times New Roman" w:hAnsi="Times New Roman"/>
                <w:sz w:val="16"/>
              </w:rPr>
              <w:t>— Jurisprudência TCU/TCE (Lei na Mão) —</w:t>
            </w:r>
          </w:p>
          <w:p>
            <w:pPr>
              <w:spacing w:after="40" w:before="40" w:line="260" w:lineRule="exact"/>
              <w:jc w:val="both"/>
            </w:pPr>
            <w:r>
              <w:rPr>
                <w:rFonts w:ascii="Times New Roman" w:hAnsi="Times New Roman"/>
                <w:sz w:val="16"/>
              </w:rPr>
              <w:t>• Acórdão 14077/2023-TCU-Primeira Câmara, Rel. Weder de Oliveira, sessão de 05/12/2023 [VIT</w:t>
            </w:r>
          </w:p>
          <w:p>
            <w:pPr>
              <w:spacing w:after="40" w:before="40" w:line="260" w:lineRule="exact"/>
              <w:jc w:val="both"/>
            </w:pPr>
            <w:r>
              <w:rPr>
                <w:rFonts w:ascii="Times New Roman" w:hAnsi="Times New Roman"/>
                <w:sz w:val="16"/>
              </w:rPr>
              <w:t>• Entendimento TCU-Plenário, sessão de 26/03/2014 (Jurisprudência Selecionada 20537) [VIT</w:t>
            </w:r>
          </w:p>
        </w:tc>
        <w:tc>
          <w:tcPr>
            <w:tcW w:type="dxa" w:w="2163"/>
          </w:tcPr>
          <w:p>
            <w:pPr>
              <w:spacing w:after="40" w:before="40" w:line="260" w:lineRule="exact"/>
              <w:jc w:val="center"/>
            </w:pPr>
            <w:r/>
            <w:r>
              <w:rPr>
                <w:rFonts w:ascii="Times New Roman" w:hAnsi="Times New Roman"/>
                <w:b w:val="0"/>
                <w:sz w:val="18"/>
              </w:rPr>
              <w:t>Sim</w:t>
            </w:r>
          </w:p>
        </w:tc>
        <w:tc>
          <w:tcPr>
            <w:tcW w:type="dxa" w:w="2163"/>
          </w:tcPr>
          <w:p>
            <w:pPr>
              <w:spacing w:after="40" w:before="40" w:line="260" w:lineRule="exact"/>
              <w:jc w:val="center"/>
            </w:pPr>
            <w:r/>
            <w:r>
              <w:rPr>
                <w:rFonts w:ascii="Times New Roman" w:hAnsi="Times New Roman"/>
                <w:b w:val="0"/>
                <w:sz w:val="18"/>
              </w:rPr>
              <w:t>ESCLARECIMENTO dirigido</w:t>
              <w:br/>
              <w:t>(Administração)</w:t>
            </w:r>
          </w:p>
        </w:tc>
      </w:tr>
      <w:tr>
        <w:tc>
          <w:tcPr>
            <w:tcW w:type="dxa" w:w="2163"/>
            <w:shd w:fill="F2F2F2" w:val="clear"/>
          </w:tcPr>
          <w:p>
            <w:pPr>
              <w:spacing w:after="40" w:before="40" w:line="260" w:lineRule="exact"/>
              <w:jc w:val="center"/>
            </w:pPr>
            <w:r/>
            <w:r>
              <w:rPr>
                <w:rFonts w:ascii="Times New Roman" w:hAnsi="Times New Roman"/>
                <w:b w:val="0"/>
                <w:sz w:val="18"/>
              </w:rPr>
              <w:t>T10</w:t>
            </w:r>
          </w:p>
        </w:tc>
        <w:tc>
          <w:tcPr>
            <w:tcW w:type="dxa" w:w="2163"/>
            <w:shd w:fill="F2F2F2" w:val="clear"/>
          </w:tcPr>
          <w:p>
            <w:pPr>
              <w:spacing w:after="40" w:before="40" w:line="260" w:lineRule="exact"/>
            </w:pPr>
            <w:r/>
            <w:r>
              <w:rPr>
                <w:rFonts w:ascii="Times New Roman" w:hAnsi="Times New Roman"/>
                <w:b w:val="0"/>
                <w:sz w:val="18"/>
              </w:rPr>
              <w:t>Riscos e garantias</w:t>
            </w:r>
          </w:p>
        </w:tc>
        <w:tc>
          <w:tcPr>
            <w:tcW w:type="dxa" w:w="2163"/>
            <w:shd w:fill="F2F2F2" w:val="clear"/>
          </w:tcPr>
          <w:p>
            <w:pPr>
              <w:spacing w:after="40" w:before="40" w:line="260" w:lineRule="exact"/>
              <w:jc w:val="both"/>
            </w:pPr>
            <w:r/>
            <w:r>
              <w:rPr>
                <w:rFonts w:ascii="Times New Roman" w:hAnsi="Times New Roman"/>
                <w:sz w:val="18"/>
              </w:rPr>
              <w:t>Garantia contratual</w:t>
            </w:r>
          </w:p>
        </w:tc>
        <w:tc>
          <w:tcPr>
            <w:tcW w:type="dxa" w:w="2163"/>
            <w:shd w:fill="F2F2F2" w:val="clear"/>
          </w:tcPr>
          <w:p>
            <w:pPr>
              <w:spacing w:after="40" w:before="40" w:line="260" w:lineRule="exact"/>
              <w:jc w:val="both"/>
            </w:pPr>
            <w:r/>
            <w:r>
              <w:rPr>
                <w:rFonts w:ascii="Times New Roman" w:hAnsi="Times New Roman"/>
                <w:sz w:val="16"/>
              </w:rPr>
            </w:r>
            <w:r>
              <w:rPr>
                <w:rFonts w:ascii="Times New Roman" w:hAnsi="Times New Roman"/>
                <w:b/>
                <w:sz w:val="16"/>
              </w:rPr>
              <w:t>Premissa normativa.</w:t>
            </w:r>
            <w:r>
              <w:rPr>
                <w:rFonts w:ascii="Times New Roman" w:hAnsi="Times New Roman"/>
                <w:sz w:val="16"/>
              </w:rPr>
              <w:t xml:space="preserve"> O regime de garantia da contratação na Lei n.º 14.133/2021 assenta em quatro comandos: (i) a exigência de garantia é faculdade da autoridade, mediante previsão no edital (art. 96, caput); (ii) exigida a garantia, </w:t>
            </w:r>
            <w:r>
              <w:rPr>
                <w:rFonts w:ascii="Times New Roman" w:hAnsi="Times New Roman"/>
                <w:b/>
                <w:sz w:val="16"/>
              </w:rPr>
              <w:t>a escolha da modalidade cabe ao contratado</w:t>
            </w:r>
            <w:r>
              <w:rPr>
                <w:rFonts w:ascii="Times New Roman" w:hAnsi="Times New Roman"/>
                <w:sz w:val="16"/>
              </w:rPr>
              <w:t xml:space="preserve"> — caução em dinheiro ou títulos da dívida pública, seguro-garantia, fiança bancária ou título de capitalização (art. 96, § 1.º, incisos I a IV, este último incluído pela Lei n.º 14.770/2023); (iii) quando a opção do contratado recair sobre o seguro-garantia, </w:t>
            </w:r>
            <w:r>
              <w:rPr>
                <w:rFonts w:ascii="Times New Roman" w:hAnsi="Times New Roman"/>
                <w:b/>
                <w:sz w:val="16"/>
              </w:rPr>
              <w:t>o edital fixará prazo mínimo de 1 (um) mês, contado da data de homologação da licitação e anterior à assinatura do contrato</w:t>
            </w:r>
            <w:r>
              <w:rPr>
                <w:rFonts w:ascii="Times New Roman" w:hAnsi="Times New Roman"/>
                <w:sz w:val="16"/>
              </w:rPr>
              <w:t xml:space="preserve">, para a prestação da garantia (art. 96, § 3.º); (iv) a imposição da modalidade seguro-garantia pela Administração é reservada, pelo desenho legal, à contratação de </w:t>
            </w:r>
            <w:r>
              <w:rPr>
                <w:rFonts w:ascii="Times New Roman" w:hAnsi="Times New Roman"/>
                <w:b/>
                <w:sz w:val="16"/>
              </w:rPr>
              <w:t>obras e serviços de engenharia</w:t>
            </w:r>
            <w:r>
              <w:rPr>
                <w:rFonts w:ascii="Times New Roman" w:hAnsi="Times New Roman"/>
                <w:sz w:val="16"/>
              </w:rPr>
              <w:t>, na sistemática do seguro com cláusula de retomada (art. 102, caput, na redação dada pela Lei n.º 14.770/2023; art. 99 para as de grande vulto, com percentual de até 30%). Fora dessas hipóteses, subtrair do contratado a opção do § 1.º carece de fundamento legal. As garantias são, ademais, matéria de cláusula necessária do contrato (art. 92, inciso XII), e o edital deve veicular regras claras e unívocas às quais Administração e licitantes ficam vinculados (art. 25, caput).</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Fato editalício.</w:t>
            </w:r>
            <w:r>
              <w:rPr>
                <w:rFonts w:ascii="Times New Roman" w:hAnsi="Times New Roman"/>
                <w:sz w:val="16"/>
              </w:rPr>
              <w:t xml:space="preserve"> O instrumento convocatório reaberto contém, sobre a mesma obrigação, ao menos quatro disciplinas não conciliadas:</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xml:space="preserve">1. </w:t>
            </w:r>
            <w:r>
              <w:rPr>
                <w:rFonts w:ascii="Times New Roman" w:hAnsi="Times New Roman"/>
                <w:b/>
                <w:sz w:val="16"/>
              </w:rPr>
              <w:t>Duas redações alternativas do item 8.1 da minuta, separadas por "OU", ambas publicadas</w:t>
            </w:r>
            <w:r>
              <w:rPr>
                <w:rFonts w:ascii="Times New Roman" w:hAnsi="Times New Roman"/>
                <w:sz w:val="16"/>
              </w:rPr>
              <w:t xml:space="preserve"> (C-175). A minuta de contrato (Cláusula 8.ª) traz, em sequência, no texto publicado: *"8.1. A contratação conta com garantia de execução, nos moldes do art. 96 da Lei nº 14.133, de 2021, </w:t>
            </w:r>
            <w:r>
              <w:rPr>
                <w:rFonts w:ascii="Times New Roman" w:hAnsi="Times New Roman"/>
                <w:b/>
                <w:sz w:val="16"/>
              </w:rPr>
              <w:t>na modalidade Seguro Garantia</w:t>
            </w:r>
            <w:r>
              <w:rPr>
                <w:rFonts w:ascii="Times New Roman" w:hAnsi="Times New Roman"/>
                <w:sz w:val="16"/>
              </w:rPr>
              <w:t xml:space="preserve">, em valor correspondente a 5% (cinco por cento) do valor anual da contratação (...)"* — </w:t>
            </w:r>
            <w:r>
              <w:rPr>
                <w:rFonts w:ascii="Times New Roman" w:hAnsi="Times New Roman"/>
                <w:b/>
                <w:sz w:val="16"/>
              </w:rPr>
              <w:t>OU</w:t>
            </w:r>
            <w:r>
              <w:rPr>
                <w:rFonts w:ascii="Times New Roman" w:hAnsi="Times New Roman"/>
                <w:sz w:val="16"/>
              </w:rPr>
              <w:t xml:space="preserve"> — *"8.1. O contratado apresentará, no prazo máximo de 10 (dez) dias, prorrogáveis por igual período, a critério do contratante, </w:t>
            </w:r>
            <w:r>
              <w:rPr>
                <w:rFonts w:ascii="Times New Roman" w:hAnsi="Times New Roman"/>
                <w:b/>
                <w:sz w:val="16"/>
              </w:rPr>
              <w:t>contado da assinatura do contrato</w:t>
            </w:r>
            <w:r>
              <w:rPr>
                <w:rFonts w:ascii="Times New Roman" w:hAnsi="Times New Roman"/>
                <w:sz w:val="16"/>
              </w:rPr>
              <w:t xml:space="preserve">, comprovante de prestação de garantia (...) </w:t>
            </w:r>
            <w:r>
              <w:rPr>
                <w:rFonts w:ascii="Times New Roman" w:hAnsi="Times New Roman"/>
                <w:b/>
                <w:sz w:val="16"/>
              </w:rPr>
              <w:t>podendo optar por caução em dinheiro ou títulos da dívida pública, fiança bancária ou título de capitalização</w:t>
            </w:r>
            <w:r>
              <w:rPr>
                <w:rFonts w:ascii="Times New Roman" w:hAnsi="Times New Roman"/>
                <w:sz w:val="16"/>
              </w:rPr>
              <w:t xml:space="preserve"> (...)"*. A conjunção "OU" é resquício de minuta-padrão em que o redator deveria eleger uma das redações; publicadas ambas, o licitante não sabe qual regime vigerá no contrato que assinará.</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xml:space="preserve">2. </w:t>
            </w:r>
            <w:r>
              <w:rPr>
                <w:rFonts w:ascii="Times New Roman" w:hAnsi="Times New Roman"/>
                <w:b/>
                <w:sz w:val="16"/>
              </w:rPr>
              <w:t>A primeira redação impõe modalidade única — seguro-garantia</w:t>
            </w:r>
            <w:r>
              <w:rPr>
                <w:rFonts w:ascii="Times New Roman" w:hAnsi="Times New Roman"/>
                <w:sz w:val="16"/>
              </w:rPr>
              <w:t xml:space="preserve"> (C-176), suprimindo a opção que o art. 96, § 1.º, defere ao contratado. O objeto é licitado como serviço comum, por pregão eletrônico; não se trata de obra ou serviço de engenharia, única hipótese em que a lei faculta ao edital exigir a modalidade seguro-garantia (art. 102, caput, a contrario sensu; art. 99 para grande vulto). Não há, nos autos, justificativa que sequer invoque esse regime.</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xml:space="preserve">3. </w:t>
            </w:r>
            <w:r>
              <w:rPr>
                <w:rFonts w:ascii="Times New Roman" w:hAnsi="Times New Roman"/>
                <w:b/>
                <w:sz w:val="16"/>
              </w:rPr>
              <w:t>A segunda redação omite o seguro-garantia do rol de modalidades</w:t>
            </w:r>
            <w:r>
              <w:rPr>
                <w:rFonts w:ascii="Times New Roman" w:hAnsi="Times New Roman"/>
                <w:sz w:val="16"/>
              </w:rPr>
              <w:t xml:space="preserve"> (C-177), em sentido oposto: o contratado poderia optar apenas por caução, fiança bancária ou título de capitalização. A omissão contraria o art. 96, § 1.º, inciso II, e é internamente contraditória com os itens 8.2 a 8.5, 8.13.2 da própria minuta — que disciplinam extensamente a apólice de seguro-garantia (validade, endosso, substituição em aniversário, sinistro) — e com o item 4.8.1, inciso II, do TR, que arrola o seguro-garantia entre as modalidades à escolha do contratado.</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xml:space="preserve">4. </w:t>
            </w:r>
            <w:r>
              <w:rPr>
                <w:rFonts w:ascii="Times New Roman" w:hAnsi="Times New Roman"/>
                <w:b/>
                <w:sz w:val="16"/>
              </w:rPr>
              <w:t>Momentos e prazos de prestação incompatíveis entre TR e minuta</w:t>
            </w:r>
            <w:r>
              <w:rPr>
                <w:rFonts w:ascii="Times New Roman" w:hAnsi="Times New Roman"/>
                <w:sz w:val="16"/>
              </w:rPr>
              <w:t xml:space="preserve"> (C-174 e C-178). O TR dispõe: *"4.10. Em caso opção pelo seguro-garantia, a parte adjudicatária deverá apresentá-la, no prazo de 1 (um) mês, contado da data de homologação da licitação e </w:t>
            </w:r>
            <w:r>
              <w:rPr>
                <w:rFonts w:ascii="Times New Roman" w:hAnsi="Times New Roman"/>
                <w:b/>
                <w:sz w:val="16"/>
              </w:rPr>
              <w:t>anterior à assinatura do contrato</w:t>
            </w:r>
            <w:r>
              <w:rPr>
                <w:rFonts w:ascii="Times New Roman" w:hAnsi="Times New Roman"/>
                <w:sz w:val="16"/>
              </w:rPr>
              <w:t xml:space="preserve">"*, com preclusão da modalidade se a apólice não for apresentada antes da assinatura (4.10.1) — desenho aderente ao art. 96, § 3.º. A segunda redação do item 8.1 da minuta, porém, fixa 10 (dez) dias — sequer qualificados como úteis, ao contrário do TR 4.9, que fala em "10 (dez) dias úteis" — </w:t>
            </w:r>
            <w:r>
              <w:rPr>
                <w:rFonts w:ascii="Times New Roman" w:hAnsi="Times New Roman"/>
                <w:b/>
                <w:sz w:val="16"/>
              </w:rPr>
              <w:t>contados da assinatura</w:t>
            </w:r>
            <w:r>
              <w:rPr>
                <w:rFonts w:ascii="Times New Roman" w:hAnsi="Times New Roman"/>
                <w:sz w:val="16"/>
              </w:rPr>
              <w:t xml:space="preserve">, para "comprovante de prestação de garantia", sem ressalvar a modalidade seguro-garantia. Aplicada a cláusula como redigida (e ela é a que subsistiria caso prevaleça a segunda redação, que exclui o seguro), o regime do art. 96, § 3.º — prazo </w:t>
            </w:r>
            <w:r>
              <w:rPr>
                <w:rFonts w:ascii="Times New Roman" w:hAnsi="Times New Roman"/>
                <w:b/>
                <w:sz w:val="16"/>
              </w:rPr>
              <w:t>mínimo</w:t>
            </w:r>
            <w:r>
              <w:rPr>
                <w:rFonts w:ascii="Times New Roman" w:hAnsi="Times New Roman"/>
                <w:sz w:val="16"/>
              </w:rPr>
              <w:t xml:space="preserve"> de 1 mês, da homologação, </w:t>
            </w:r>
            <w:r>
              <w:rPr>
                <w:rFonts w:ascii="Times New Roman" w:hAnsi="Times New Roman"/>
                <w:b/>
                <w:sz w:val="16"/>
              </w:rPr>
              <w:t>anterior</w:t>
            </w:r>
            <w:r>
              <w:rPr>
                <w:rFonts w:ascii="Times New Roman" w:hAnsi="Times New Roman"/>
                <w:sz w:val="16"/>
              </w:rPr>
              <w:t xml:space="preserve"> à assinatura — resta inoperante.</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xml:space="preserve">5. </w:t>
            </w:r>
            <w:r>
              <w:rPr>
                <w:rFonts w:ascii="Times New Roman" w:hAnsi="Times New Roman"/>
                <w:b/>
                <w:sz w:val="16"/>
              </w:rPr>
              <w:t>Descompasso entre a janela legal do seguro-garantia e o prazo de convocação para assinatura</w:t>
            </w:r>
            <w:r>
              <w:rPr>
                <w:rFonts w:ascii="Times New Roman" w:hAnsi="Times New Roman"/>
                <w:sz w:val="16"/>
              </w:rPr>
              <w:t xml:space="preserve"> (C-187). O TR 14.2 impõe que a convocação para assinar seja atendida "no prazo máximo de 5 (cinco) dias úteis, sob pena de decair o direito à contratação", prorrogável uma única vez (14.2.1). O TR 4.10/14.5.a, por sua vez, assegura 1 mês da homologação, anterior à assinatura, para a apresentação da apólice, cominando o 4.10.1 a preclusão da escolha da modalidade se a apólice não anteceder a assinatura. Os dois prazos não estão coordenados: convocada a adjudicatária logo após a homologação, ou ela assina em 5 dias úteis sem apólice — precluindo a modalidade que a lei lhe faculta —, ou não assina e decai do direito à contratação. O prazo do art. 96, § 3.º é fixado pela lei como </w:t>
            </w:r>
            <w:r>
              <w:rPr>
                <w:rFonts w:ascii="Times New Roman" w:hAnsi="Times New Roman"/>
                <w:b/>
                <w:sz w:val="16"/>
              </w:rPr>
              <w:t>mínimo</w:t>
            </w:r>
            <w:r>
              <w:rPr>
                <w:rFonts w:ascii="Times New Roman" w:hAnsi="Times New Roman"/>
                <w:sz w:val="16"/>
              </w:rPr>
              <w:t xml:space="preserve"> e em favor do adjudicatário; o edital não contém regra dispondo que, manifestada a opção pelo seguro-garantia, a assinatura aguardará o decurso da janela legal.</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xml:space="preserve">6. </w:t>
            </w:r>
            <w:r>
              <w:rPr>
                <w:rFonts w:ascii="Times New Roman" w:hAnsi="Times New Roman"/>
                <w:b/>
                <w:sz w:val="16"/>
              </w:rPr>
              <w:t>Base de cálculo e finalidade da garantia com redações divergentes</w:t>
            </w:r>
            <w:r>
              <w:rPr>
                <w:rFonts w:ascii="Times New Roman" w:hAnsi="Times New Roman"/>
                <w:sz w:val="16"/>
              </w:rPr>
              <w:t xml:space="preserve"> (C-186 — DEPENDE DE FATO). O percentual de 5% sobre o </w:t>
            </w:r>
            <w:r>
              <w:rPr>
                <w:rFonts w:ascii="Times New Roman" w:hAnsi="Times New Roman"/>
                <w:b/>
                <w:sz w:val="16"/>
              </w:rPr>
              <w:t>valor anual</w:t>
            </w:r>
            <w:r>
              <w:rPr>
                <w:rFonts w:ascii="Times New Roman" w:hAnsi="Times New Roman"/>
                <w:sz w:val="16"/>
              </w:rPr>
              <w:t>, com base no "valor máximo efetivamente executável" (soma dos itens 1, 3 e 4), é compatível com o art. 98, caput e parágrafo único (serviços contínuos com vigência superior a 1 ano). Registram-se, porém: (i) o item 20.2, alínea "d", do edital declara a garantia destinada *"a assegurar as obrigações trabalhistas, fiscais e previdenciárias de qualquer natureza não horadas pela futura contratada"* — finalidade textualmente restrita, em descompasso com o art. 97, caput, e com o item 8.6 da minuta, que estendem a cobertura ao inadimplemento geral, multas e prejuízos; (ii) a exclusão do item 2 da base da garantia confirma que a própria Administração reconhece que os itens 2 e 3 não se somam para fins de valor executável — referência cruzada relevante para T1 e para a base de cálculo das multas (T11, C-234).</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Conclusão.</w:t>
            </w:r>
            <w:r>
              <w:rPr>
                <w:rFonts w:ascii="Times New Roman" w:hAnsi="Times New Roman"/>
                <w:sz w:val="16"/>
              </w:rPr>
              <w:t xml:space="preserve"> A disciplina da garantia contratual é indeterminada quanto ao ponto essencial (qual das duas redações do item 8.1 vigerá), ilegal em ambas as alternativas postas (imposição de modalidade única fora das hipóteses do art. 102; ou supressão do seguro-garantia do rol do art. 96, § 1.º), e conflitante quanto ao momento e ao prazo de prestação (10 dias da assinatura vs. 1 mês da homologação anterior à assinatura — art. 96, § 3.º), sem coordenação com o prazo de 5 dias úteis da convocação (TR 14.2). A indefinição impede a precificação do custo da garantia na proposta (o custo de apólice, fiança ou imobilização de caução difere substancialmente entre si) e expõe a adjudicatária a preclusão e decadência por operação de prazos incompatíveis entre si. Impõe-se a republicação da Cláusula 8.ª com redação única que: reproduza o rol integral do art. 96, § 1.º, à escolha do contratado; fixe prazo de 1 mês da homologação, anterior à assinatura, para o seguro-garantia (art. 96, § 3.º) e prazo contado da assinatura apenas para as demais modalidades; e discipline a compatibilização da convocação para assinatura com a janela legal do seguro-garantia, harmonizando TR (4.8-4.10, 14.2, 14.5), edital (20.2.d) e minuta.</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Contra-argumentos antecipados —</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xml:space="preserve">A Administração provavelmente sustentará: (i) que a dupla redação do item 8.1 é </w:t>
            </w:r>
            <w:r>
              <w:rPr>
                <w:rFonts w:ascii="Times New Roman" w:hAnsi="Times New Roman"/>
                <w:b/>
                <w:sz w:val="16"/>
              </w:rPr>
              <w:t>erro material evidente</w:t>
            </w:r>
            <w:r>
              <w:rPr>
                <w:rFonts w:ascii="Times New Roman" w:hAnsi="Times New Roman"/>
                <w:sz w:val="16"/>
              </w:rPr>
              <w:t>, herdado de minuta-padrão federal (que oferece redações alternativas ao redator), sanável por interpretação sistemática — prevalecendo o conjunto TR 4.8.1 (rol completo) + 4.9 (10 dias úteis para as demais modalidades) + 4.10 (1 mês para o seguro), que reproduz fielmente a lei, de modo que não haveria prejuízo concreto à formulação das propostas; (i</w:t>
            </w:r>
          </w:p>
          <w:p>
            <w:pPr>
              <w:spacing w:after="40" w:before="40" w:line="260" w:lineRule="exact"/>
              <w:jc w:val="both"/>
            </w:pPr>
            <w:r>
              <w:rPr>
                <w:rFonts w:ascii="Times New Roman" w:hAnsi="Times New Roman"/>
                <w:sz w:val="16"/>
              </w:rPr>
              <w:t>[...texto completo no arquivo AN_bloco correspondente]</w:t>
            </w:r>
          </w:p>
        </w:tc>
        <w:tc>
          <w:tcPr>
            <w:tcW w:type="dxa" w:w="2163"/>
            <w:shd w:fill="F2F2F2" w:val="clear"/>
          </w:tcPr>
          <w:p>
            <w:pPr>
              <w:spacing w:after="40" w:before="40" w:line="260" w:lineRule="exact"/>
              <w:jc w:val="both"/>
            </w:pPr>
            <w:r/>
            <w:r>
              <w:rPr>
                <w:rFonts w:ascii="Times New Roman" w:hAnsi="Times New Roman"/>
                <w:sz w:val="16"/>
              </w:rPr>
              <w:t>- art. 96, caput, e § 1.º, incisos I a IV, da Lei n.º 14.133/2021 (opção de modalidade do contratado; inciso IV incluído pela Lei n.º 14.770/2023) — redação vigente confirmada</w:t>
            </w:r>
          </w:p>
          <w:p>
            <w:pPr>
              <w:spacing w:after="40" w:before="40" w:line="260" w:lineRule="exact"/>
              <w:jc w:val="both"/>
            </w:pPr>
            <w:r>
              <w:rPr>
                <w:rFonts w:ascii="Times New Roman" w:hAnsi="Times New Roman"/>
                <w:sz w:val="16"/>
              </w:rPr>
              <w:t>- art. 96, § 3.º, da Lei n.º 14.133/2021 (prazo mínimo de 1 mês, da homologação, anterior à assinatura, para o seguro-garantia) — redação vigente confirmada</w:t>
            </w:r>
          </w:p>
          <w:p>
            <w:pPr>
              <w:spacing w:after="40" w:before="40" w:line="260" w:lineRule="exact"/>
              <w:jc w:val="both"/>
            </w:pPr>
            <w:r>
              <w:rPr>
                <w:rFonts w:ascii="Times New Roman" w:hAnsi="Times New Roman"/>
                <w:sz w:val="16"/>
              </w:rPr>
              <w:t>- art. 97, caput, da Lei n.º 14.133/2021 (objeto do seguro-garantia: fiel cumprimento, multas, prejuízos e indenizações)</w:t>
            </w:r>
          </w:p>
          <w:p>
            <w:pPr>
              <w:spacing w:after="40" w:before="40" w:line="260" w:lineRule="exact"/>
              <w:jc w:val="both"/>
            </w:pPr>
            <w:r>
              <w:rPr>
                <w:rFonts w:ascii="Times New Roman" w:hAnsi="Times New Roman"/>
                <w:sz w:val="16"/>
              </w:rPr>
              <w:t>- art. 98, caput e parágrafo único, da Lei n.º 14.133/2021 (percentual de até 5%; valor anual nos contínuos com vigência superior a 1 ano)</w:t>
            </w:r>
          </w:p>
          <w:p>
            <w:pPr>
              <w:spacing w:after="40" w:before="40" w:line="260" w:lineRule="exact"/>
              <w:jc w:val="both"/>
            </w:pPr>
            <w:r>
              <w:rPr>
                <w:rFonts w:ascii="Times New Roman" w:hAnsi="Times New Roman"/>
                <w:sz w:val="16"/>
              </w:rPr>
              <w:t>- art. 99 e art. 102, caput, da Lei n.º 14.133/2021 (hipóteses em que o edital pode exigir a modalidade seguro-garantia: obras e serviços de engenharia, com cláusula de retomada; grande vulto — a contrario sensu, vedada a imposição em serviço comum) — atenção: redação do art. 102 alterada pela Lei n.º 14.770/2023</w:t>
            </w:r>
          </w:p>
          <w:p>
            <w:pPr>
              <w:spacing w:after="40" w:before="40" w:line="260" w:lineRule="exact"/>
              <w:jc w:val="both"/>
            </w:pPr>
            <w:r>
              <w:rPr>
                <w:rFonts w:ascii="Times New Roman" w:hAnsi="Times New Roman"/>
                <w:sz w:val="16"/>
              </w:rPr>
              <w:t>- art. 92, inciso XII, da Lei n.º 14.133/2021 (garantias como cláusula necessária)</w:t>
            </w:r>
          </w:p>
          <w:p>
            <w:pPr>
              <w:spacing w:after="40" w:before="40" w:line="260" w:lineRule="exact"/>
              <w:jc w:val="both"/>
            </w:pPr>
            <w:r>
              <w:rPr>
                <w:rFonts w:ascii="Times New Roman" w:hAnsi="Times New Roman"/>
                <w:sz w:val="16"/>
              </w:rPr>
              <w:t>- art. 25, caput, da Lei n.º 14.133/2021 (vinculação ao edital; clareza das regras do certame)</w:t>
            </w:r>
          </w:p>
          <w:p>
            <w:pPr>
              <w:spacing w:after="40" w:before="40" w:line="260" w:lineRule="exact"/>
              <w:jc w:val="both"/>
            </w:pPr>
            <w:r>
              <w:rPr>
                <w:rFonts w:ascii="Times New Roman" w:hAnsi="Times New Roman"/>
                <w:sz w:val="16"/>
              </w:rPr>
              <w:t xml:space="preserve">- Jurisprudência: </w:t>
            </w:r>
            <w:r>
              <w:rPr>
                <w:rFonts w:ascii="Times New Roman" w:hAnsi="Times New Roman"/>
                <w:b/>
                <w:sz w:val="16"/>
              </w:rPr>
              <w:t>não localizei, na base Jus IA, precedente judicial específico sobre imposição ou supressão editalícia de modalidade de garantia em detrimento da opção do contratado.</w:t>
            </w:r>
            <w:r>
              <w:rPr>
                <w:rFonts w:ascii="Times New Roman" w:hAnsi="Times New Roman"/>
                <w:sz w:val="16"/>
              </w:rPr>
              <w:t xml:space="preserve"> `[PENDENTE: busca TCU/TCE via Lei na Mão antes do protocolo — teses: (i) opção de modalidade é do contratado; (ii) prazo do art. 96, § 3.º; (iii) cláusulas alternativas não resolvidas em minuta]`</w:t>
            </w:r>
          </w:p>
          <w:p>
            <w:pPr>
              <w:spacing w:after="40" w:before="40" w:line="260" w:lineRule="exact"/>
              <w:jc w:val="both"/>
            </w:pPr>
            <w:r>
              <w:rPr>
                <w:rFonts w:ascii="Times New Roman" w:hAnsi="Times New Roman"/>
                <w:sz w:val="16"/>
              </w:rPr>
              <w:t>Doutrina: - HELY LOPES MEIRELLES, *Direito Administrativo Brasileiro*, 23.ª ed., Malheiros, p. 109 ("A escolha da garantia fica a critério do contratado, dentre as modalidades enumeradas na lei") — formulada sob a Lei n.º 8.666/1993, cujo desenho o art. 96, § 1.º, da Lei n.º 14.133/2021 reproduz e explicita ("caberá ao contratado optar").</w:t>
            </w:r>
          </w:p>
          <w:p>
            <w:pPr>
              <w:spacing w:after="40" w:before="40" w:line="260" w:lineRule="exact"/>
              <w:jc w:val="both"/>
            </w:pPr>
            <w:r>
              <w:rPr>
                <w:rFonts w:ascii="Times New Roman" w:hAnsi="Times New Roman"/>
                <w:sz w:val="16"/>
              </w:rPr>
              <w:t>- MARIA SYLVIA ZANELLA DI PIETRO, *Direito Administrativo*, 12.ª ed., Atlas, p. 195-196 ("A escolha da modalidade de garantia cabe ao contratado").</w:t>
            </w:r>
          </w:p>
          <w:p>
            <w:pPr>
              <w:spacing w:after="40" w:before="40" w:line="260" w:lineRule="exact"/>
              <w:jc w:val="both"/>
            </w:pPr>
            <w:r>
              <w:rPr>
                <w:rFonts w:ascii="Times New Roman" w:hAnsi="Times New Roman"/>
                <w:sz w:val="16"/>
              </w:rPr>
              <w:t>- MARCELO ALEXANDRINO; VICENTE PAULO, *Direito Administrativo Descomplicado*, 25.ª ed., Método, 2017, p. 662-663 ("a lei prevê [as] modalidades de garantia, ficando a critério do contratado optar por uma delas").</w:t>
            </w:r>
          </w:p>
        </w:tc>
        <w:tc>
          <w:tcPr>
            <w:tcW w:type="dxa" w:w="2163"/>
            <w:shd w:fill="F2F2F2" w:val="clear"/>
          </w:tcPr>
          <w:p>
            <w:pPr>
              <w:spacing w:after="40" w:before="40" w:line="260" w:lineRule="exact"/>
              <w:jc w:val="center"/>
            </w:pPr>
            <w:r/>
            <w:r>
              <w:rPr>
                <w:rFonts w:ascii="Times New Roman" w:hAnsi="Times New Roman"/>
                <w:b w:val="0"/>
                <w:sz w:val="18"/>
              </w:rPr>
              <w:t>Sim</w:t>
            </w:r>
          </w:p>
        </w:tc>
        <w:tc>
          <w:tcPr>
            <w:tcW w:type="dxa" w:w="2163"/>
            <w:shd w:fill="F2F2F2" w:val="clear"/>
          </w:tcPr>
          <w:p>
            <w:pPr>
              <w:spacing w:after="40" w:before="40" w:line="260" w:lineRule="exact"/>
              <w:jc w:val="center"/>
            </w:pPr>
            <w:r/>
            <w:r>
              <w:rPr>
                <w:rFonts w:ascii="Times New Roman" w:hAnsi="Times New Roman"/>
                <w:b w:val="0"/>
                <w:sz w:val="18"/>
              </w:rPr>
              <w:t>IMPUGNACAO</w:t>
              <w:br/>
              <w:t>(Administração)</w:t>
            </w:r>
          </w:p>
        </w:tc>
      </w:tr>
      <w:tr>
        <w:tc>
          <w:tcPr>
            <w:tcW w:type="dxa" w:w="2163"/>
          </w:tcPr>
          <w:p>
            <w:pPr>
              <w:spacing w:after="40" w:before="40" w:line="260" w:lineRule="exact"/>
              <w:jc w:val="center"/>
            </w:pPr>
            <w:r/>
            <w:r>
              <w:rPr>
                <w:rFonts w:ascii="Times New Roman" w:hAnsi="Times New Roman"/>
                <w:b w:val="0"/>
                <w:sz w:val="18"/>
              </w:rPr>
              <w:t>T11</w:t>
            </w:r>
          </w:p>
        </w:tc>
        <w:tc>
          <w:tcPr>
            <w:tcW w:type="dxa" w:w="2163"/>
          </w:tcPr>
          <w:p>
            <w:pPr>
              <w:spacing w:after="40" w:before="40" w:line="260" w:lineRule="exact"/>
            </w:pPr>
            <w:r/>
            <w:r>
              <w:rPr>
                <w:rFonts w:ascii="Times New Roman" w:hAnsi="Times New Roman"/>
                <w:b w:val="0"/>
                <w:sz w:val="18"/>
              </w:rPr>
              <w:t>Regulação e fiscalização</w:t>
            </w:r>
          </w:p>
        </w:tc>
        <w:tc>
          <w:tcPr>
            <w:tcW w:type="dxa" w:w="2163"/>
          </w:tcPr>
          <w:p>
            <w:pPr>
              <w:spacing w:after="40" w:before="40" w:line="260" w:lineRule="exact"/>
              <w:jc w:val="both"/>
            </w:pPr>
            <w:r/>
            <w:r>
              <w:rPr>
                <w:rFonts w:ascii="Times New Roman" w:hAnsi="Times New Roman"/>
                <w:sz w:val="18"/>
              </w:rPr>
              <w:t>Regime sancionatório</w:t>
            </w:r>
          </w:p>
        </w:tc>
        <w:tc>
          <w:tcPr>
            <w:tcW w:type="dxa" w:w="2163"/>
          </w:tcPr>
          <w:p>
            <w:pPr>
              <w:spacing w:after="40" w:before="40" w:line="260" w:lineRule="exact"/>
              <w:jc w:val="both"/>
            </w:pPr>
            <w:r/>
            <w:r>
              <w:rPr>
                <w:rFonts w:ascii="Times New Roman" w:hAnsi="Times New Roman"/>
                <w:sz w:val="16"/>
              </w:rPr>
            </w:r>
            <w:r>
              <w:rPr>
                <w:rFonts w:ascii="Times New Roman" w:hAnsi="Times New Roman"/>
                <w:b/>
                <w:sz w:val="16"/>
              </w:rPr>
              <w:t>Premissa normativa.</w:t>
            </w:r>
            <w:r>
              <w:rPr>
                <w:rFonts w:ascii="Times New Roman" w:hAnsi="Times New Roman"/>
                <w:sz w:val="16"/>
              </w:rPr>
              <w:t xml:space="preserve"> O poder sancionatório contratual da Administração é estritamente legal e processualizado: (i) as infrações são as tipificadas no art. 155 da Lei n.º 14.133/2021; (ii) a multa, "calculada </w:t>
            </w:r>
            <w:r>
              <w:rPr>
                <w:rFonts w:ascii="Times New Roman" w:hAnsi="Times New Roman"/>
                <w:b/>
                <w:sz w:val="16"/>
              </w:rPr>
              <w:t>na forma do edital ou do contrato</w:t>
            </w:r>
            <w:r>
              <w:rPr>
                <w:rFonts w:ascii="Times New Roman" w:hAnsi="Times New Roman"/>
                <w:sz w:val="16"/>
              </w:rPr>
              <w:t xml:space="preserve">", observa a moldura de 0,5% a 30% do valor do contrato licitado (art. 156, § 3.º) — a lei remete ao edital a definição da forma de cálculo, e o art. 92, inciso XIV, erige em </w:t>
            </w:r>
            <w:r>
              <w:rPr>
                <w:rFonts w:ascii="Times New Roman" w:hAnsi="Times New Roman"/>
                <w:b/>
                <w:sz w:val="16"/>
              </w:rPr>
              <w:t>cláusula necessária</w:t>
            </w:r>
            <w:r>
              <w:rPr>
                <w:rFonts w:ascii="Times New Roman" w:hAnsi="Times New Roman"/>
                <w:sz w:val="16"/>
              </w:rPr>
              <w:t xml:space="preserve"> "as penalidades cabíveis e </w:t>
            </w:r>
            <w:r>
              <w:rPr>
                <w:rFonts w:ascii="Times New Roman" w:hAnsi="Times New Roman"/>
                <w:b/>
                <w:sz w:val="16"/>
              </w:rPr>
              <w:t>os valores das multas e suas bases de cálculo</w:t>
            </w:r>
            <w:r>
              <w:rPr>
                <w:rFonts w:ascii="Times New Roman" w:hAnsi="Times New Roman"/>
                <w:sz w:val="16"/>
              </w:rPr>
              <w:t xml:space="preserve">"; (iii) a dosimetria observa os critérios do art. 156, § 1.º; (iv) a aplicação de multa exige defesa prévia em 15 dias úteis (art. 157) e as sanções de impedimento e inidoneidade exigem processo de responsabilização conduzido por comissão (art. 158), tudo sob o pálio do devido processo legal, contraditório e ampla defesa (art. 5.º, incisos LIV e LV, da CF/1988); (v) a cumulação admitida pela lei é a das sanções dos incisos I, III e IV do art. 156 </w:t>
            </w:r>
            <w:r>
              <w:rPr>
                <w:rFonts w:ascii="Times New Roman" w:hAnsi="Times New Roman"/>
                <w:b/>
                <w:sz w:val="16"/>
              </w:rPr>
              <w:t>com</w:t>
            </w:r>
            <w:r>
              <w:rPr>
                <w:rFonts w:ascii="Times New Roman" w:hAnsi="Times New Roman"/>
                <w:sz w:val="16"/>
              </w:rPr>
              <w:t xml:space="preserve"> a multa (art. 156, § 7.º) — não a de duas sanções pecuniárias pelo mesmo fato; (vi) a perda de garantia de proposta pressupõe que a garantia tenha sido exigida no edital, recolhida "no momento da apresentação da proposta, como requisito de pré-habilitação" (art. 58, caput e § 3.º). Distinta da sanção é a </w:t>
            </w:r>
            <w:r>
              <w:rPr>
                <w:rFonts w:ascii="Times New Roman" w:hAnsi="Times New Roman"/>
                <w:b/>
                <w:sz w:val="16"/>
              </w:rPr>
              <w:t>glosa</w:t>
            </w:r>
            <w:r>
              <w:rPr>
                <w:rFonts w:ascii="Times New Roman" w:hAnsi="Times New Roman"/>
                <w:sz w:val="16"/>
              </w:rPr>
              <w:t>: ajuste do pagamento à parcela do serviço efetivamente não executada, que não pune, mas apenas impede o pagamento sem causa — e que por isso deve guardar correlação estrita com a inexecução constatada.</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Fato editalício.</w:t>
            </w:r>
            <w:r>
              <w:rPr>
                <w:rFonts w:ascii="Times New Roman" w:hAnsi="Times New Roman"/>
                <w:sz w:val="16"/>
              </w:rPr>
              <w:t xml:space="preserve"> O regime sancionatório do PE 30/2026 apresenta, em seis planos, desvios dessas premissas:</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xml:space="preserve">1. </w:t>
            </w:r>
            <w:r>
              <w:rPr>
                <w:rFonts w:ascii="Times New Roman" w:hAnsi="Times New Roman"/>
                <w:b/>
                <w:sz w:val="16"/>
              </w:rPr>
              <w:t>Sanções divergentes para a mesma infração — recusa de assinar o contrato</w:t>
            </w:r>
            <w:r>
              <w:rPr>
                <w:rFonts w:ascii="Times New Roman" w:hAnsi="Times New Roman"/>
                <w:sz w:val="16"/>
              </w:rPr>
              <w:t xml:space="preserve"> (C-222, C-243). O edital comina, para as infrações dos itens 22.1.1 a 22.1.3 (que incluem a não celebração do contrato), multa "de 0,5% a 15% </w:t>
            </w:r>
            <w:r>
              <w:rPr>
                <w:rFonts w:ascii="Times New Roman" w:hAnsi="Times New Roman"/>
                <w:b/>
                <w:sz w:val="16"/>
              </w:rPr>
              <w:t>do valor do contrato licitado</w:t>
            </w:r>
            <w:r>
              <w:rPr>
                <w:rFonts w:ascii="Times New Roman" w:hAnsi="Times New Roman"/>
                <w:sz w:val="16"/>
              </w:rPr>
              <w:t xml:space="preserve">" (item 22.4.1, dentro da moldura geral de 0,5% a 30% do item 22.4); o TR, para a mesma conduta, comina *"multa de 0,5% a 15% </w:t>
            </w:r>
            <w:r>
              <w:rPr>
                <w:rFonts w:ascii="Times New Roman" w:hAnsi="Times New Roman"/>
                <w:b/>
                <w:sz w:val="16"/>
              </w:rPr>
              <w:t>sobre o valor da proposta</w:t>
            </w:r>
            <w:r>
              <w:rPr>
                <w:rFonts w:ascii="Times New Roman" w:hAnsi="Times New Roman"/>
                <w:sz w:val="16"/>
              </w:rPr>
              <w:t xml:space="preserve">, além de outras sanções cabíveis"* (item 14.2.2). Bases de cálculo distintas ("valor do contrato licitado" — que, neste certame, soma itens mutuamente excludentes — vs. "valor da proposta") para a mesma infração, sem regra de prevalência. A exigência do art. 156, § 3.º — multa "calculada na forma do edital" — pressupõe </w:t>
            </w:r>
            <w:r>
              <w:rPr>
                <w:rFonts w:ascii="Times New Roman" w:hAnsi="Times New Roman"/>
                <w:b/>
                <w:sz w:val="16"/>
              </w:rPr>
              <w:t>uma</w:t>
            </w:r>
            <w:r>
              <w:rPr>
                <w:rFonts w:ascii="Times New Roman" w:hAnsi="Times New Roman"/>
                <w:sz w:val="16"/>
              </w:rPr>
              <w:t xml:space="preserve"> forma; havendo duas, a forma não está definida. Nenhum dos dois dispositivos traz critério de gradação dentro da faixa (C-243).</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xml:space="preserve">2. </w:t>
            </w:r>
            <w:r>
              <w:rPr>
                <w:rFonts w:ascii="Times New Roman" w:hAnsi="Times New Roman"/>
                <w:b/>
                <w:sz w:val="16"/>
              </w:rPr>
              <w:t>Perda de "garantia de proposta" inexistente</w:t>
            </w:r>
            <w:r>
              <w:rPr>
                <w:rFonts w:ascii="Times New Roman" w:hAnsi="Times New Roman"/>
                <w:sz w:val="16"/>
              </w:rPr>
              <w:t xml:space="preserve"> (C-173). O item 22.9 comina, à recusa injustificada de assinar, *"a imediata perda da garantia de proposta em favor do órgão ou entidade promotora da licitação, nos termos do art. 43, §4º do Decreto Municipal nº 2.708, de 15/02/2024"*. O certame, porém, </w:t>
            </w:r>
            <w:r>
              <w:rPr>
                <w:rFonts w:ascii="Times New Roman" w:hAnsi="Times New Roman"/>
                <w:b/>
                <w:sz w:val="16"/>
              </w:rPr>
              <w:t>não exigiu</w:t>
            </w:r>
            <w:r>
              <w:rPr>
                <w:rFonts w:ascii="Times New Roman" w:hAnsi="Times New Roman"/>
                <w:sz w:val="16"/>
              </w:rPr>
              <w:t xml:space="preserve"> garantia de proposta — que, nos termos do art. 58, caput, da Lei n.º 14.133/2021, depende de previsão editalícia expressa e recolhimento no momento da apresentação das propostas, como requisito de pré-habilitação. A cominação é inexequível (não há o que perder) e revela transposição acrítica de modelo, com remissão a decreto municipal cujo conteúdo não foi divulgado no certame (referência cruzada: T18, C-283).</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xml:space="preserve">3. </w:t>
            </w:r>
            <w:r>
              <w:rPr>
                <w:rFonts w:ascii="Times New Roman" w:hAnsi="Times New Roman"/>
                <w:b/>
                <w:sz w:val="16"/>
              </w:rPr>
              <w:t>Anexo KPI: multas sem valor, sem base, sem unidade e sem processo, aplicadas por "retenção direta"</w:t>
            </w:r>
            <w:r>
              <w:rPr>
                <w:rFonts w:ascii="Times New Roman" w:hAnsi="Times New Roman"/>
                <w:sz w:val="16"/>
              </w:rPr>
              <w:t xml:space="preserve"> (C-225, C-226, C-227, C-229, C-230). O TR 7.13/cláusula 4.7 da minuta declaram que a avaliação da execução utilizará o anexo "Indicadores Chave de Desempenho (KPI)", e a cláusula 9.9.h da minuta dispõe que o Relatório de Desempenho (KPI) *"é documento obrigatório e vinculante para a aprovação da medição quinzenal, permitindo a </w:t>
            </w:r>
            <w:r>
              <w:rPr>
                <w:rFonts w:ascii="Times New Roman" w:hAnsi="Times New Roman"/>
                <w:b/>
                <w:sz w:val="16"/>
              </w:rPr>
              <w:t>retenção direta de valores</w:t>
            </w:r>
            <w:r>
              <w:rPr>
                <w:rFonts w:ascii="Times New Roman" w:hAnsi="Times New Roman"/>
                <w:sz w:val="16"/>
              </w:rPr>
              <w:t xml:space="preserve"> em caso de descumprimento dos índices"*. No anexo KPI: (i) quatro penalidades </w:t>
            </w:r>
            <w:r>
              <w:rPr>
                <w:rFonts w:ascii="Times New Roman" w:hAnsi="Times New Roman"/>
                <w:b/>
                <w:sz w:val="16"/>
              </w:rPr>
              <w:t>sem valor ou percentual algum</w:t>
            </w:r>
            <w:r>
              <w:rPr>
                <w:rFonts w:ascii="Times New Roman" w:hAnsi="Times New Roman"/>
                <w:sz w:val="16"/>
              </w:rPr>
              <w:t xml:space="preserve"> — *"multa diária por veículo faltante"*, *"multa fixa por unidade/dia de atraso"*, *"multa por funcionário flagrado sem EPI"*, *"multa por hora de atraso"* (chorume) (C-226); (ii) bases de cálculo indefinidas — *"glosa de 0,1% por dia"* sem indicar sobre qual grandeza incide; multas sobre "valor mensal" sem definir se é o faturamento efetivo (variável, por tonelada) ou o valor mensal estimado (C-227); (iii) *"multa de 1% sobre o valor total do contrato"* (base de 60 meses?) *"por atraso na instalação da base operacional"*, sem unidade temporal de incidência — por dia? por evento? (C-229); (iv) *"sanção grave se houver dano ambiental comprovado"*, sem tipificar qual das sanções do art. 156 (C-230). Nenhuma linha do anexo prevê processo, defesa prévia ou intimação: o veículo de aplicação é a retenção direta na medição — confusão entre ajuste de pagamento e sanção, com supressão do rito dos arts. 156 a 158 e do art. 5.º, LV, da CF/1988. A ausência de "valores das multas e suas bases de cálculo" viola frontalmente o art. 92, inciso XIV, e impede o licitante de precificar o risco sancionatório.</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xml:space="preserve">4. </w:t>
            </w:r>
            <w:r>
              <w:rPr>
                <w:rFonts w:ascii="Times New Roman" w:hAnsi="Times New Roman"/>
                <w:b/>
                <w:sz w:val="16"/>
              </w:rPr>
              <w:t>Glosa automática por GPS offline sem correlação com inexecução</w:t>
            </w:r>
            <w:r>
              <w:rPr>
                <w:rFonts w:ascii="Times New Roman" w:hAnsi="Times New Roman"/>
                <w:sz w:val="16"/>
              </w:rPr>
              <w:t xml:space="preserve"> (C-228). A linha "Rastreamento GPS" do anexo comina *"glosa de 0,1% por dia em que o sinal de GPS do veículo em rota estiver offline"* — independentemente de a rota ter sido executada (comprovável por tickets de pesagem, relatórios diários e fiscalização) e da causa da falha (sombra de sinal, indisponibilidade da operadora, caso fortuito). Se a rota foi executada, o desconto não corresponde a serviço não prestado — deixa de ser glosa e passa a ser sanção pecuniária sem tipo legal, sem processo e sem juízo de culpabilidade (art. 156, § 1.º); se pretende ser multa, faltam-lhe base de cálculo definida (0,1% de quê?) e rito.</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xml:space="preserve">5. </w:t>
            </w:r>
            <w:r>
              <w:rPr>
                <w:rFonts w:ascii="Times New Roman" w:hAnsi="Times New Roman"/>
                <w:b/>
                <w:sz w:val="16"/>
              </w:rPr>
              <w:t>Faixa única de 0,5% a 30% na minuta, sem dosimetria, sobre base inflada</w:t>
            </w:r>
            <w:r>
              <w:rPr>
                <w:rFonts w:ascii="Times New Roman" w:hAnsi="Times New Roman"/>
                <w:sz w:val="16"/>
              </w:rPr>
              <w:t xml:space="preserve"> (C-233, C-234). A cláusula 14.2.iv da minuta dispõe apenas: *"A multa será recolhida em percentual de 0,5% a 30% incidente sobre o valor do contrato licitado"* — reprodução da moldura legal (art. 156, § 3.º) </w:t>
            </w:r>
            <w:r>
              <w:rPr>
                <w:rFonts w:ascii="Times New Roman" w:hAnsi="Times New Roman"/>
                <w:b/>
                <w:sz w:val="16"/>
              </w:rPr>
              <w:t>sem</w:t>
            </w:r>
            <w:r>
              <w:rPr>
                <w:rFonts w:ascii="Times New Roman" w:hAnsi="Times New Roman"/>
                <w:sz w:val="16"/>
              </w:rPr>
              <w:t xml:space="preserve"> a gradação por tipo de infração que o próprio edital contém (22.4.1: 0,5-15% para as infrações menos graves; 22.4.2: 15-30% para as mais graves), sem distinção entre multa moratória e compensatória e sem parâmetros objetivos que reduzam a amplitude de 60 vezes confiada ao aplicador — contradição interna adicional entre edital e minuta. A base "valor do contrato licitado", por sua vez, é composta pela soma dos itens 1 + 2 + 3 + 4 (cláusula 3.2), da qual a nota do item 3.5 diz expressamente que *"a Contratada não fará jus ao recebimento da soma integral de todos os itens simultaneamente"*, por serem os itens 2 e 3 *"mutuamente excludentes e sucessivos"*: a multa potencial incide sobre grandeza que inclui ~R$ 2 mi/ano jamais executáveis cumulativamente. O próprio edital, ao disciplinar a </w:t>
            </w:r>
            <w:r>
              <w:rPr>
                <w:rFonts w:ascii="Times New Roman" w:hAnsi="Times New Roman"/>
                <w:b/>
                <w:sz w:val="16"/>
              </w:rPr>
              <w:t>garantia</w:t>
            </w:r>
            <w:r>
              <w:rPr>
                <w:rFonts w:ascii="Times New Roman" w:hAnsi="Times New Roman"/>
                <w:sz w:val="16"/>
              </w:rPr>
              <w:t>, adotou como base o *"valor máximo efetivamente executável, ou seja, o resultado da soma dos itens 1, 3 e 4"* (item 20.2.d; TR 4.8) — coerência que falta à cláusula de multa (referência cruzada: T1).</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xml:space="preserve">6. </w:t>
            </w:r>
            <w:r>
              <w:rPr>
                <w:rFonts w:ascii="Times New Roman" w:hAnsi="Times New Roman"/>
                <w:b/>
                <w:sz w:val="16"/>
              </w:rPr>
              <w:t>Bis in idem potencial e tipos estranhos ao objeto</w:t>
            </w:r>
            <w:r>
              <w:rPr>
                <w:rFonts w:ascii="Times New Roman" w:hAnsi="Times New Roman"/>
                <w:sz w:val="16"/>
              </w:rPr>
              <w:t xml:space="preserve"> (C-241, C-223, C-093, C-221). A cláusula 4.7.1 da minuta (e o TR 7.13.1) prevê *"retenção ou glosa no pagamento, proporcional à irregularidade verificada, </w:t>
            </w:r>
            <w:r>
              <w:rPr>
                <w:rFonts w:ascii="Times New Roman" w:hAnsi="Times New Roman"/>
                <w:b/>
                <w:sz w:val="16"/>
              </w:rPr>
              <w:t>sem prejuízo das sanções cabíveis</w:t>
            </w:r>
            <w:r>
              <w:rPr>
                <w:rFonts w:ascii="Times New Roman" w:hAnsi="Times New Roman"/>
                <w:sz w:val="16"/>
              </w:rPr>
              <w:t xml:space="preserve">"*; o anexo KPI comina multas próprias; e a cláusula 14 comina a multa geral de 0,5-30%. Sem regra de articulação, um mesmo fato (v.g., atraso de rota) pode gerar glosa + multa KPI + multa da cláusula 14 — três incidências pecuniárias sobre o mesmo fato, quando o art. 156, § 7.º, autoriza cumular com a multa apenas as sanções </w:t>
            </w:r>
            <w:r>
              <w:rPr>
                <w:rFonts w:ascii="Times New Roman" w:hAnsi="Times New Roman"/>
                <w:b/>
                <w:sz w:val="16"/>
              </w:rPr>
              <w:t>não pecuniárias</w:t>
            </w:r>
            <w:r>
              <w:rPr>
                <w:rFonts w:ascii="Times New Roman" w:hAnsi="Times New Roman"/>
                <w:sz w:val="16"/>
              </w:rPr>
              <w:t>. Completam o quadro: tipos infracionais de *"amostra"* (itens 22.1.2.4, 22.1.2.5 e 22.1.6.3) em certame de serviços que não prevê amostra (C-223); exigência de *"indicação da marca do produto cotado (...) sob pena de desclassificação"* (item 9.1.2.2) em contradição com o TR 4.2/4.3 (que veda indicação de marca) e com a resposta à 6.ª impugnação, que declarou a exigência *"inaplicável ao presente objeto"* e prometeu harmonização não incorporada ao edital reaberto (C-093 — referência cruzada</w:t>
            </w:r>
          </w:p>
          <w:p>
            <w:pPr>
              <w:spacing w:after="40" w:before="40" w:line="260" w:lineRule="exact"/>
              <w:jc w:val="both"/>
            </w:pPr>
            <w:r>
              <w:rPr>
                <w:rFonts w:ascii="Times New Roman" w:hAnsi="Times New Roman"/>
                <w:sz w:val="16"/>
              </w:rPr>
              <w:t>[...texto completo no arquivo AN_bloco correspondente]</w:t>
            </w:r>
          </w:p>
        </w:tc>
        <w:tc>
          <w:tcPr>
            <w:tcW w:type="dxa" w:w="2163"/>
          </w:tcPr>
          <w:p>
            <w:pPr>
              <w:spacing w:after="40" w:before="40" w:line="260" w:lineRule="exact"/>
              <w:jc w:val="both"/>
            </w:pPr>
            <w:r/>
            <w:r>
              <w:rPr>
                <w:rFonts w:ascii="Times New Roman" w:hAnsi="Times New Roman"/>
                <w:sz w:val="16"/>
              </w:rPr>
              <w:t>- art. 92, inciso XIV, da Lei n.º 14.133/2021 (cláusula necessária: penalidades, valores das multas e suas bases de cálculo) — redação vigente confirmada</w:t>
            </w:r>
          </w:p>
          <w:p>
            <w:pPr>
              <w:spacing w:after="40" w:before="40" w:line="260" w:lineRule="exact"/>
              <w:jc w:val="both"/>
            </w:pPr>
            <w:r>
              <w:rPr>
                <w:rFonts w:ascii="Times New Roman" w:hAnsi="Times New Roman"/>
                <w:sz w:val="16"/>
              </w:rPr>
              <w:t>- art. 155, caput e incisos, da Lei n.º 14.133/2021 (tipicidade das infrações) — redação vigente confirmada</w:t>
            </w:r>
          </w:p>
          <w:p>
            <w:pPr>
              <w:spacing w:after="40" w:before="40" w:line="260" w:lineRule="exact"/>
              <w:jc w:val="both"/>
            </w:pPr>
            <w:r>
              <w:rPr>
                <w:rFonts w:ascii="Times New Roman" w:hAnsi="Times New Roman"/>
                <w:sz w:val="16"/>
              </w:rPr>
              <w:t>- art. 156, caput e §§ 1.º, 3.º, 5.º e 7.º, da Lei n.º 14.133/2021 (rol de sanções; dosimetria; moldura e forma de cálculo da multa; inidoneidade; regime de cumulação) — redação vigente confirmada</w:t>
            </w:r>
          </w:p>
          <w:p>
            <w:pPr>
              <w:spacing w:after="40" w:before="40" w:line="260" w:lineRule="exact"/>
              <w:jc w:val="both"/>
            </w:pPr>
            <w:r>
              <w:rPr>
                <w:rFonts w:ascii="Times New Roman" w:hAnsi="Times New Roman"/>
                <w:sz w:val="16"/>
              </w:rPr>
              <w:t>- art. 157 da Lei n.º 14.133/2021 (defesa prévia de 15 dias úteis na aplicação de multa) — redação vigente confirmada</w:t>
            </w:r>
          </w:p>
          <w:p>
            <w:pPr>
              <w:spacing w:after="40" w:before="40" w:line="260" w:lineRule="exact"/>
              <w:jc w:val="both"/>
            </w:pPr>
            <w:r>
              <w:rPr>
                <w:rFonts w:ascii="Times New Roman" w:hAnsi="Times New Roman"/>
                <w:sz w:val="16"/>
              </w:rPr>
              <w:t>- art. 158, caput, da Lei n.º 14.133/2021 (processo de responsabilização por comissão para impedimento e inidoneidade) — redação vigente confirmada</w:t>
            </w:r>
          </w:p>
          <w:p>
            <w:pPr>
              <w:spacing w:after="40" w:before="40" w:line="260" w:lineRule="exact"/>
              <w:jc w:val="both"/>
            </w:pPr>
            <w:r>
              <w:rPr>
                <w:rFonts w:ascii="Times New Roman" w:hAnsi="Times New Roman"/>
                <w:sz w:val="16"/>
              </w:rPr>
              <w:t>- art. 58, caput e § 3.º, da Lei n.º 14.133/2021 (garantia de proposta: previsão editalícia, momento e execução) — redação vigente confirmada</w:t>
            </w:r>
          </w:p>
          <w:p>
            <w:pPr>
              <w:spacing w:after="40" w:before="40" w:line="260" w:lineRule="exact"/>
              <w:jc w:val="both"/>
            </w:pPr>
            <w:r>
              <w:rPr>
                <w:rFonts w:ascii="Times New Roman" w:hAnsi="Times New Roman"/>
                <w:sz w:val="16"/>
              </w:rPr>
              <w:t>- art. 25, caput, da Lei n.º 14.133/2021 (vinculação ao edital)</w:t>
            </w:r>
          </w:p>
          <w:p>
            <w:pPr>
              <w:spacing w:after="40" w:before="40" w:line="260" w:lineRule="exact"/>
              <w:jc w:val="both"/>
            </w:pPr>
            <w:r>
              <w:rPr>
                <w:rFonts w:ascii="Times New Roman" w:hAnsi="Times New Roman"/>
                <w:sz w:val="16"/>
              </w:rPr>
              <w:t>- art. 5.º, incisos LIV e LV, da CF/1988 (devido processo legal, contraditório e ampla defesa)</w:t>
            </w:r>
          </w:p>
          <w:p>
            <w:pPr>
              <w:spacing w:after="40" w:before="40" w:line="260" w:lineRule="exact"/>
              <w:jc w:val="both"/>
            </w:pPr>
            <w:r>
              <w:rPr>
                <w:rFonts w:ascii="Times New Roman" w:hAnsi="Times New Roman"/>
                <w:sz w:val="16"/>
              </w:rPr>
              <w:t>- Jurisprudência (busca Jus IA):</w:t>
            </w:r>
          </w:p>
          <w:p>
            <w:pPr>
              <w:spacing w:after="40" w:before="40" w:line="260" w:lineRule="exact"/>
              <w:jc w:val="both"/>
            </w:pPr>
            <w:r>
              <w:rPr>
                <w:rFonts w:ascii="Times New Roman" w:hAnsi="Times New Roman"/>
                <w:sz w:val="16"/>
              </w:rPr>
              <w:t xml:space="preserve">  - TJPR, Processo n.º 0118287-61.2024.8.16.0000, Rel. Leonel Cunha, 5.ª Câmara Cível, publ. 31/03/2025 `</w:t>
            </w:r>
            <w:r>
              <w:rPr>
                <w:rFonts w:ascii="Times New Roman" w:hAnsi="Times New Roman"/>
                <w:b/>
                <w:color w:val="CC0000"/>
                <w:sz w:val="16"/>
              </w:rPr>
              <w:t>[VIT]</w:t>
            </w:r>
            <w:r>
              <w:rPr>
                <w:rFonts w:ascii="Times New Roman" w:hAnsi="Times New Roman"/>
                <w:sz w:val="16"/>
              </w:rPr>
              <w:t>` — gravame contratual imposto pela Administração (descredenciamento/rescisão) exige prévia instauração de processo administrativo motivado, com contraditório e ampla defesa (art. 5.º, LV, CF), não convalidável por justificativa posterior.</w:t>
            </w:r>
          </w:p>
          <w:p>
            <w:pPr>
              <w:spacing w:after="40" w:before="40" w:line="260" w:lineRule="exact"/>
              <w:jc w:val="both"/>
            </w:pPr>
            <w:r>
              <w:rPr>
                <w:rFonts w:ascii="Times New Roman" w:hAnsi="Times New Roman"/>
                <w:sz w:val="16"/>
              </w:rPr>
              <w:t xml:space="preserve">  - TJPR, Processo n.º 0000753-11.2024.8.16.0190, Rel. Haroldo Demarchi Mendes, 6.ª Turma Recursal, publ. 06/04/2025 `</w:t>
            </w:r>
            <w:r>
              <w:rPr>
                <w:rFonts w:ascii="Times New Roman" w:hAnsi="Times New Roman"/>
                <w:b/>
                <w:color w:val="CC0000"/>
                <w:sz w:val="16"/>
              </w:rPr>
              <w:t>[VIT]</w:t>
            </w:r>
            <w:r>
              <w:rPr>
                <w:rFonts w:ascii="Times New Roman" w:hAnsi="Times New Roman"/>
                <w:sz w:val="16"/>
              </w:rPr>
              <w:t xml:space="preserve">` — multa administrativa em licitação mantida </w:t>
            </w:r>
            <w:r>
              <w:rPr>
                <w:rFonts w:ascii="Times New Roman" w:hAnsi="Times New Roman"/>
                <w:b/>
                <w:sz w:val="16"/>
              </w:rPr>
              <w:t>porque</w:t>
            </w:r>
            <w:r>
              <w:rPr>
                <w:rFonts w:ascii="Times New Roman" w:hAnsi="Times New Roman"/>
                <w:sz w:val="16"/>
              </w:rPr>
              <w:t xml:space="preserve"> observados devido processo legal, contraditório e ampla defesa; a contrario sensu, a sanção aplicada sem processo não subsiste.</w:t>
            </w:r>
          </w:p>
          <w:p>
            <w:pPr>
              <w:spacing w:after="40" w:before="40" w:line="260" w:lineRule="exact"/>
              <w:jc w:val="both"/>
            </w:pPr>
            <w:r>
              <w:rPr>
                <w:rFonts w:ascii="Times New Roman" w:hAnsi="Times New Roman"/>
                <w:sz w:val="16"/>
              </w:rPr>
              <w:t xml:space="preserve">  - Sobre bis in idem especificamente em sanções contratuais administrativas e sobre nulidade de cláusula editalícia de multa sem dosimetria, </w:t>
            </w:r>
            <w:r>
              <w:rPr>
                <w:rFonts w:ascii="Times New Roman" w:hAnsi="Times New Roman"/>
                <w:b/>
                <w:sz w:val="16"/>
              </w:rPr>
              <w:t>não localizei precedente judicial específico na base consultada</w:t>
            </w:r>
            <w:r>
              <w:rPr>
                <w:rFonts w:ascii="Times New Roman" w:hAnsi="Times New Roman"/>
                <w:sz w:val="16"/>
              </w:rPr>
              <w:t xml:space="preserve"> — a tese permanece ancorada nos dispositivos legais acima.</w:t>
            </w:r>
          </w:p>
          <w:p>
            <w:pPr>
              <w:spacing w:after="40" w:before="40" w:line="260" w:lineRule="exact"/>
              <w:jc w:val="both"/>
            </w:pPr>
            <w:r>
              <w:rPr>
                <w:rFonts w:ascii="Times New Roman" w:hAnsi="Times New Roman"/>
                <w:sz w:val="16"/>
              </w:rPr>
              <w:t xml:space="preserve">  - `[PENDENTE: busca TCU/TCE via Lei na Mão antes do protocolo — teses: (i) multa/glosa por indicador de desempenho sem processo; (ii) cláusulas de multa sem valores e bases (art. 92, XIV); (iii) sanções divergentes entre edital e TR; (iv) bis in idem glosa + multa]`</w:t>
            </w:r>
          </w:p>
          <w:p>
            <w:pPr>
              <w:spacing w:after="40" w:before="40" w:line="260" w:lineRule="exact"/>
              <w:jc w:val="both"/>
            </w:pPr>
            <w:r>
              <w:rPr>
                <w:rFonts w:ascii="Times New Roman" w:hAnsi="Times New Roman"/>
                <w:sz w:val="16"/>
              </w:rPr>
              <w:t xml:space="preserve">Doutrina: - MARCELO ALEXANDRINO; VICENTE PAULO, *Direito Administrativo Descomplicado*, 25.ª ed., Método, 2017, p. 654-655: a Administração "tem o poder-dever de aplicar ao contratado sanções administrativas na lei previstas, </w:t>
            </w:r>
            <w:r>
              <w:rPr>
                <w:rFonts w:ascii="Times New Roman" w:hAnsi="Times New Roman"/>
                <w:b/>
                <w:sz w:val="16"/>
              </w:rPr>
              <w:t>desde que lhe assegure o exercício do contraditório e da ampla defesa prévios, no âmbito de um processo administrativo regularmente instaurado</w:t>
            </w:r>
            <w:r>
              <w:rPr>
                <w:rFonts w:ascii="Times New Roman" w:hAnsi="Times New Roman"/>
                <w:sz w:val="16"/>
              </w:rPr>
              <w:t>" (formulação sob a Lei n.º 8.666/1993; o regime dos arts. 155-158 da Lei n.º 14.133/2021 reforçou a processualização).</w:t>
            </w:r>
          </w:p>
          <w:p>
            <w:pPr>
              <w:spacing w:after="40" w:before="40" w:line="260" w:lineRule="exact"/>
              <w:jc w:val="both"/>
            </w:pPr>
            <w:r>
              <w:rPr>
                <w:rFonts w:ascii="Times New Roman" w:hAnsi="Times New Roman"/>
                <w:sz w:val="16"/>
              </w:rPr>
              <w:t>— Jurisprudência TCU/TCE (Lei na Mão) —</w:t>
            </w:r>
          </w:p>
          <w:p>
            <w:pPr>
              <w:spacing w:after="40" w:before="40" w:line="260" w:lineRule="exact"/>
              <w:jc w:val="both"/>
            </w:pPr>
            <w:r>
              <w:rPr>
                <w:rFonts w:ascii="Times New Roman" w:hAnsi="Times New Roman"/>
                <w:sz w:val="16"/>
              </w:rPr>
              <w:t xml:space="preserve">• Acórdão 1836/2011-TCU-Primeira Câmara, Rel. Ubiratan Aguiar, sessão de 29/03/2011 </w:t>
            </w:r>
            <w:r>
              <w:rPr>
                <w:rFonts w:ascii="Times New Roman" w:hAnsi="Times New Roman"/>
                <w:b/>
                <w:color w:val="CC0000"/>
                <w:sz w:val="16"/>
              </w:rPr>
              <w:t>[VIT]</w:t>
            </w:r>
            <w:r>
              <w:rPr>
                <w:rFonts w:ascii="Times New Roman" w:hAnsi="Times New Roman"/>
                <w:sz w:val="16"/>
              </w:rPr>
            </w:r>
          </w:p>
          <w:p>
            <w:pPr>
              <w:spacing w:after="40" w:before="40" w:line="260" w:lineRule="exact"/>
              <w:jc w:val="both"/>
            </w:pPr>
            <w:r>
              <w:rPr>
                <w:rFonts w:ascii="Times New Roman" w:hAnsi="Times New Roman"/>
                <w:sz w:val="16"/>
              </w:rPr>
              <w:t xml:space="preserve">• Acórdão 881/2024-TCU-Plenário, Rel. Aroldo Cedraz, sessão de 08/05/2024 </w:t>
            </w:r>
            <w:r>
              <w:rPr>
                <w:rFonts w:ascii="Times New Roman" w:hAnsi="Times New Roman"/>
                <w:b/>
                <w:color w:val="CC0000"/>
                <w:sz w:val="16"/>
              </w:rPr>
              <w:t>[VIT]</w:t>
            </w:r>
            <w:r>
              <w:rPr>
                <w:rFonts w:ascii="Times New Roman" w:hAnsi="Times New Roman"/>
                <w:sz w:val="16"/>
              </w:rPr>
            </w:r>
          </w:p>
          <w:p>
            <w:pPr>
              <w:spacing w:after="40" w:before="40" w:line="260" w:lineRule="exact"/>
              <w:jc w:val="both"/>
            </w:pPr>
            <w:r>
              <w:rPr>
                <w:rFonts w:ascii="Times New Roman" w:hAnsi="Times New Roman"/>
                <w:sz w:val="16"/>
              </w:rPr>
              <w:t xml:space="preserve">• Acórdão 311/2026-TCU-Primeira Câmara, Rel. Jhonatan de Jesus, sessão de 27/01/2026 </w:t>
            </w:r>
            <w:r>
              <w:rPr>
                <w:rFonts w:ascii="Times New Roman" w:hAnsi="Times New Roman"/>
                <w:b/>
                <w:color w:val="CC0000"/>
                <w:sz w:val="16"/>
              </w:rPr>
              <w:t>[VIT]</w:t>
            </w:r>
            <w:r>
              <w:rPr>
                <w:rFonts w:ascii="Times New Roman" w:hAnsi="Times New Roman"/>
                <w:sz w:val="16"/>
              </w:rPr>
            </w:r>
          </w:p>
        </w:tc>
        <w:tc>
          <w:tcPr>
            <w:tcW w:type="dxa" w:w="2163"/>
          </w:tcPr>
          <w:p>
            <w:pPr>
              <w:spacing w:after="40" w:before="40" w:line="260" w:lineRule="exact"/>
              <w:jc w:val="center"/>
            </w:pPr>
            <w:r/>
            <w:r>
              <w:rPr>
                <w:rFonts w:ascii="Times New Roman" w:hAnsi="Times New Roman"/>
                <w:b w:val="0"/>
                <w:sz w:val="18"/>
              </w:rPr>
              <w:t>Sim</w:t>
            </w:r>
          </w:p>
        </w:tc>
        <w:tc>
          <w:tcPr>
            <w:tcW w:type="dxa" w:w="2163"/>
          </w:tcPr>
          <w:p>
            <w:pPr>
              <w:spacing w:after="40" w:before="40" w:line="260" w:lineRule="exact"/>
              <w:jc w:val="center"/>
            </w:pPr>
            <w:r/>
            <w:r>
              <w:rPr>
                <w:rFonts w:ascii="Times New Roman" w:hAnsi="Times New Roman"/>
                <w:b w:val="0"/>
                <w:sz w:val="18"/>
              </w:rPr>
              <w:t>IMPUGNACAO</w:t>
              <w:br/>
              <w:t>(Administração)</w:t>
            </w:r>
          </w:p>
        </w:tc>
      </w:tr>
      <w:tr>
        <w:tc>
          <w:tcPr>
            <w:tcW w:type="dxa" w:w="2163"/>
            <w:shd w:fill="F2F2F2" w:val="clear"/>
          </w:tcPr>
          <w:p>
            <w:pPr>
              <w:spacing w:after="40" w:before="40" w:line="260" w:lineRule="exact"/>
              <w:jc w:val="center"/>
            </w:pPr>
            <w:r/>
            <w:r>
              <w:rPr>
                <w:rFonts w:ascii="Times New Roman" w:hAnsi="Times New Roman"/>
                <w:b w:val="0"/>
                <w:sz w:val="18"/>
              </w:rPr>
              <w:t>T12</w:t>
            </w:r>
          </w:p>
        </w:tc>
        <w:tc>
          <w:tcPr>
            <w:tcW w:type="dxa" w:w="2163"/>
            <w:shd w:fill="F2F2F2" w:val="clear"/>
          </w:tcPr>
          <w:p>
            <w:pPr>
              <w:spacing w:after="40" w:before="40" w:line="260" w:lineRule="exact"/>
            </w:pPr>
            <w:r/>
            <w:r>
              <w:rPr>
                <w:rFonts w:ascii="Times New Roman" w:hAnsi="Times New Roman"/>
                <w:b w:val="0"/>
                <w:sz w:val="18"/>
              </w:rPr>
              <w:t>Remuneração e reajuste</w:t>
            </w:r>
          </w:p>
        </w:tc>
        <w:tc>
          <w:tcPr>
            <w:tcW w:type="dxa" w:w="2163"/>
            <w:shd w:fill="F2F2F2" w:val="clear"/>
          </w:tcPr>
          <w:p>
            <w:pPr>
              <w:spacing w:after="40" w:before="40" w:line="260" w:lineRule="exact"/>
              <w:jc w:val="both"/>
            </w:pPr>
            <w:r/>
            <w:r>
              <w:rPr>
                <w:rFonts w:ascii="Times New Roman" w:hAnsi="Times New Roman"/>
                <w:sz w:val="18"/>
              </w:rPr>
              <w:t>Medição e pagamento</w:t>
            </w:r>
          </w:p>
          <w:p>
            <w:pPr>
              <w:spacing w:after="40" w:before="40" w:line="260" w:lineRule="exact"/>
              <w:jc w:val="both"/>
            </w:pPr>
            <w:r>
              <w:rPr>
                <w:rFonts w:ascii="Times New Roman" w:hAnsi="Times New Roman"/>
                <w:sz w:val="18"/>
              </w:rPr>
            </w:r>
            <w:r>
              <w:rPr>
                <w:rFonts w:ascii="Times New Roman" w:hAnsi="Times New Roman"/>
                <w:b/>
                <w:color w:val="CC0000"/>
                <w:sz w:val="18"/>
              </w:rPr>
              <w:t>[VALIDAÇÃO TÉCNICA]</w:t>
            </w:r>
            <w:r>
              <w:rPr>
                <w:rFonts w:ascii="Times New Roman" w:hAnsi="Times New Roman"/>
                <w:sz w:val="18"/>
              </w:rPr>
            </w:r>
          </w:p>
        </w:tc>
        <w:tc>
          <w:tcPr>
            <w:tcW w:type="dxa" w:w="2163"/>
            <w:shd w:fill="F2F2F2" w:val="clear"/>
          </w:tcPr>
          <w:p>
            <w:pPr>
              <w:spacing w:after="40" w:before="40" w:line="260" w:lineRule="exact"/>
              <w:jc w:val="both"/>
            </w:pPr>
            <w:r/>
            <w:r>
              <w:rPr>
                <w:rFonts w:ascii="Times New Roman" w:hAnsi="Times New Roman"/>
                <w:sz w:val="16"/>
              </w:rPr>
            </w:r>
            <w:r>
              <w:rPr>
                <w:rFonts w:ascii="Times New Roman" w:hAnsi="Times New Roman"/>
                <w:b/>
                <w:sz w:val="16"/>
              </w:rPr>
              <w:t>Premissa normativa.</w:t>
            </w:r>
            <w:r>
              <w:rPr>
                <w:rFonts w:ascii="Times New Roman" w:hAnsi="Times New Roman"/>
                <w:sz w:val="16"/>
              </w:rPr>
              <w:t xml:space="preserve"> São cláusulas necessárias do contrato "o preço e as condições de pagamento" (art. 92, inciso V) e "os critérios e a periodicidade da medição, quando for o caso, e o prazo para liquidação e para pagamento" (art. 92, inciso VI); o dever de pagamento observa a ordem cronológica de exigibilidade (art. 141); e, "no caso de controvérsia sobre a execução do objeto, quanto a dimensão, qualidade e quantidade, </w:t>
            </w:r>
            <w:r>
              <w:rPr>
                <w:rFonts w:ascii="Times New Roman" w:hAnsi="Times New Roman"/>
                <w:b/>
                <w:sz w:val="16"/>
              </w:rPr>
              <w:t>a parcela incontroversa deverá ser liberada no prazo previsto para pagamento</w:t>
            </w:r>
            <w:r>
              <w:rPr>
                <w:rFonts w:ascii="Times New Roman" w:hAnsi="Times New Roman"/>
                <w:sz w:val="16"/>
              </w:rPr>
              <w:t xml:space="preserve">" (art. 143 — redação vigente confirmada). A medição que lastreia o pagamento é ato de fiscalização da Administração (art. 117), e a definição precisa do objeto e de seus critérios de medição integra o dever de planejamento (art. 6.º, inciso XXIII). Quanto ao asseguramento de verbas trabalhistas em serviços contínuos com dedicação exclusiva de mão de obra, a base legal vigente das medidas — inclusive conta vinculada — é o </w:t>
            </w:r>
            <w:r>
              <w:rPr>
                <w:rFonts w:ascii="Times New Roman" w:hAnsi="Times New Roman"/>
                <w:b/>
                <w:sz w:val="16"/>
              </w:rPr>
              <w:t>art. 121, § 3.º, incisos I a V, da Lei n.º 14.133/2021</w:t>
            </w:r>
            <w:r>
              <w:rPr>
                <w:rFonts w:ascii="Times New Roman" w:hAnsi="Times New Roman"/>
                <w:sz w:val="16"/>
              </w:rPr>
              <w:t xml:space="preserve"> (conta vinculada: inciso III).</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Fato editalício.</w:t>
            </w:r>
            <w:r>
              <w:rPr>
                <w:rFonts w:ascii="Times New Roman" w:hAnsi="Times New Roman"/>
                <w:sz w:val="16"/>
              </w:rPr>
              <w:t xml:space="preserve"> Seis grupos de disposições comprometem essas exigências:</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xml:space="preserve">1. </w:t>
            </w:r>
            <w:r>
              <w:rPr>
                <w:rFonts w:ascii="Times New Roman" w:hAnsi="Times New Roman"/>
                <w:b/>
                <w:sz w:val="16"/>
              </w:rPr>
              <w:t>Ponto de pesagem do item 3 indefinido</w:t>
            </w:r>
            <w:r>
              <w:rPr>
                <w:rFonts w:ascii="Times New Roman" w:hAnsi="Times New Roman"/>
                <w:sz w:val="16"/>
              </w:rPr>
              <w:t xml:space="preserve"> (C-203) `</w:t>
            </w:r>
            <w:r>
              <w:rPr>
                <w:rFonts w:ascii="Times New Roman" w:hAnsi="Times New Roman"/>
                <w:b/>
                <w:color w:val="CC0000"/>
                <w:sz w:val="16"/>
              </w:rPr>
              <w:t>[VALIDAÇÃO TÉCNICA]</w:t>
            </w:r>
            <w:r>
              <w:rPr>
                <w:rFonts w:ascii="Times New Roman" w:hAnsi="Times New Roman"/>
                <w:sz w:val="16"/>
              </w:rPr>
              <w:t>`. A cláusula 9.9.f manda pagar o item 3 *"de acordo com o peso, em tonelada, dos resíduos sólidos efetivamente destinados a aterro sanitário licenciado em outro município"*, e o 9.4.6 fixa o controle de pesagem *"no Aterro Sanitário em balança eletrônica instalada pelo responsável pela operação do Aterro Sanitário"*. Na fase do item 3, contudo, o fluxo passa por estação de transbordo municipal e por aterro receptor de terceiro: o contrato não define qual pesagem prevalece para faturamento (balança do transbordo? do aterro receptor?), nem disciplina divergências entre pesagem de origem e de destino (perdas, umidade, tara de carretas) — abrindo controvérsia permanente de medição justamente no item de maior valor.</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xml:space="preserve">2. </w:t>
            </w:r>
            <w:r>
              <w:rPr>
                <w:rFonts w:ascii="Times New Roman" w:hAnsi="Times New Roman"/>
                <w:b/>
                <w:sz w:val="16"/>
              </w:rPr>
              <w:t>Durante o item 2, a balança fica sob controle da própria contratada, sem contrapesagem</w:t>
            </w:r>
            <w:r>
              <w:rPr>
                <w:rFonts w:ascii="Times New Roman" w:hAnsi="Times New Roman"/>
                <w:sz w:val="16"/>
              </w:rPr>
              <w:t xml:space="preserve"> (C-211) `</w:t>
            </w:r>
            <w:r>
              <w:rPr>
                <w:rFonts w:ascii="Times New Roman" w:hAnsi="Times New Roman"/>
                <w:b/>
                <w:color w:val="CC0000"/>
                <w:sz w:val="16"/>
              </w:rPr>
              <w:t>[VALIDAÇÃO TÉCNICA]</w:t>
            </w:r>
            <w:r>
              <w:rPr>
                <w:rFonts w:ascii="Times New Roman" w:hAnsi="Times New Roman"/>
                <w:sz w:val="16"/>
              </w:rPr>
              <w:t>`. O mesmo 9.4.6 atribui a balança ao "responsável pela operação do Aterro Sanitário" — que, na fase do item 2, é a própria contratada. A medição que lastreia o pagamento (tickets emitidos e armazenados pela contratada — 9.4.8) fica sob controle exclusivo do credor, sem previsão de contrapesagem independente, de presença obrigatória da fiscalização nas pesagens ou de acesso remoto da contratante ao sistema da balança. A aferição INMETRO (Lei n.º 9.933/1999) assegura a exatidão do instrumento, não a independência do procedimento de medição, que o art. 117 comete à Administração.</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xml:space="preserve">3. </w:t>
            </w:r>
            <w:r>
              <w:rPr>
                <w:rFonts w:ascii="Times New Roman" w:hAnsi="Times New Roman"/>
                <w:b/>
                <w:sz w:val="16"/>
              </w:rPr>
              <w:t>Ciclo de faturamento quinzenal vs. apuração mensal e prazos sobrepostos</w:t>
            </w:r>
            <w:r>
              <w:rPr>
                <w:rFonts w:ascii="Times New Roman" w:hAnsi="Times New Roman"/>
                <w:sz w:val="16"/>
              </w:rPr>
              <w:t xml:space="preserve"> (C-199, C-200). O 9.4.8 determina a apresentação dos tickets *"quinzenalmente junto com a Nota Fiscal"*; o anexo KPI refere *"suspensão do pagamento da quinzena"*; mas o 9.9.b condiciona a emissão da NF ao atesto da medição, e os 9.9.c/e/f mandam pagar os itens 1, 2 e 3 pelo peso apurado *"em cada mês"*. Não se sabe se há uma ou duas NFs por mês nem qual o ciclo de medição — e a cláusula 4.ª sobrepõe prazos sem termo inicial coordenado: 10 dias úteis para liquidação, prorrogáveis por igual período (4.1), e pagamento "em até 10 (dez) dias após sua entrega" das NFs atestadas (4.4.1). O prazo total efetivo de pagamento é indeterminável — em desacordo com o art. 92, incisos V e VI, e com a lógica de exigibilidade datada que preside a ordem cronológica do art. 141.</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xml:space="preserve">4. </w:t>
            </w:r>
            <w:r>
              <w:rPr>
                <w:rFonts w:ascii="Times New Roman" w:hAnsi="Times New Roman"/>
                <w:b/>
                <w:sz w:val="16"/>
              </w:rPr>
              <w:t>Retenção integral de pagamento por qualquer pendência vs. dever de liberar a parcela incontroversa</w:t>
            </w:r>
            <w:r>
              <w:rPr>
                <w:rFonts w:ascii="Times New Roman" w:hAnsi="Times New Roman"/>
                <w:sz w:val="16"/>
              </w:rPr>
              <w:t xml:space="preserve"> (C-201, C-204). A cláusula 4.4.5 dispõe: *"Nenhum pagamento será efetuado à Contratada enquanto pendente de liquidação qualquer obrigação legal, ou financeira municipal que lhe for imposta em virtude de penalidade ou inadimplência, a qual poderá ser compensada com o(s) pagamento(s) pendente(s), sem que isso gere direito a acréscimos de qualquer natureza"* — retenção total, por pendência inclusive estranha à execução medida, com compensação unilateral e sem processo. A cláusula 10.2 agrava: constatada execução em desacordo, *"serão interrompidos os prazos de recebimento e suspenso o pagamento, até que sanada a situação"* — suspensão integral mesmo em desconformidade parcial. Ambas colidem frontalmente com o art. 143 da Lei n.º 14.133/2021 e com a </w:t>
            </w:r>
            <w:r>
              <w:rPr>
                <w:rFonts w:ascii="Times New Roman" w:hAnsi="Times New Roman"/>
                <w:b/>
                <w:sz w:val="16"/>
              </w:rPr>
              <w:t>própria cláusula 13.1.e</w:t>
            </w:r>
            <w:r>
              <w:rPr>
                <w:rFonts w:ascii="Times New Roman" w:hAnsi="Times New Roman"/>
                <w:sz w:val="16"/>
              </w:rPr>
              <w:t xml:space="preserve"> da minuta, que obriga o contratante a *"comunicar a empresa para emissão de Nota Fiscal relativa à parcela incontroversa da execução do objeto (...) conforme o art. 143 da Lei nº 14.133, de 2021"* — contradição interna direta. Em contrato de serviço público essencial e contínuo, remunerado exclusivamente por medição, a retenção integral transfere ao particular o financiamento da controvérsia e pressiona a continuidade do serviço.</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xml:space="preserve">5. </w:t>
            </w:r>
            <w:r>
              <w:rPr>
                <w:rFonts w:ascii="Times New Roman" w:hAnsi="Times New Roman"/>
                <w:b/>
                <w:sz w:val="16"/>
              </w:rPr>
              <w:t>Conta vinculada fundada em norma revogada e liberação sem critério</w:t>
            </w:r>
            <w:r>
              <w:rPr>
                <w:rFonts w:ascii="Times New Roman" w:hAnsi="Times New Roman"/>
                <w:sz w:val="16"/>
              </w:rPr>
              <w:t xml:space="preserve"> (C-197, C-202). O edital (20.2.b) e o Anexo IV (alínea "j") fundam a conta vinculada nas *"Instruções Normativas n.02 e 03 do Ministério do Planejamento"* — sem indicação de ano —, e o TR 7.11/cláusula 4.5 na *"Instrução Normativa SLTI/MP nº 02, de 30 de abril de 2008"*: norma </w:t>
            </w:r>
            <w:r>
              <w:rPr>
                <w:rFonts w:ascii="Times New Roman" w:hAnsi="Times New Roman"/>
                <w:b/>
                <w:sz w:val="16"/>
              </w:rPr>
              <w:t>federal</w:t>
            </w:r>
            <w:r>
              <w:rPr>
                <w:rFonts w:ascii="Times New Roman" w:hAnsi="Times New Roman"/>
                <w:sz w:val="16"/>
              </w:rPr>
              <w:t xml:space="preserve"> (não autoaplicável ao Município) e </w:t>
            </w:r>
            <w:r>
              <w:rPr>
                <w:rFonts w:ascii="Times New Roman" w:hAnsi="Times New Roman"/>
                <w:b/>
                <w:sz w:val="16"/>
              </w:rPr>
              <w:t>revogada</w:t>
            </w:r>
            <w:r>
              <w:rPr>
                <w:rFonts w:ascii="Times New Roman" w:hAnsi="Times New Roman"/>
                <w:sz w:val="16"/>
              </w:rPr>
              <w:t xml:space="preserve"> pela IN SEGES/MP n.º 5/2017. A base vigente do instituto é o art. 121, § 3.º, inciso III, da Lei n.º 14.133/2021, a demandar regulamento local com os parâmetros operacionais (percentuais de provisionamento, documentação, prazos) — que o edital não indica. A liberação do saldo, por sua vez, é condicionada a critério genérico: *"depois de comprovada a execução correta do contrato e a quitação de todos os encargos trabalhistas e previdenciários relativos ao objeto"* (4.6.5/7.12.5), sem parâmetros objetivos, rol documental nem prazo para a Administração liberar — condicionamento que desborda a finalidade legal do instituto (assegurar verbas trabalhistas específicas: férias, 13.º, rescisórias — 4.5/7.11) ao atrelar a devolução de valores do contratado à avaliação difusa da "execução correta" de todo o contrato de 60 meses.</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xml:space="preserve">6. </w:t>
            </w:r>
            <w:r>
              <w:rPr>
                <w:rFonts w:ascii="Times New Roman" w:hAnsi="Times New Roman"/>
                <w:b/>
                <w:sz w:val="16"/>
              </w:rPr>
              <w:t>Item 4 pago "por unidade utilizada" em fornecimento fixo de 80 contêineres; resquício de modelo de compras; remuneração 100% variável sobre custos fixos</w:t>
            </w:r>
            <w:r>
              <w:rPr>
                <w:rFonts w:ascii="Times New Roman" w:hAnsi="Times New Roman"/>
                <w:sz w:val="16"/>
              </w:rPr>
              <w:t xml:space="preserve"> (C-210, C-207, C-213, C-216). A cláusula 9.9.c define o item 4 como *"valor fixo (R$/UN)"*, mas o 9.9.d manda medir *"por unidade utilizada no decorrer do mês"* (com o erro material "medicação" por "medição") — sendo o fornecimento fixado em 80 unidades (cláusula 3.2), a quantidade "utilizada" depende de indicação da contratante, transferindo risco de demanda não disciplinado sobre custo integralmente incorrido (aquisição, manutenção e higienização das 80 unidades). O Anexo V, item 5.1, ainda condiciona o pagamento a *"após a entrega do objeto"* — cláusula de fornecimento de bens incompatível com serviço contínuo medido mensalmente (C-207). Em plano mais geral (C-213, C-216 — DEPENDE DE FATO, `</w:t>
            </w:r>
            <w:r>
              <w:rPr>
                <w:rFonts w:ascii="Times New Roman" w:hAnsi="Times New Roman"/>
                <w:b/>
                <w:color w:val="CC0000"/>
                <w:sz w:val="16"/>
              </w:rPr>
              <w:t>[VALIDAÇÃO TÉCNICA]</w:t>
            </w:r>
            <w:r>
              <w:rPr>
                <w:rFonts w:ascii="Times New Roman" w:hAnsi="Times New Roman"/>
                <w:sz w:val="16"/>
              </w:rPr>
              <w:t>`): a remuneração de todos os itens é 100% variável por tonelada, enquanto o TR impõe estrutura de custos majoritariamente fixa (frota mínima, quadro mínimo, infraestrutura completa), e o item 2 não contém parcela remuneratória para os custos fixos da operação do aterro (recobrimento, drenagem, tratamento de chorume, monitoramento) — alocação de risco de demanda que o ETP não justifica (referência cruzada: T3 e T5).</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Conclusão.</w:t>
            </w:r>
            <w:r>
              <w:rPr>
                <w:rFonts w:ascii="Times New Roman" w:hAnsi="Times New Roman"/>
                <w:sz w:val="16"/>
              </w:rPr>
              <w:t xml:space="preserve"> O regime de medição e pagamento não define, com o grau de precisão exigido pelo art. 92, incisos V e VI, da Lei n.º 14.133/2021: o ponto e o procedimento de pesagem que lastreiam o faturamento de cada fase (itens 1, 2 e 3), a independência da medição em relação ao credor, o ciclo de medição/faturamento (quinzenal ou mensal) e o prazo total de pagamento. As cláusulas 4.4.5 e 10.2 instituem retenção integral de pagamento por serviços já prestados, em contrariedade ao art. 143 e à cláusula 13.1.e da própria minuta, e a conta vinculada apoia-se em instrução normativa federal revogada, sem parâmetros de operação e liberação. Impõe-se a republicação par</w:t>
            </w:r>
          </w:p>
          <w:p>
            <w:pPr>
              <w:spacing w:after="40" w:before="40" w:line="260" w:lineRule="exact"/>
              <w:jc w:val="both"/>
            </w:pPr>
            <w:r>
              <w:rPr>
                <w:rFonts w:ascii="Times New Roman" w:hAnsi="Times New Roman"/>
                <w:sz w:val="16"/>
              </w:rPr>
              <w:t>[...texto completo no arquivo AN_bloco correspondente]</w:t>
            </w:r>
          </w:p>
        </w:tc>
        <w:tc>
          <w:tcPr>
            <w:tcW w:type="dxa" w:w="2163"/>
            <w:shd w:fill="F2F2F2" w:val="clear"/>
          </w:tcPr>
          <w:p>
            <w:pPr>
              <w:spacing w:after="40" w:before="40" w:line="260" w:lineRule="exact"/>
              <w:jc w:val="both"/>
            </w:pPr>
            <w:r/>
            <w:r>
              <w:rPr>
                <w:rFonts w:ascii="Times New Roman" w:hAnsi="Times New Roman"/>
                <w:sz w:val="16"/>
              </w:rPr>
              <w:t>- art. 92, incisos V e VI, da Lei n.º 14.133/2021 (condições de pagamento; critérios e periodicidade da medição; prazo para liquidação e pagamento) — redação vigente confirmada</w:t>
            </w:r>
          </w:p>
          <w:p>
            <w:pPr>
              <w:spacing w:after="40" w:before="40" w:line="260" w:lineRule="exact"/>
              <w:jc w:val="both"/>
            </w:pPr>
            <w:r>
              <w:rPr>
                <w:rFonts w:ascii="Times New Roman" w:hAnsi="Times New Roman"/>
                <w:sz w:val="16"/>
              </w:rPr>
              <w:t>- art. 143 da Lei n.º 14.133/2021 (liberação da parcela incontroversa no prazo previsto para pagamento) — redação vigente confirmada</w:t>
            </w:r>
          </w:p>
          <w:p>
            <w:pPr>
              <w:spacing w:after="40" w:before="40" w:line="260" w:lineRule="exact"/>
              <w:jc w:val="both"/>
            </w:pPr>
            <w:r>
              <w:rPr>
                <w:rFonts w:ascii="Times New Roman" w:hAnsi="Times New Roman"/>
                <w:sz w:val="16"/>
              </w:rPr>
              <w:t>- art. 141, caput, da Lei n.º 14.133/2021 (ordem cronológica de pagamentos; exigibilidade) — redação vigente confirmada</w:t>
            </w:r>
          </w:p>
          <w:p>
            <w:pPr>
              <w:spacing w:after="40" w:before="40" w:line="260" w:lineRule="exact"/>
              <w:jc w:val="both"/>
            </w:pPr>
            <w:r>
              <w:rPr>
                <w:rFonts w:ascii="Times New Roman" w:hAnsi="Times New Roman"/>
                <w:sz w:val="16"/>
              </w:rPr>
              <w:t>- art. 117, caput, da Lei n.º 14.133/2021 (fiscalização da execução pela Administração)</w:t>
            </w:r>
          </w:p>
          <w:p>
            <w:pPr>
              <w:spacing w:after="40" w:before="40" w:line="260" w:lineRule="exact"/>
              <w:jc w:val="both"/>
            </w:pPr>
            <w:r>
              <w:rPr>
                <w:rFonts w:ascii="Times New Roman" w:hAnsi="Times New Roman"/>
                <w:sz w:val="16"/>
              </w:rPr>
              <w:t>- art. 6.º, inciso XXIII, da Lei n.º 14.133/2021 (conteúdo mínimo do TR: critérios de medição e pagamento; adequada alocação de riscos)</w:t>
            </w:r>
          </w:p>
          <w:p>
            <w:pPr>
              <w:spacing w:after="40" w:before="40" w:line="260" w:lineRule="exact"/>
              <w:jc w:val="both"/>
            </w:pPr>
            <w:r>
              <w:rPr>
                <w:rFonts w:ascii="Times New Roman" w:hAnsi="Times New Roman"/>
                <w:sz w:val="16"/>
              </w:rPr>
              <w:t xml:space="preserve">- art. 121, § 3.º, incisos I a V (conta vinculada: inciso III), e § 4.º, da Lei n.º 14.133/2021 — redação vigente confirmada; </w:t>
            </w:r>
            <w:r>
              <w:rPr>
                <w:rFonts w:ascii="Times New Roman" w:hAnsi="Times New Roman"/>
                <w:b/>
                <w:sz w:val="16"/>
              </w:rPr>
              <w:t>atenção: a base correta é o § 3.º, não o § 2.º</w:t>
            </w:r>
            <w:r>
              <w:rPr>
                <w:rFonts w:ascii="Times New Roman" w:hAnsi="Times New Roman"/>
                <w:sz w:val="16"/>
              </w:rPr>
              <w:t xml:space="preserve"> (o § 2.º trata da responsabilidade solidária/subsidiária da Administração)</w:t>
            </w:r>
          </w:p>
          <w:p>
            <w:pPr>
              <w:spacing w:after="40" w:before="40" w:line="260" w:lineRule="exact"/>
              <w:jc w:val="both"/>
            </w:pPr>
            <w:r>
              <w:rPr>
                <w:rFonts w:ascii="Times New Roman" w:hAnsi="Times New Roman"/>
                <w:sz w:val="16"/>
              </w:rPr>
              <w:t>- IN SEGES/MP n.º 5/2017 (revogação da IN SLTI/MP n.º 2/2008 — fundamento invocado pelo edital desatualizado; norma federal não autoaplicável ao Município)</w:t>
            </w:r>
          </w:p>
          <w:p>
            <w:pPr>
              <w:spacing w:after="40" w:before="40" w:line="260" w:lineRule="exact"/>
              <w:jc w:val="both"/>
            </w:pPr>
            <w:r>
              <w:rPr>
                <w:rFonts w:ascii="Times New Roman" w:hAnsi="Times New Roman"/>
                <w:sz w:val="16"/>
              </w:rPr>
              <w:t>- Lei n.º 9.933/1999 (controle metrológico — alcance limitado à exatidão do instrumento)</w:t>
            </w:r>
          </w:p>
          <w:p>
            <w:pPr>
              <w:spacing w:after="40" w:before="40" w:line="260" w:lineRule="exact"/>
              <w:jc w:val="both"/>
            </w:pPr>
            <w:r>
              <w:rPr>
                <w:rFonts w:ascii="Times New Roman" w:hAnsi="Times New Roman"/>
                <w:sz w:val="16"/>
              </w:rPr>
              <w:t>- art. 29 da Lei n.º 11.445/2007 (sustentabilidade econômico-financeira dos serviços de limpeza urbana e manejo de RSU — para o plano C-213/C-216)</w:t>
            </w:r>
          </w:p>
          <w:p>
            <w:pPr>
              <w:spacing w:after="40" w:before="40" w:line="260" w:lineRule="exact"/>
              <w:jc w:val="both"/>
            </w:pPr>
            <w:r>
              <w:rPr>
                <w:rFonts w:ascii="Times New Roman" w:hAnsi="Times New Roman"/>
                <w:sz w:val="16"/>
              </w:rPr>
              <w:t>- Jurisprudência (busca Jus IA):</w:t>
            </w:r>
          </w:p>
          <w:p>
            <w:pPr>
              <w:spacing w:after="40" w:before="40" w:line="260" w:lineRule="exact"/>
              <w:jc w:val="both"/>
            </w:pPr>
            <w:r>
              <w:rPr>
                <w:rFonts w:ascii="Times New Roman" w:hAnsi="Times New Roman"/>
                <w:sz w:val="16"/>
              </w:rPr>
              <w:t xml:space="preserve">  - STJ, AgInt no REsp n.º 2.043.051/PI, Rel. Min. Benedito Gonçalves, 1.ª Turma, j. 21/08/2023, publ. 24/08/2023 `</w:t>
            </w:r>
            <w:r>
              <w:rPr>
                <w:rFonts w:ascii="Times New Roman" w:hAnsi="Times New Roman"/>
                <w:b/>
                <w:color w:val="CC0000"/>
                <w:sz w:val="16"/>
              </w:rPr>
              <w:t>[VIT]</w:t>
            </w:r>
            <w:r>
              <w:rPr>
                <w:rFonts w:ascii="Times New Roman" w:hAnsi="Times New Roman"/>
                <w:sz w:val="16"/>
              </w:rPr>
              <w:t>` — é ilegal condicionar o pagamento de serviços já prestados à apresentação de certidões de regularidade fiscal e trabalhista; a retenção caracteriza enriquecimento sem causa da Administração; na mesma linha, AgInt no REsp n.º 1.742.457/CE, Rel. Min. Francisco Falcão, 2.ª Turma, j. 23/05/2019 `</w:t>
            </w:r>
            <w:r>
              <w:rPr>
                <w:rFonts w:ascii="Times New Roman" w:hAnsi="Times New Roman"/>
                <w:b/>
                <w:color w:val="CC0000"/>
                <w:sz w:val="16"/>
              </w:rPr>
              <w:t>[VIT]</w:t>
            </w:r>
            <w:r>
              <w:rPr>
                <w:rFonts w:ascii="Times New Roman" w:hAnsi="Times New Roman"/>
                <w:sz w:val="16"/>
              </w:rPr>
              <w:t>` (citado no primeiro).</w:t>
            </w:r>
          </w:p>
          <w:p>
            <w:pPr>
              <w:spacing w:after="40" w:before="40" w:line="260" w:lineRule="exact"/>
              <w:jc w:val="both"/>
            </w:pPr>
            <w:r>
              <w:rPr>
                <w:rFonts w:ascii="Times New Roman" w:hAnsi="Times New Roman"/>
                <w:sz w:val="16"/>
              </w:rPr>
              <w:t xml:space="preserve">  - TJSP, Apelação Cível n.º 1043925-30.2024.8.26.0053, Rel. Osvaldo Magalhães, 4.ª Câmara de Direito Público, j. 18/08/2025 `</w:t>
            </w:r>
            <w:r>
              <w:rPr>
                <w:rFonts w:ascii="Times New Roman" w:hAnsi="Times New Roman"/>
                <w:b/>
                <w:color w:val="CC0000"/>
                <w:sz w:val="16"/>
              </w:rPr>
              <w:t>[VIT]</w:t>
            </w:r>
            <w:r>
              <w:rPr>
                <w:rFonts w:ascii="Times New Roman" w:hAnsi="Times New Roman"/>
                <w:sz w:val="16"/>
              </w:rPr>
              <w:t>` — retenção de pagamentos por serviços prestados em razão de inscrição no CADIN estadual declarada inconstitucional pelo Órgão Especial do TJSP (Arguição de Inconstitucionalidade n.º 0120735-48.2012.8.26.0000 `</w:t>
            </w:r>
            <w:r>
              <w:rPr>
                <w:rFonts w:ascii="Times New Roman" w:hAnsi="Times New Roman"/>
                <w:b/>
                <w:color w:val="CC0000"/>
                <w:sz w:val="16"/>
              </w:rPr>
              <w:t>[VIT]</w:t>
            </w:r>
            <w:r>
              <w:rPr>
                <w:rFonts w:ascii="Times New Roman" w:hAnsi="Times New Roman"/>
                <w:sz w:val="16"/>
              </w:rPr>
              <w:t>`); a exigência de regularidade fiscal não justifica retenção de pagamento por serviços prestados.</w:t>
            </w:r>
          </w:p>
          <w:p>
            <w:pPr>
              <w:spacing w:after="40" w:before="40" w:line="260" w:lineRule="exact"/>
              <w:jc w:val="both"/>
            </w:pPr>
            <w:r>
              <w:rPr>
                <w:rFonts w:ascii="Times New Roman" w:hAnsi="Times New Roman"/>
                <w:sz w:val="16"/>
              </w:rPr>
              <w:t xml:space="preserve">  - TJPR, Apelação n.º 0027445-27.2023.8.16.0014, Rel. subst. Anderson Ricardo Fogaca, 5.ª Câmara Cível, publ. 24/04/2025 `</w:t>
            </w:r>
            <w:r>
              <w:rPr>
                <w:rFonts w:ascii="Times New Roman" w:hAnsi="Times New Roman"/>
                <w:b/>
                <w:color w:val="CC0000"/>
                <w:sz w:val="16"/>
              </w:rPr>
              <w:t>[VIT]</w:t>
            </w:r>
            <w:r>
              <w:rPr>
                <w:rFonts w:ascii="Times New Roman" w:hAnsi="Times New Roman"/>
                <w:sz w:val="16"/>
              </w:rPr>
              <w:t>` — serviços de coleta e triagem de resíduos efetivamente prestados devem ser pagos, sob pena de enriquecimento sem causa do ente público.</w:t>
            </w:r>
          </w:p>
          <w:p>
            <w:pPr>
              <w:spacing w:after="40" w:before="40" w:line="260" w:lineRule="exact"/>
              <w:jc w:val="both"/>
            </w:pPr>
            <w:r>
              <w:rPr>
                <w:rFonts w:ascii="Times New Roman" w:hAnsi="Times New Roman"/>
                <w:sz w:val="16"/>
              </w:rPr>
              <w:t xml:space="preserve">  - Sobre a arquitetura de pesagem/medição sob controle do credor, não localizei precedente judicial específico na base consultada.</w:t>
            </w:r>
          </w:p>
          <w:p>
            <w:pPr>
              <w:spacing w:after="40" w:before="40" w:line="260" w:lineRule="exact"/>
              <w:jc w:val="both"/>
            </w:pPr>
            <w:r>
              <w:rPr>
                <w:rFonts w:ascii="Times New Roman" w:hAnsi="Times New Roman"/>
                <w:sz w:val="16"/>
              </w:rPr>
              <w:t xml:space="preserve">  - `[PENDENTE: busca TCU/TCE via Lei na Mão antes do protocolo — teses: (i) medição sob controle da contratada/ausência de contrapesagem; (ii) cláusula de retenção integral vs. parcela incontroversa; (iii) conta vinculada em ente municipal sem regulamento; (iv) critério de medição indefinido como vício de edital]`</w:t>
            </w:r>
          </w:p>
          <w:p>
            <w:pPr>
              <w:spacing w:after="40" w:before="40" w:line="260" w:lineRule="exact"/>
              <w:jc w:val="both"/>
            </w:pPr>
            <w:r>
              <w:rPr>
                <w:rFonts w:ascii="Times New Roman" w:hAnsi="Times New Roman"/>
                <w:sz w:val="16"/>
              </w:rPr>
              <w:t>Doutrina: - HELY LOPES MEIRELLES, *Direito Administrativo Brasileiro*, 23.ª ed., Malheiros, p. 110-111: "O principal direito do contratado é o de receber o preço (...) na forma e no prazo convencionados" — núcleo do sinalagma que as cláusulas 4.4.5/10.2 desequilibram.</w:t>
            </w:r>
          </w:p>
          <w:p>
            <w:pPr>
              <w:spacing w:after="40" w:before="40" w:line="260" w:lineRule="exact"/>
              <w:jc w:val="both"/>
            </w:pPr>
            <w:r>
              <w:rPr>
                <w:rFonts w:ascii="Times New Roman" w:hAnsi="Times New Roman"/>
                <w:sz w:val="16"/>
              </w:rPr>
              <w:t>- MARCELO ALEXANDRINO; VICENTE PAULO, *Direito Administrativo Descomplicado*, 25.ª ed., Método, 2017, p. 661-662 (exceptio non adimpleti contractus em favor da Administração — subsídio do provável contra-argumento; a suspensão de pagamentos ali referida pressupõe inadimplemento do contratado quanto à prestação correspondente, não pendência estranha à execução medida).</w:t>
            </w:r>
          </w:p>
          <w:p>
            <w:pPr>
              <w:spacing w:after="40" w:before="40" w:line="260" w:lineRule="exact"/>
              <w:jc w:val="both"/>
            </w:pPr>
            <w:r>
              <w:rPr>
                <w:rFonts w:ascii="Times New Roman" w:hAnsi="Times New Roman"/>
                <w:sz w:val="16"/>
              </w:rPr>
              <w:t>— Jurisprudência TCU/TCE (Lei na Mão) —</w:t>
            </w:r>
          </w:p>
          <w:p>
            <w:pPr>
              <w:spacing w:after="40" w:before="40" w:line="260" w:lineRule="exact"/>
              <w:jc w:val="both"/>
            </w:pPr>
            <w:r>
              <w:rPr>
                <w:rFonts w:ascii="Times New Roman" w:hAnsi="Times New Roman"/>
                <w:sz w:val="16"/>
              </w:rPr>
              <w:t>• Entendimento TCU-Segunda Câmara, sessão de 06/06/2023 (Jurisprudência Selecionada 152280) [VIT</w:t>
            </w:r>
          </w:p>
          <w:p>
            <w:pPr>
              <w:spacing w:after="40" w:before="40" w:line="260" w:lineRule="exact"/>
              <w:jc w:val="both"/>
            </w:pPr>
            <w:r>
              <w:rPr>
                <w:rFonts w:ascii="Times New Roman" w:hAnsi="Times New Roman"/>
                <w:sz w:val="16"/>
              </w:rPr>
              <w:t>• Entendimento TCU-Plenário, sessão de 05/08/2009 (Jurisprudência Selecionada 21110) [VIT</w:t>
            </w:r>
          </w:p>
          <w:p>
            <w:pPr>
              <w:spacing w:after="40" w:before="40" w:line="260" w:lineRule="exact"/>
              <w:jc w:val="both"/>
            </w:pPr>
            <w:r>
              <w:rPr>
                <w:rFonts w:ascii="Times New Roman" w:hAnsi="Times New Roman"/>
                <w:sz w:val="16"/>
              </w:rPr>
              <w:t>• Entendimento TCU-Plenário, sessão de 10/09/2008 (Jurisprudência Selecionada 31114) [VIT</w:t>
            </w:r>
          </w:p>
          <w:p>
            <w:pPr>
              <w:spacing w:after="40" w:before="40" w:line="260" w:lineRule="exact"/>
              <w:jc w:val="both"/>
            </w:pPr>
            <w:r>
              <w:rPr>
                <w:rFonts w:ascii="Times New Roman" w:hAnsi="Times New Roman"/>
                <w:sz w:val="16"/>
              </w:rPr>
              <w:t>• Entendimento TCU-Plenário, sessão de 20/02/2013 (Jurisprudência Selecionada 21174) [VIT</w:t>
            </w:r>
          </w:p>
        </w:tc>
        <w:tc>
          <w:tcPr>
            <w:tcW w:type="dxa" w:w="2163"/>
            <w:shd w:fill="F2F2F2" w:val="clear"/>
          </w:tcPr>
          <w:p>
            <w:pPr>
              <w:spacing w:after="40" w:before="40" w:line="260" w:lineRule="exact"/>
              <w:jc w:val="center"/>
            </w:pPr>
            <w:r/>
            <w:r>
              <w:rPr>
                <w:rFonts w:ascii="Times New Roman" w:hAnsi="Times New Roman"/>
                <w:b w:val="0"/>
                <w:sz w:val="18"/>
              </w:rPr>
              <w:t>Sim</w:t>
            </w:r>
          </w:p>
        </w:tc>
        <w:tc>
          <w:tcPr>
            <w:tcW w:type="dxa" w:w="2163"/>
            <w:shd w:fill="F2F2F2" w:val="clear"/>
          </w:tcPr>
          <w:p>
            <w:pPr>
              <w:spacing w:after="40" w:before="40" w:line="260" w:lineRule="exact"/>
              <w:jc w:val="center"/>
            </w:pPr>
            <w:r/>
            <w:r>
              <w:rPr>
                <w:rFonts w:ascii="Times New Roman" w:hAnsi="Times New Roman"/>
                <w:b w:val="0"/>
                <w:sz w:val="18"/>
              </w:rPr>
              <w:t>IMPUGNACAO</w:t>
              <w:br/>
              <w:t>(Administração)</w:t>
            </w:r>
          </w:p>
        </w:tc>
      </w:tr>
      <w:tr>
        <w:tc>
          <w:tcPr>
            <w:tcW w:type="dxa" w:w="2163"/>
          </w:tcPr>
          <w:p>
            <w:pPr>
              <w:spacing w:after="40" w:before="40" w:line="260" w:lineRule="exact"/>
              <w:jc w:val="center"/>
            </w:pPr>
            <w:r/>
            <w:r>
              <w:rPr>
                <w:rFonts w:ascii="Times New Roman" w:hAnsi="Times New Roman"/>
                <w:b w:val="0"/>
                <w:sz w:val="18"/>
              </w:rPr>
              <w:t>T13</w:t>
            </w:r>
          </w:p>
        </w:tc>
        <w:tc>
          <w:tcPr>
            <w:tcW w:type="dxa" w:w="2163"/>
          </w:tcPr>
          <w:p>
            <w:pPr>
              <w:spacing w:after="40" w:before="40" w:line="260" w:lineRule="exact"/>
            </w:pPr>
            <w:r/>
            <w:r>
              <w:rPr>
                <w:rFonts w:ascii="Times New Roman" w:hAnsi="Times New Roman"/>
                <w:b w:val="0"/>
                <w:sz w:val="18"/>
              </w:rPr>
              <w:t>Habilitação</w:t>
            </w:r>
          </w:p>
        </w:tc>
        <w:tc>
          <w:tcPr>
            <w:tcW w:type="dxa" w:w="2163"/>
          </w:tcPr>
          <w:p>
            <w:pPr>
              <w:spacing w:after="40" w:before="40" w:line="260" w:lineRule="exact"/>
              <w:jc w:val="both"/>
            </w:pPr>
            <w:r/>
            <w:r>
              <w:rPr>
                <w:rFonts w:ascii="Times New Roman" w:hAnsi="Times New Roman"/>
                <w:sz w:val="18"/>
              </w:rPr>
              <w:t>Habilitação técnica</w:t>
            </w:r>
          </w:p>
          <w:p>
            <w:pPr>
              <w:spacing w:after="40" w:before="40" w:line="260" w:lineRule="exact"/>
              <w:jc w:val="both"/>
            </w:pPr>
            <w:r>
              <w:rPr>
                <w:rFonts w:ascii="Times New Roman" w:hAnsi="Times New Roman"/>
                <w:sz w:val="18"/>
              </w:rPr>
            </w:r>
            <w:r>
              <w:rPr>
                <w:rFonts w:ascii="Times New Roman" w:hAnsi="Times New Roman"/>
                <w:b/>
                <w:color w:val="CC0000"/>
                <w:sz w:val="18"/>
              </w:rPr>
              <w:t>[VALIDAÇÃO TÉCNICA]</w:t>
            </w:r>
            <w:r>
              <w:rPr>
                <w:rFonts w:ascii="Times New Roman" w:hAnsi="Times New Roman"/>
                <w:sz w:val="18"/>
              </w:rPr>
            </w:r>
          </w:p>
        </w:tc>
        <w:tc>
          <w:tcPr>
            <w:tcW w:type="dxa" w:w="2163"/>
          </w:tcPr>
          <w:p>
            <w:pPr>
              <w:spacing w:after="40" w:before="40" w:line="260" w:lineRule="exact"/>
              <w:jc w:val="both"/>
            </w:pPr>
            <w:r/>
            <w:r>
              <w:rPr>
                <w:rFonts w:ascii="Times New Roman" w:hAnsi="Times New Roman"/>
                <w:sz w:val="16"/>
              </w:rPr>
            </w:r>
            <w:r>
              <w:rPr>
                <w:rFonts w:ascii="Times New Roman" w:hAnsi="Times New Roman"/>
                <w:b/>
                <w:sz w:val="16"/>
              </w:rPr>
              <w:t>T13.a — Quantitativo mínimo (520 t/mês) vinculado à capacitação técnico-profissional (CAT).</w:t>
            </w:r>
            <w:r>
              <w:rPr>
                <w:rFonts w:ascii="Times New Roman" w:hAnsi="Times New Roman"/>
                <w:sz w:val="16"/>
              </w:rPr>
              <w:t xml:space="preserve"> Premissa normativa: o art. 67, inciso I, da Lei n.º 14.133/2021 restringe a qualificação técnico-profissional à "apresentação de profissional, devidamente registrado no conselho profissional competente, quando for o caso, detentor de atestado de responsabilidade técnica por execução de obra ou serviço </w:t>
            </w:r>
            <w:r>
              <w:rPr>
                <w:rFonts w:ascii="Times New Roman" w:hAnsi="Times New Roman"/>
                <w:b/>
                <w:sz w:val="16"/>
              </w:rPr>
              <w:t>de características semelhantes</w:t>
            </w:r>
            <w:r>
              <w:rPr>
                <w:rFonts w:ascii="Times New Roman" w:hAnsi="Times New Roman"/>
                <w:sz w:val="16"/>
              </w:rPr>
              <w:t xml:space="preserve">" — o critério legal é qualitativo (características), não quantitativo. A exigência de "quantidades mínimas de até 50%" autorizada pelo art. 67, § 2º, reporta-se aos "atestados de que trata o § 1º", isto é, aos atestados relativos às parcelas de maior relevância exigidos da </w:t>
            </w:r>
            <w:r>
              <w:rPr>
                <w:rFonts w:ascii="Times New Roman" w:hAnsi="Times New Roman"/>
                <w:b/>
                <w:sz w:val="16"/>
              </w:rPr>
              <w:t>empresa</w:t>
            </w:r>
            <w:r>
              <w:rPr>
                <w:rFonts w:ascii="Times New Roman" w:hAnsi="Times New Roman"/>
                <w:sz w:val="16"/>
              </w:rPr>
              <w:t xml:space="preserve"> (capacitação técnico-operacional, art. 67, II). No mesmo sentido, a Súmula n.º 23 do TCE-SP — </w:t>
            </w:r>
            <w:r>
              <w:rPr>
                <w:rFonts w:ascii="Times New Roman" w:hAnsi="Times New Roman"/>
                <w:b/>
                <w:sz w:val="16"/>
              </w:rPr>
              <w:t>invocada pelo próprio edital no item 1.3.4</w:t>
            </w:r>
            <w:r>
              <w:rPr>
                <w:rFonts w:ascii="Times New Roman" w:hAnsi="Times New Roman"/>
                <w:sz w:val="16"/>
              </w:rPr>
              <w:t xml:space="preserve"> — enuncia que a comprovação da capacidade técnico-profissional se aperfeiçoa mediante a apresentação da CAT, devendo o edital fixar as parcelas de maior relevância, </w:t>
            </w:r>
            <w:r>
              <w:rPr>
                <w:rFonts w:ascii="Times New Roman" w:hAnsi="Times New Roman"/>
                <w:b/>
                <w:sz w:val="16"/>
              </w:rPr>
              <w:t>vedada a imposição de quantitativos mínimos ou prazos máximos</w:t>
            </w:r>
            <w:r>
              <w:rPr>
                <w:rFonts w:ascii="Times New Roman" w:hAnsi="Times New Roman"/>
                <w:sz w:val="16"/>
              </w:rPr>
              <w:t xml:space="preserve">. Fato editalício: o item 1.3.4 do Anexo II exige "Atestado(s) ou Certidão(ões) de Capacitação técnica </w:t>
            </w:r>
            <w:r>
              <w:rPr>
                <w:rFonts w:ascii="Times New Roman" w:hAnsi="Times New Roman"/>
                <w:b/>
                <w:sz w:val="16"/>
              </w:rPr>
              <w:t>em nome do profissional</w:t>
            </w:r>
            <w:r>
              <w:rPr>
                <w:rFonts w:ascii="Times New Roman" w:hAnsi="Times New Roman"/>
                <w:sz w:val="16"/>
              </w:rPr>
              <w:t xml:space="preserve"> [...] acompanhando(s) da(s) Certidão(ões) de Acervo(s) Técnico(s) (CAT) [...] que façam explícita referência às parcelas de maior relevância, abaixo explicitadas (Súmula 23 do TCESP): Itens de maior relevância: a) Coleta e transporte de resíduos sólidos urbanos (Classe IIA) – </w:t>
            </w:r>
            <w:r>
              <w:rPr>
                <w:rFonts w:ascii="Times New Roman" w:hAnsi="Times New Roman"/>
                <w:b/>
                <w:sz w:val="16"/>
              </w:rPr>
              <w:t>520 toneladas/mês</w:t>
            </w:r>
            <w:r>
              <w:rPr>
                <w:rFonts w:ascii="Times New Roman" w:hAnsi="Times New Roman"/>
                <w:sz w:val="16"/>
              </w:rPr>
              <w:t xml:space="preserve">; b) Operação de aterro sanitário de resíduos sólidos urbanos (Classe IIA) – </w:t>
            </w:r>
            <w:r>
              <w:rPr>
                <w:rFonts w:ascii="Times New Roman" w:hAnsi="Times New Roman"/>
                <w:b/>
                <w:sz w:val="16"/>
              </w:rPr>
              <w:t>520 toneladas/mês</w:t>
            </w:r>
            <w:r>
              <w:rPr>
                <w:rFonts w:ascii="Times New Roman" w:hAnsi="Times New Roman"/>
                <w:sz w:val="16"/>
              </w:rPr>
              <w:t>". Conclusão: o dispositivo atribui à qualificação do profissional exatamente o quantitativo mínimo que a norma invocada como seu fundamento veda, em descompasso com o art. 67, I e § 2º, da Lei n.º 14.133/2021 e com a própria Súmula 23 do TCE-SP — contradição entre o fundamento declarado e o comando editalício.</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T13.b — "Quadro permanente".</w:t>
            </w:r>
            <w:r>
              <w:rPr>
                <w:rFonts w:ascii="Times New Roman" w:hAnsi="Times New Roman"/>
                <w:sz w:val="16"/>
              </w:rPr>
              <w:t xml:space="preserve"> Premissa normativa: o art. 67, I, exige apenas que a licitante </w:t>
            </w:r>
            <w:r>
              <w:rPr>
                <w:rFonts w:ascii="Times New Roman" w:hAnsi="Times New Roman"/>
                <w:b/>
                <w:sz w:val="16"/>
              </w:rPr>
              <w:t>apresente</w:t>
            </w:r>
            <w:r>
              <w:rPr>
                <w:rFonts w:ascii="Times New Roman" w:hAnsi="Times New Roman"/>
                <w:sz w:val="16"/>
              </w:rPr>
              <w:t xml:space="preserve"> profissional detentor de atestado de responsabilidade técnica "para fins de contratação"; a lei não impõe forma específica de vínculo, e o art. 67, § 6º, admite inclusive a substituição posterior do profissional por outro de experiência equivalente. Fato editalício: a declaração do Anexo IV, alínea "n" (c/c item 1.5.1 do Anexo II), obriga a vencedora a comprovar, na assinatura, "que os responsáveis técnicos indicados no(s) atestado(s) ou certidão(ões) apresentados na fase de habilitação </w:t>
            </w:r>
            <w:r>
              <w:rPr>
                <w:rFonts w:ascii="Times New Roman" w:hAnsi="Times New Roman"/>
                <w:b/>
                <w:sz w:val="16"/>
              </w:rPr>
              <w:t>pertencem ao quadro permanente</w:t>
            </w:r>
            <w:r>
              <w:rPr>
                <w:rFonts w:ascii="Times New Roman" w:hAnsi="Times New Roman"/>
                <w:sz w:val="16"/>
              </w:rPr>
              <w:t xml:space="preserve"> da Licitante, conforme SÚMULA N° 25 (TCE)"; a Obs. do item 1.3.4 fala, por sua vez, em "comprovação do </w:t>
            </w:r>
            <w:r>
              <w:rPr>
                <w:rFonts w:ascii="Times New Roman" w:hAnsi="Times New Roman"/>
                <w:b/>
                <w:sz w:val="16"/>
              </w:rPr>
              <w:t>vínculo empregatício</w:t>
            </w:r>
            <w:r>
              <w:rPr>
                <w:rFonts w:ascii="Times New Roman" w:hAnsi="Times New Roman"/>
                <w:sz w:val="16"/>
              </w:rPr>
              <w:t xml:space="preserve"> dos profissionais [...] por ocasião da assinatura do contrato". Conclusão: o diferimento da comprovação para a assinatura reduz o gravame na fase de habilitação, mas a expressão "quadro permanente"/"vínculo empregatício" restringe as formas admitidas de vinculação (excluindo, em leitura literal, contrato civil de prestação de serviços, sócio, ou compromisso de contratação futura), restrição sem amparo no art. 67, I, e que onera a formulação de propostas por licitantes que precisariam pré-contratar profissional com registro em carteira antes de saber se venceriam. [PENDENTE: conferir o enunciado exato da Súmula 25 do TCE-SP no portal do tribunal — não integra o rol de súmulas autorizadas sem busca — e busca TCU/TCE via Lei na Mão sobre formas admitidas de vínculo do responsável técnico antes do protocolo]</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T13.c — Experiência mínima de 36 meses (item 1.3.3.2).</w:t>
            </w:r>
            <w:r>
              <w:rPr>
                <w:rFonts w:ascii="Times New Roman" w:hAnsi="Times New Roman"/>
                <w:sz w:val="16"/>
              </w:rPr>
              <w:t xml:space="preserve"> Premissa normativa: o art. 67, § 2º, veda "limitações de tempo e de locais específicos relativas aos atestados"; o § 5º, por exceção aplicável a </w:t>
            </w:r>
            <w:r>
              <w:rPr>
                <w:rFonts w:ascii="Times New Roman" w:hAnsi="Times New Roman"/>
                <w:b/>
                <w:sz w:val="16"/>
              </w:rPr>
              <w:t>serviços contínuos</w:t>
            </w:r>
            <w:r>
              <w:rPr>
                <w:rFonts w:ascii="Times New Roman" w:hAnsi="Times New Roman"/>
                <w:sz w:val="16"/>
              </w:rPr>
              <w:t xml:space="preserve">, permite que o edital exija "certidão ou atestado que demonstre que o licitante tenha executado serviços similares ao objeto da licitação, em períodos sucessivos ou não, por um prazo mínimo, que não poderá ser superior a 3 (três) anos". Fato editalício: "1.3.3.2. A empresa licitante deverá comprovar, para os itens de maior relevância, que já prestou serviços – de maneira ininterrupta ou não – de ao menos 36 meses." Conclusão: a exigência situa-se formalmente dentro da moldura do § 5º (serviço contínuo; períodos sucessivos ou não; teto de 3 anos), mas em sua fronteira máxima, e com três vetores de questionamento: (i) foi fixada </w:t>
            </w:r>
            <w:r>
              <w:rPr>
                <w:rFonts w:ascii="Times New Roman" w:hAnsi="Times New Roman"/>
                <w:b/>
                <w:sz w:val="16"/>
              </w:rPr>
              <w:t>no teto legal sem justificativa específica nos autos</w:t>
            </w:r>
            <w:r>
              <w:rPr>
                <w:rFonts w:ascii="Times New Roman" w:hAnsi="Times New Roman"/>
                <w:sz w:val="16"/>
              </w:rPr>
              <w:t xml:space="preserve"> que demonstre por que 36 — e não 12 ou 24 — meses seriam indispensáveis à garantia do cumprimento das obrigações (art. 37, XXI, da CF/1988: somente exigências "indispensáveis"); (ii) aplica-se </w:t>
            </w:r>
            <w:r>
              <w:rPr>
                <w:rFonts w:ascii="Times New Roman" w:hAnsi="Times New Roman"/>
                <w:b/>
                <w:sz w:val="16"/>
              </w:rPr>
              <w:t>também à parcela "operação de aterro sanitário"</w:t>
            </w:r>
            <w:r>
              <w:rPr>
                <w:rFonts w:ascii="Times New Roman" w:hAnsi="Times New Roman"/>
                <w:sz w:val="16"/>
              </w:rPr>
              <w:t xml:space="preserve">, fase transitória do contrato (ver T13.d), de modo que se exige experiência trienal em atividade que pode ser executada por poucos meses; (iii) o efeito restritivo é </w:t>
            </w:r>
            <w:r>
              <w:rPr>
                <w:rFonts w:ascii="Times New Roman" w:hAnsi="Times New Roman"/>
                <w:b/>
                <w:sz w:val="16"/>
              </w:rPr>
              <w:t>cumulativo</w:t>
            </w:r>
            <w:r>
              <w:rPr>
                <w:rFonts w:ascii="Times New Roman" w:hAnsi="Times New Roman"/>
                <w:sz w:val="16"/>
              </w:rPr>
              <w:t xml:space="preserve"> com os quantitativos de 50% em dupla parcela e com a CAT quantificada — o conjunto, e não cada exigência isolada, é que define o filtro real de acesso ao certame (art. 9º, I, "a", da Lei n.º 14.133/2021). A leitura harmonizadora (§ 2º veda recortes temporais dos atestados — p.ex., atestados emitidos apenas nos últimos X anos —, enquanto o § 5º autoriza duração mínima da experiência) deve ser antecipada como defesa da Administração.</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T13.d — Operação de aterro como parcela de maior relevância (itens 1.3.3.b e 1.3.4.b) sendo o item 2 transitório.</w:t>
            </w:r>
            <w:r>
              <w:rPr>
                <w:rFonts w:ascii="Times New Roman" w:hAnsi="Times New Roman"/>
                <w:sz w:val="16"/>
              </w:rPr>
              <w:t xml:space="preserve"> Premissa normativa: o art. 67, § 1º, restringe a exigência de atestados às "parcelas de maior relevância </w:t>
            </w:r>
            <w:r>
              <w:rPr>
                <w:rFonts w:ascii="Times New Roman" w:hAnsi="Times New Roman"/>
                <w:b/>
                <w:sz w:val="16"/>
              </w:rPr>
              <w:t>ou valor significativo</w:t>
            </w:r>
            <w:r>
              <w:rPr>
                <w:rFonts w:ascii="Times New Roman" w:hAnsi="Times New Roman"/>
                <w:sz w:val="16"/>
              </w:rPr>
              <w:t xml:space="preserve">" (valor individual ≥ 4% do total estimado); as exigências devem guardar pertinência com o objeto efetivamente executável (art. 37, XXI, CF; art. 9º, I, "a" e "c", da Lei n.º 14.133/2021). Fato editalício: a operação do aterro municipal (item 2) é fase transitória encerrável com a exaustão da Vala 05, e o próprio edital a </w:t>
            </w:r>
            <w:r>
              <w:rPr>
                <w:rFonts w:ascii="Times New Roman" w:hAnsi="Times New Roman"/>
                <w:b/>
                <w:sz w:val="16"/>
              </w:rPr>
              <w:t>exclui do "valor máximo anual efetivamente executável"</w:t>
            </w:r>
            <w:r>
              <w:rPr>
                <w:rFonts w:ascii="Times New Roman" w:hAnsi="Times New Roman"/>
                <w:sz w:val="16"/>
              </w:rPr>
              <w:t xml:space="preserve"> ao calcular o capital mínimo (item 1.4.2: soma apenas dos itens 1, 3 e 4). Ainda assim, mantém "Operação de aterro sanitário [...] – 520 toneladas/mês" como segunda parcela de relevância tanto no atestado operacional quanto na CAT profissional, cumulada com a parcela de coleta. Conclusão: há contradição interna de critério — para fins econômicos o item 2 não é "efetivamente executável", mas para fins de habilitação técnica é parcela de relevância de peso idêntico à coleta —, e a cumulação (coleta + aterro na mesma licitante) tende a restringir o certame a operadores verticalizados, quando: (i) a destinação final admite subcontratação (item 4.5 do TR e resposta à 6ª impugnação); (ii) o art. 67, § 9º, oferece via menos restritiva (atestado de potencial subcontratado, até 25% do objeto) que o edital não adotou; (iii) o art. 15, III, admite somatório em consórcio, que não socorre a licitante singular. `</w:t>
            </w:r>
            <w:r>
              <w:rPr>
                <w:rFonts w:ascii="Times New Roman" w:hAnsi="Times New Roman"/>
                <w:b/>
                <w:color w:val="CC0000"/>
                <w:sz w:val="16"/>
              </w:rPr>
              <w:t>[VALIDAÇÃO TÉCNICA: pertinência e peso da parcela dependem da vida útil remanescente da Vala 05 e da representatividade real do item 2]</w:t>
            </w:r>
            <w:r>
              <w:rPr>
                <w:rFonts w:ascii="Times New Roman" w:hAnsi="Times New Roman"/>
                <w:sz w:val="16"/>
              </w:rPr>
              <w:t>`</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T13.e — Regime de engenharia (CREA/CAT/atestado registrado) para objeto qualificado como serviço comum.</w:t>
            </w:r>
            <w:r>
              <w:rPr>
                <w:rFonts w:ascii="Times New Roman" w:hAnsi="Times New Roman"/>
                <w:sz w:val="16"/>
              </w:rPr>
              <w:t xml:space="preserve"> Premissa normativa: o art. 67, I, II e V, condiciona registro profissional e emissão/registro por conselho à cláusula "</w:t>
            </w:r>
            <w:r>
              <w:rPr>
                <w:rFonts w:ascii="Times New Roman" w:hAnsi="Times New Roman"/>
                <w:b/>
                <w:sz w:val="16"/>
              </w:rPr>
              <w:t>quando for o caso</w:t>
            </w:r>
            <w:r>
              <w:rPr>
                <w:rFonts w:ascii="Times New Roman" w:hAnsi="Times New Roman"/>
                <w:sz w:val="16"/>
              </w:rPr>
              <w:t xml:space="preserve">"; o art. 67, § 3º, admite, </w:t>
            </w:r>
            <w:r>
              <w:rPr>
                <w:rFonts w:ascii="Times New Roman" w:hAnsi="Times New Roman"/>
                <w:b/>
                <w:sz w:val="16"/>
              </w:rPr>
              <w:t>salvo para obras e serviços de engenharia</w:t>
            </w:r>
            <w:r>
              <w:rPr>
                <w:rFonts w:ascii="Times New Roman" w:hAnsi="Times New Roman"/>
                <w:sz w:val="16"/>
              </w:rPr>
              <w:t xml:space="preserve">, a substituição das exigências dos incisos I e II por outras provas de conhecimento técnico; a coerência do regime repercute inclusive no parâmetro de inexequibilidade (art. 59, § 4º: presunção de inexequibilidade abaixo de 75% </w:t>
            </w:r>
            <w:r>
              <w:rPr>
                <w:rFonts w:ascii="Times New Roman" w:hAnsi="Times New Roman"/>
                <w:b/>
                <w:sz w:val="16"/>
              </w:rPr>
              <w:t>apenas</w:t>
            </w:r>
            <w:r>
              <w:rPr>
                <w:rFonts w:ascii="Times New Roman" w:hAnsi="Times New Roman"/>
                <w:sz w:val="16"/>
              </w:rPr>
              <w:t xml:space="preserve"> para obras e serviços de engenharia). Fato editalício: a resposta à 6ª impugnação qualificou o objeto como "serviço comum de limpeza pública, conforme ETP" e prometeu que "as referências incompatíveis com o regime efetivamente adotado serão eliminadas do instrumento"; o edital reaberto suprimiu o critério de 75%, adotando o indício de 50% de "bens e serviços em geral" (item 10.6), </w:t>
            </w:r>
            <w:r>
              <w:rPr>
                <w:rFonts w:ascii="Times New Roman" w:hAnsi="Times New Roman"/>
                <w:b/>
                <w:sz w:val="16"/>
              </w:rPr>
              <w:t>mas manteve</w:t>
            </w:r>
            <w:r>
              <w:rPr>
                <w:rFonts w:ascii="Times New Roman" w:hAnsi="Times New Roman"/>
                <w:sz w:val="16"/>
              </w:rPr>
              <w:t xml:space="preserve"> no Anexo II: registro no CREA da pessoa jurídica **e "dos pro</w:t>
            </w:r>
          </w:p>
          <w:p>
            <w:pPr>
              <w:spacing w:after="40" w:before="40" w:line="260" w:lineRule="exact"/>
              <w:jc w:val="both"/>
            </w:pPr>
            <w:r>
              <w:rPr>
                <w:rFonts w:ascii="Times New Roman" w:hAnsi="Times New Roman"/>
                <w:sz w:val="16"/>
              </w:rPr>
              <w:t>[...texto completo no arquivo AN_bloco correspondente]</w:t>
            </w:r>
          </w:p>
        </w:tc>
        <w:tc>
          <w:tcPr>
            <w:tcW w:type="dxa" w:w="2163"/>
          </w:tcPr>
          <w:p>
            <w:pPr>
              <w:spacing w:after="40" w:before="40" w:line="260" w:lineRule="exact"/>
              <w:jc w:val="both"/>
            </w:pPr>
            <w:r/>
            <w:r>
              <w:rPr>
                <w:rFonts w:ascii="Times New Roman" w:hAnsi="Times New Roman"/>
                <w:sz w:val="16"/>
              </w:rPr>
              <w:t>- art. 37, inciso XXI, da CF/1988 (somente exigências de qualificação técnica e econômica indispensáveis à garantia do cumprimento das obrigações)</w:t>
            </w:r>
          </w:p>
          <w:p>
            <w:pPr>
              <w:spacing w:after="40" w:before="40" w:line="260" w:lineRule="exact"/>
              <w:jc w:val="both"/>
            </w:pPr>
            <w:r>
              <w:rPr>
                <w:rFonts w:ascii="Times New Roman" w:hAnsi="Times New Roman"/>
                <w:sz w:val="16"/>
              </w:rPr>
              <w:t>- art. 67, incisos I, II e V, e §§ 1º, 2º, 3º, 5º, 6º e 9º, da Lei n.º 14.133/2021 (redação vigente conferida)</w:t>
            </w:r>
          </w:p>
          <w:p>
            <w:pPr>
              <w:spacing w:after="40" w:before="40" w:line="260" w:lineRule="exact"/>
              <w:jc w:val="both"/>
            </w:pPr>
            <w:r>
              <w:rPr>
                <w:rFonts w:ascii="Times New Roman" w:hAnsi="Times New Roman"/>
                <w:sz w:val="16"/>
              </w:rPr>
              <w:t>- art. 9º, inciso I, alíneas "a" e "c", da Lei n.º 14.133/2021</w:t>
            </w:r>
          </w:p>
          <w:p>
            <w:pPr>
              <w:spacing w:after="40" w:before="40" w:line="260" w:lineRule="exact"/>
              <w:jc w:val="both"/>
            </w:pPr>
            <w:r>
              <w:rPr>
                <w:rFonts w:ascii="Times New Roman" w:hAnsi="Times New Roman"/>
                <w:sz w:val="16"/>
              </w:rPr>
              <w:t>- art. 25, caput, da Lei n.º 14.133/2021 (coerência interna do edital)</w:t>
            </w:r>
          </w:p>
          <w:p>
            <w:pPr>
              <w:spacing w:after="40" w:before="40" w:line="260" w:lineRule="exact"/>
              <w:jc w:val="both"/>
            </w:pPr>
            <w:r>
              <w:rPr>
                <w:rFonts w:ascii="Times New Roman" w:hAnsi="Times New Roman"/>
                <w:sz w:val="16"/>
              </w:rPr>
              <w:t>- art. 15, inciso III, da Lei n.º 14.133/2021 (somatório em consórcio)</w:t>
            </w:r>
          </w:p>
          <w:p>
            <w:pPr>
              <w:spacing w:after="40" w:before="40" w:line="260" w:lineRule="exact"/>
              <w:jc w:val="both"/>
            </w:pPr>
            <w:r>
              <w:rPr>
                <w:rFonts w:ascii="Times New Roman" w:hAnsi="Times New Roman"/>
                <w:sz w:val="16"/>
              </w:rPr>
              <w:t>- art. 59, § 4º, da Lei n.º 14.133/2021 (parâmetro de inexequibilidade por regime do objeto)</w:t>
            </w:r>
          </w:p>
          <w:p>
            <w:pPr>
              <w:spacing w:after="40" w:before="40" w:line="260" w:lineRule="exact"/>
              <w:jc w:val="both"/>
            </w:pPr>
            <w:r>
              <w:rPr>
                <w:rFonts w:ascii="Times New Roman" w:hAnsi="Times New Roman"/>
                <w:sz w:val="16"/>
              </w:rPr>
              <w:t>- Súmula n.º 23 do TCE-SP (capacitação técnico-profissional por CAT — vedados quantitativos mínimos e prazos máximos; invocada pelo próprio item 1.3.4)</w:t>
            </w:r>
          </w:p>
          <w:p>
            <w:pPr>
              <w:spacing w:after="40" w:before="40" w:line="260" w:lineRule="exact"/>
              <w:jc w:val="both"/>
            </w:pPr>
            <w:r>
              <w:rPr>
                <w:rFonts w:ascii="Times New Roman" w:hAnsi="Times New Roman"/>
                <w:sz w:val="16"/>
              </w:rPr>
              <w:t>- Súmula n.º 24 do TCE-SP (capacitação operacional — quantitativos de 50%-60% admitidos)</w:t>
            </w:r>
          </w:p>
          <w:p>
            <w:pPr>
              <w:spacing w:after="40" w:before="40" w:line="260" w:lineRule="exact"/>
              <w:jc w:val="both"/>
            </w:pPr>
            <w:r>
              <w:rPr>
                <w:rFonts w:ascii="Times New Roman" w:hAnsi="Times New Roman"/>
                <w:sz w:val="16"/>
              </w:rPr>
              <w:t xml:space="preserve">- TJPR, Apelação Cível/Reexame Necessário n.º 0007465-37.2023.8.16.0033, 4ª Câmara Cível, Rel. Des. Clayton de Albuquerque Maranhão, publ. 14/04/2025 — "a exigência de comprovação de experiência superior ao necessário para a execução do contrato afronta os princípios da isonomia e da ampla competitividade" </w:t>
            </w:r>
            <w:r>
              <w:rPr>
                <w:rFonts w:ascii="Times New Roman" w:hAnsi="Times New Roman"/>
                <w:b/>
                <w:sz w:val="16"/>
              </w:rPr>
              <w:t>[VIT]</w:t>
            </w:r>
            <w:r>
              <w:rPr>
                <w:rFonts w:ascii="Times New Roman" w:hAnsi="Times New Roman"/>
                <w:sz w:val="16"/>
              </w:rPr>
            </w:r>
          </w:p>
          <w:p>
            <w:pPr>
              <w:spacing w:after="40" w:before="40" w:line="260" w:lineRule="exact"/>
              <w:jc w:val="both"/>
            </w:pPr>
            <w:r>
              <w:rPr>
                <w:rFonts w:ascii="Times New Roman" w:hAnsi="Times New Roman"/>
                <w:sz w:val="16"/>
              </w:rPr>
              <w:t xml:space="preserve">- </w:t>
            </w:r>
            <w:r>
              <w:rPr>
                <w:rFonts w:ascii="Times New Roman" w:hAnsi="Times New Roman"/>
                <w:b/>
                <w:sz w:val="16"/>
              </w:rPr>
              <w:t>[PENDENTE: busca TCU/TCE via Lei na Mão antes do protocolo — quantitativos em CAT profissional; formas de vínculo do RT; justificativa do prazo do art. 67, § 5º]</w:t>
            </w:r>
            <w:r>
              <w:rPr>
                <w:rFonts w:ascii="Times New Roman" w:hAnsi="Times New Roman"/>
                <w:sz w:val="16"/>
              </w:rPr>
            </w:r>
          </w:p>
          <w:p>
            <w:pPr>
              <w:spacing w:after="40" w:before="40" w:line="260" w:lineRule="exact"/>
              <w:jc w:val="both"/>
            </w:pPr>
            <w:r>
              <w:rPr>
                <w:rFonts w:ascii="Times New Roman" w:hAnsi="Times New Roman"/>
                <w:sz w:val="16"/>
              </w:rPr>
              <w:t>- Não localizei, na base judicial consultada, precedente específico sobre (i) a vedação de quantitativos mínimos em CAT sob a Lei 14.133 e (ii) a exigência de "quadro permanente" sob a Lei 14.133 — a tese sustenta-se na literalidade do art. 67 e na Súmula 23 do TCE-SP.</w:t>
            </w:r>
          </w:p>
          <w:p>
            <w:pPr>
              <w:spacing w:after="40" w:before="40" w:line="260" w:lineRule="exact"/>
              <w:jc w:val="both"/>
            </w:pPr>
            <w:r>
              <w:rPr>
                <w:rFonts w:ascii="Times New Roman" w:hAnsi="Times New Roman"/>
                <w:sz w:val="16"/>
              </w:rPr>
              <w:t>Doutrina: - HELY LOPES MEIRELLES, *Direito Administrativo Brasileiro*, 23ª ed., Malheiros, p. 261: a comprovação da capacidade técnico-profissional se faz pela demonstração de profissional detentor de atestado de responsabilidade técnica, "</w:t>
            </w:r>
            <w:r>
              <w:rPr>
                <w:rFonts w:ascii="Times New Roman" w:hAnsi="Times New Roman"/>
                <w:b/>
                <w:sz w:val="16"/>
              </w:rPr>
              <w:t>vedadas as exigências de quantidades mínimas ou prazos máximos</w:t>
            </w:r>
            <w:r>
              <w:rPr>
                <w:rFonts w:ascii="Times New Roman" w:hAnsi="Times New Roman"/>
                <w:sz w:val="16"/>
              </w:rPr>
              <w:t>"; e p. 150, com apoio no art. 37, XXI, da CF: no processo licitatório "somente serão permitidas as exigências de qualificação técnica e econômica indispensáveis à garantia do cumprimento das obrigações".</w:t>
            </w:r>
          </w:p>
          <w:p>
            <w:pPr>
              <w:spacing w:after="40" w:before="40" w:line="260" w:lineRule="exact"/>
              <w:jc w:val="both"/>
            </w:pPr>
            <w:r>
              <w:rPr>
                <w:rFonts w:ascii="Times New Roman" w:hAnsi="Times New Roman"/>
                <w:sz w:val="16"/>
              </w:rPr>
              <w:t>- MARCELO ALEXANDRINO, *Direito Administrativo Descomplicado*, 25ª ed., Método, 2017, p. 758-759: a lei "proíbe qualquer exigência supérflua ou desnecessária", pois exigências dessa ordem "indicariam direcionamento da licitação".</w:t>
            </w:r>
          </w:p>
          <w:p>
            <w:pPr>
              <w:spacing w:after="40" w:before="40" w:line="260" w:lineRule="exact"/>
              <w:jc w:val="both"/>
            </w:pPr>
            <w:r>
              <w:rPr>
                <w:rFonts w:ascii="Times New Roman" w:hAnsi="Times New Roman"/>
                <w:sz w:val="16"/>
              </w:rPr>
              <w:t>— Jurisprudência TCU/TCE (Lei na Mão) —</w:t>
            </w:r>
          </w:p>
          <w:p>
            <w:pPr>
              <w:spacing w:after="40" w:before="40" w:line="260" w:lineRule="exact"/>
              <w:jc w:val="both"/>
            </w:pPr>
            <w:r>
              <w:rPr>
                <w:rFonts w:ascii="Times New Roman" w:hAnsi="Times New Roman"/>
                <w:sz w:val="16"/>
              </w:rPr>
              <w:t>• Entendimento TCU-Plenário, sessão de 01/02/2012 (Jurisprudência Selecionada 22141) [VIT</w:t>
            </w:r>
          </w:p>
          <w:p>
            <w:pPr>
              <w:spacing w:after="40" w:before="40" w:line="260" w:lineRule="exact"/>
              <w:jc w:val="both"/>
            </w:pPr>
            <w:r>
              <w:rPr>
                <w:rFonts w:ascii="Times New Roman" w:hAnsi="Times New Roman"/>
                <w:sz w:val="16"/>
              </w:rPr>
              <w:t>• Entendimento TCU-Plenário, sessão de 16/10/2019 (Jurisprudência Selecionada 80316) [VIT</w:t>
            </w:r>
          </w:p>
          <w:p>
            <w:pPr>
              <w:spacing w:after="40" w:before="40" w:line="260" w:lineRule="exact"/>
              <w:jc w:val="both"/>
            </w:pPr>
            <w:r>
              <w:rPr>
                <w:rFonts w:ascii="Times New Roman" w:hAnsi="Times New Roman"/>
                <w:sz w:val="16"/>
              </w:rPr>
              <w:t>• Entendimento TCU-Plenário, sessão de 16/03/2022 (Jurisprudência Selecionada 128556) [VIT</w:t>
            </w:r>
          </w:p>
          <w:p>
            <w:pPr>
              <w:spacing w:after="40" w:before="40" w:line="260" w:lineRule="exact"/>
              <w:jc w:val="both"/>
            </w:pPr>
            <w:r>
              <w:rPr>
                <w:rFonts w:ascii="Times New Roman" w:hAnsi="Times New Roman"/>
                <w:sz w:val="16"/>
              </w:rPr>
              <w:t xml:space="preserve">• Acórdão 165/2012-TCU-Plenário, Rel. Aroldo Cedraz, sessão de 01/02/2012 </w:t>
            </w:r>
            <w:r>
              <w:rPr>
                <w:rFonts w:ascii="Times New Roman" w:hAnsi="Times New Roman"/>
                <w:b/>
                <w:color w:val="CC0000"/>
                <w:sz w:val="16"/>
              </w:rPr>
              <w:t>[VIT]</w:t>
            </w:r>
            <w:r>
              <w:rPr>
                <w:rFonts w:ascii="Times New Roman" w:hAnsi="Times New Roman"/>
                <w:sz w:val="16"/>
              </w:rPr>
            </w:r>
          </w:p>
          <w:p>
            <w:pPr>
              <w:spacing w:after="40" w:before="40" w:line="260" w:lineRule="exact"/>
              <w:jc w:val="both"/>
            </w:pPr>
            <w:r>
              <w:rPr>
                <w:rFonts w:ascii="Times New Roman" w:hAnsi="Times New Roman"/>
                <w:sz w:val="16"/>
              </w:rPr>
              <w:t>• Convergência com a Súmula 23 do TCE-SP (invocada pelo próprio edital), que veda quantitativos mínimos na capacitação técnico-profissional — a contradição interna apontada em T13.a fica corroborada pela linha do TCU.</w:t>
            </w:r>
          </w:p>
          <w:p>
            <w:pPr>
              <w:spacing w:after="40" w:before="40" w:line="260" w:lineRule="exact"/>
              <w:jc w:val="both"/>
            </w:pPr>
            <w:r>
              <w:rPr>
                <w:rFonts w:ascii="Times New Roman" w:hAnsi="Times New Roman"/>
                <w:sz w:val="16"/>
              </w:rPr>
              <w:t>• Entendimento TCU-Primeira Câmara, sessão de 26/03/2019 (Jurisprudência Selecionada 70421) [VIT</w:t>
            </w:r>
          </w:p>
          <w:p>
            <w:pPr>
              <w:spacing w:after="40" w:before="40" w:line="260" w:lineRule="exact"/>
              <w:jc w:val="both"/>
            </w:pPr>
            <w:r>
              <w:rPr>
                <w:rFonts w:ascii="Times New Roman" w:hAnsi="Times New Roman"/>
                <w:sz w:val="16"/>
              </w:rPr>
              <w:t>• Entendimento TCU-Plenário, sessão de 15/12/2004 (Jurisprudência Selecionada 34242) [VIT</w:t>
            </w:r>
          </w:p>
          <w:p>
            <w:pPr>
              <w:spacing w:after="40" w:before="40" w:line="260" w:lineRule="exact"/>
              <w:jc w:val="both"/>
            </w:pPr>
            <w:r>
              <w:rPr>
                <w:rFonts w:ascii="Times New Roman" w:hAnsi="Times New Roman"/>
                <w:sz w:val="16"/>
              </w:rPr>
              <w:t>• Entendimento TCU-Plenário, sessão de 09/12/2009 (Jurisprudência Selecionada 25483) [VIT</w:t>
            </w:r>
          </w:p>
          <w:p>
            <w:pPr>
              <w:spacing w:after="40" w:before="40" w:line="260" w:lineRule="exact"/>
              <w:jc w:val="both"/>
            </w:pPr>
            <w:r>
              <w:rPr>
                <w:rFonts w:ascii="Times New Roman" w:hAnsi="Times New Roman"/>
                <w:sz w:val="16"/>
              </w:rPr>
              <w:t>• Entendimento TCU-Plenário, sessão de 26/11/2014 (Jurisprudência Selecionada 21881) [VIT</w:t>
            </w:r>
          </w:p>
          <w:p>
            <w:pPr>
              <w:spacing w:after="40" w:before="40" w:line="260" w:lineRule="exact"/>
              <w:jc w:val="both"/>
            </w:pPr>
            <w:r>
              <w:rPr>
                <w:rFonts w:ascii="Times New Roman" w:hAnsi="Times New Roman"/>
                <w:sz w:val="16"/>
              </w:rPr>
              <w:t>• Entendimento TCU-Primeira Câmara, sessão de 26/05/2015 (Jurisprudência Selecionada 21832) [VIT</w:t>
            </w:r>
          </w:p>
          <w:p>
            <w:pPr>
              <w:spacing w:after="40" w:before="40" w:line="260" w:lineRule="exact"/>
              <w:jc w:val="both"/>
            </w:pPr>
            <w:r>
              <w:rPr>
                <w:rFonts w:ascii="Times New Roman" w:hAnsi="Times New Roman"/>
                <w:sz w:val="16"/>
              </w:rPr>
              <w:t>• Entendimento TCU-Plenário, sessão de 27/01/2010 (Jurisprudência Selecionada 25394) [VIT</w:t>
            </w:r>
          </w:p>
          <w:p>
            <w:pPr>
              <w:spacing w:after="40" w:before="40" w:line="260" w:lineRule="exact"/>
              <w:jc w:val="both"/>
            </w:pPr>
            <w:r>
              <w:rPr>
                <w:rFonts w:ascii="Times New Roman" w:hAnsi="Times New Roman"/>
                <w:sz w:val="16"/>
              </w:rPr>
              <w:t>• Entendimento TCU-Plenário, sessão de 04/03/2015 (Jurisprudência Selecionada 25230) [VIT</w:t>
            </w:r>
          </w:p>
          <w:p>
            <w:pPr>
              <w:spacing w:after="40" w:before="40" w:line="260" w:lineRule="exact"/>
              <w:jc w:val="both"/>
            </w:pPr>
            <w:r>
              <w:rPr>
                <w:rFonts w:ascii="Times New Roman" w:hAnsi="Times New Roman"/>
                <w:sz w:val="16"/>
              </w:rPr>
              <w:t xml:space="preserve">• Acórdão 141/2008-TCU-Plenário, Rel. Ubiratan Aguiar, sessão de 13/02/2008 </w:t>
            </w:r>
            <w:r>
              <w:rPr>
                <w:rFonts w:ascii="Times New Roman" w:hAnsi="Times New Roman"/>
                <w:b/>
                <w:color w:val="CC0000"/>
                <w:sz w:val="16"/>
              </w:rPr>
              <w:t>[VIT]</w:t>
            </w:r>
            <w:r>
              <w:rPr>
                <w:rFonts w:ascii="Times New Roman" w:hAnsi="Times New Roman"/>
                <w:sz w:val="16"/>
              </w:rPr>
            </w:r>
          </w:p>
          <w:p>
            <w:pPr>
              <w:spacing w:after="40" w:before="40" w:line="260" w:lineRule="exact"/>
              <w:jc w:val="both"/>
            </w:pPr>
            <w:r>
              <w:rPr>
                <w:rFonts w:ascii="Times New Roman" w:hAnsi="Times New Roman"/>
                <w:sz w:val="16"/>
              </w:rPr>
              <w:t xml:space="preserve">• Sobre </w:t>
            </w:r>
            <w:r>
              <w:rPr>
                <w:rFonts w:ascii="Times New Roman" w:hAnsi="Times New Roman"/>
                <w:b/>
                <w:sz w:val="16"/>
              </w:rPr>
              <w:t>visita técnica</w:t>
            </w:r>
            <w:r>
              <w:rPr>
                <w:rFonts w:ascii="Times New Roman" w:hAnsi="Times New Roman"/>
                <w:sz w:val="16"/>
              </w:rPr>
              <w:t>: nada além do já autorizado (Súmula 272 do TCU, uso direto). Nenhum precedente adicional localizado nesta rodada.</w:t>
            </w:r>
          </w:p>
          <w:p>
            <w:pPr>
              <w:spacing w:after="40" w:before="40" w:line="260" w:lineRule="exact"/>
              <w:jc w:val="both"/>
            </w:pPr>
            <w:r>
              <w:rPr>
                <w:rFonts w:ascii="Times New Roman" w:hAnsi="Times New Roman"/>
                <w:sz w:val="16"/>
              </w:rPr>
              <w:t>• TCE-SP: sem retorno com tese identificável (Súmulas 23/24/30 p</w:t>
            </w:r>
          </w:p>
          <w:p>
            <w:pPr>
              <w:spacing w:after="40" w:before="40" w:line="260" w:lineRule="exact"/>
              <w:jc w:val="both"/>
            </w:pPr>
            <w:r>
              <w:rPr>
                <w:rFonts w:ascii="Times New Roman" w:hAnsi="Times New Roman"/>
                <w:sz w:val="16"/>
              </w:rPr>
              <w:t>[...ver anexo completo]</w:t>
            </w:r>
          </w:p>
        </w:tc>
        <w:tc>
          <w:tcPr>
            <w:tcW w:type="dxa" w:w="2163"/>
          </w:tcPr>
          <w:p>
            <w:pPr>
              <w:spacing w:after="40" w:before="40" w:line="260" w:lineRule="exact"/>
              <w:jc w:val="center"/>
            </w:pPr>
            <w:r/>
            <w:r>
              <w:rPr>
                <w:rFonts w:ascii="Times New Roman" w:hAnsi="Times New Roman"/>
                <w:b w:val="0"/>
                <w:sz w:val="18"/>
              </w:rPr>
              <w:t>Sim</w:t>
            </w:r>
          </w:p>
        </w:tc>
        <w:tc>
          <w:tcPr>
            <w:tcW w:type="dxa" w:w="2163"/>
          </w:tcPr>
          <w:p>
            <w:pPr>
              <w:spacing w:after="40" w:before="40" w:line="260" w:lineRule="exact"/>
              <w:jc w:val="center"/>
            </w:pPr>
            <w:r/>
            <w:r>
              <w:rPr>
                <w:rFonts w:ascii="Times New Roman" w:hAnsi="Times New Roman"/>
                <w:b w:val="0"/>
                <w:sz w:val="18"/>
              </w:rPr>
              <w:t>**DECISAO_COMERCIAL**</w:t>
              <w:br/>
              <w:t>(Administração)</w:t>
            </w:r>
          </w:p>
        </w:tc>
      </w:tr>
      <w:tr>
        <w:tc>
          <w:tcPr>
            <w:tcW w:type="dxa" w:w="2163"/>
            <w:shd w:fill="F2F2F2" w:val="clear"/>
          </w:tcPr>
          <w:p>
            <w:pPr>
              <w:spacing w:after="40" w:before="40" w:line="260" w:lineRule="exact"/>
              <w:jc w:val="center"/>
            </w:pPr>
            <w:r/>
            <w:r>
              <w:rPr>
                <w:rFonts w:ascii="Times New Roman" w:hAnsi="Times New Roman"/>
                <w:b w:val="0"/>
                <w:sz w:val="18"/>
              </w:rPr>
              <w:t>T14</w:t>
            </w:r>
          </w:p>
        </w:tc>
        <w:tc>
          <w:tcPr>
            <w:tcW w:type="dxa" w:w="2163"/>
            <w:shd w:fill="F2F2F2" w:val="clear"/>
          </w:tcPr>
          <w:p>
            <w:pPr>
              <w:spacing w:after="40" w:before="40" w:line="260" w:lineRule="exact"/>
            </w:pPr>
            <w:r/>
            <w:r>
              <w:rPr>
                <w:rFonts w:ascii="Times New Roman" w:hAnsi="Times New Roman"/>
                <w:b w:val="0"/>
                <w:sz w:val="18"/>
              </w:rPr>
              <w:t>Habilitação</w:t>
            </w:r>
          </w:p>
        </w:tc>
        <w:tc>
          <w:tcPr>
            <w:tcW w:type="dxa" w:w="2163"/>
            <w:shd w:fill="F2F2F2" w:val="clear"/>
          </w:tcPr>
          <w:p>
            <w:pPr>
              <w:spacing w:after="40" w:before="40" w:line="260" w:lineRule="exact"/>
              <w:jc w:val="both"/>
            </w:pPr>
            <w:r/>
            <w:r>
              <w:rPr>
                <w:rFonts w:ascii="Times New Roman" w:hAnsi="Times New Roman"/>
                <w:sz w:val="18"/>
              </w:rPr>
              <w:t>Habilitação econômico-financeira</w:t>
            </w:r>
          </w:p>
        </w:tc>
        <w:tc>
          <w:tcPr>
            <w:tcW w:type="dxa" w:w="2163"/>
            <w:shd w:fill="F2F2F2" w:val="clear"/>
          </w:tcPr>
          <w:p>
            <w:pPr>
              <w:spacing w:after="40" w:before="40" w:line="260" w:lineRule="exact"/>
              <w:jc w:val="both"/>
            </w:pPr>
            <w:r/>
            <w:r>
              <w:rPr>
                <w:rFonts w:ascii="Times New Roman" w:hAnsi="Times New Roman"/>
                <w:sz w:val="16"/>
              </w:rPr>
            </w:r>
            <w:r>
              <w:rPr>
                <w:rFonts w:ascii="Times New Roman" w:hAnsi="Times New Roman"/>
                <w:b/>
                <w:sz w:val="16"/>
              </w:rPr>
              <w:t>T14.a — Cumulação de capital social mínimo + índices LG/SG/LC ≥ 1 + patrimônio líquido mínimo.</w:t>
            </w:r>
            <w:r>
              <w:rPr>
                <w:rFonts w:ascii="Times New Roman" w:hAnsi="Times New Roman"/>
                <w:sz w:val="16"/>
              </w:rPr>
              <w:t xml:space="preserve"> Premissa normativa: o art. 69, caput, da Lei n.º 14.133/2021 estabelece que a habilitação econômico-financeira "será </w:t>
            </w:r>
            <w:r>
              <w:rPr>
                <w:rFonts w:ascii="Times New Roman" w:hAnsi="Times New Roman"/>
                <w:b/>
                <w:sz w:val="16"/>
              </w:rPr>
              <w:t>restrita</w:t>
            </w:r>
            <w:r>
              <w:rPr>
                <w:rFonts w:ascii="Times New Roman" w:hAnsi="Times New Roman"/>
                <w:sz w:val="16"/>
              </w:rPr>
              <w:t xml:space="preserve">" ao balanço/demonstrações (inciso I) e à certidão negativa de feitos sobre falência (inciso II), avaliados "por coeficientes e índices econômicos previstos no edital, </w:t>
            </w:r>
            <w:r>
              <w:rPr>
                <w:rFonts w:ascii="Times New Roman" w:hAnsi="Times New Roman"/>
                <w:b/>
                <w:sz w:val="16"/>
              </w:rPr>
              <w:t>devidamente justificados no processo licitatório</w:t>
            </w:r>
            <w:r>
              <w:rPr>
                <w:rFonts w:ascii="Times New Roman" w:hAnsi="Times New Roman"/>
                <w:sz w:val="16"/>
              </w:rPr>
              <w:t xml:space="preserve">"; o § 4º autoriza, para obras e serviços, "a exigência de </w:t>
            </w:r>
            <w:r>
              <w:rPr>
                <w:rFonts w:ascii="Times New Roman" w:hAnsi="Times New Roman"/>
                <w:b/>
                <w:sz w:val="16"/>
              </w:rPr>
              <w:t>capital mínimo ou de patrimônio líquido mínimo</w:t>
            </w:r>
            <w:r>
              <w:rPr>
                <w:rFonts w:ascii="Times New Roman" w:hAnsi="Times New Roman"/>
                <w:sz w:val="16"/>
              </w:rPr>
              <w:t xml:space="preserve"> equivalente a até 10% (dez por cento) do valor estimado da contratação" — conjunção alternativa "</w:t>
            </w:r>
            <w:r>
              <w:rPr>
                <w:rFonts w:ascii="Times New Roman" w:hAnsi="Times New Roman"/>
                <w:b/>
                <w:sz w:val="16"/>
              </w:rPr>
              <w:t>ou</w:t>
            </w:r>
            <w:r>
              <w:rPr>
                <w:rFonts w:ascii="Times New Roman" w:hAnsi="Times New Roman"/>
                <w:sz w:val="16"/>
              </w:rPr>
              <w:t xml:space="preserve">", não aditiva; o § 3º admite a exigência da </w:t>
            </w:r>
            <w:r>
              <w:rPr>
                <w:rFonts w:ascii="Times New Roman" w:hAnsi="Times New Roman"/>
                <w:b/>
                <w:sz w:val="16"/>
              </w:rPr>
              <w:t>relação</w:t>
            </w:r>
            <w:r>
              <w:rPr>
                <w:rFonts w:ascii="Times New Roman" w:hAnsi="Times New Roman"/>
                <w:sz w:val="16"/>
              </w:rPr>
              <w:t xml:space="preserve"> dos compromissos assumidos que importem diminuição da capacidade econômico-financeira — instrumento de análise, não requisito autônomo; e o § 5º veda "índices e valores não usualmente adotados". Fato editalício: o Anexo II cumula </w:t>
            </w:r>
            <w:r>
              <w:rPr>
                <w:rFonts w:ascii="Times New Roman" w:hAnsi="Times New Roman"/>
                <w:b/>
                <w:sz w:val="16"/>
              </w:rPr>
              <w:t>três</w:t>
            </w:r>
            <w:r>
              <w:rPr>
                <w:rFonts w:ascii="Times New Roman" w:hAnsi="Times New Roman"/>
                <w:sz w:val="16"/>
              </w:rPr>
              <w:t xml:space="preserve"> camadas: (i) item 1.4.2 — capital mínimo de R$ 708.760,32 (10% do "valor máximo anual efetivamente executável": soma dos itens 1, 3 e 4); (ii) item 1.4.3, "c" — índices LG, SG e LC ≥ 1; e (iii) item 1.4.3, "c", parte final — "Patrimônio Líquido (PL) </w:t>
            </w:r>
            <w:r>
              <w:rPr>
                <w:rFonts w:ascii="Times New Roman" w:hAnsi="Times New Roman"/>
                <w:b/>
                <w:sz w:val="16"/>
              </w:rPr>
              <w:t>superior a 1/12</w:t>
            </w:r>
            <w:r>
              <w:rPr>
                <w:rFonts w:ascii="Times New Roman" w:hAnsi="Times New Roman"/>
                <w:sz w:val="16"/>
              </w:rPr>
              <w:t xml:space="preserve"> (um doze avos) do valor total dos contratos firmados com a Administração Pública e com a iniciativa privada", com fórmula grafada de modo defeituoso ("PL = VALOR DO PATRIMÔNIO LÍQUIDO x 12 &gt; 1 / VALOR TOTAL DOS CONTRATOS"). Conclusão: a exigência simultânea de capital mínimo </w:t>
            </w:r>
            <w:r>
              <w:rPr>
                <w:rFonts w:ascii="Times New Roman" w:hAnsi="Times New Roman"/>
                <w:b/>
                <w:sz w:val="16"/>
              </w:rPr>
              <w:t>e</w:t>
            </w:r>
            <w:r>
              <w:rPr>
                <w:rFonts w:ascii="Times New Roman" w:hAnsi="Times New Roman"/>
                <w:sz w:val="16"/>
              </w:rPr>
              <w:t xml:space="preserve"> patrimônio líquido mínimo excede a alternatividade do art. 69, § 4º; o requisito de PL ≥ 1/12 dos compromissos firmados converte a "relação de compromissos" do § 3º (e do Anexo IV, que exige a relação declaratória) em terceiro requisito eliminatório autônomo, sem base no rol restritivo do art. 69 — construção herdada da prática normativa federal para serviços contínuos com dedicação exclusiva de mão de obra (modelo da IN SEGES/MP n.º 5/2017, Anexo VII-A), que não foi transposta por norma ao regime da Lei n.º 14.133/2021 no âmbito do Município [confirmar existência de regulamento municipal antes do protocolo]. A tríplice cumulação eleva o filtro econômico além do necessário para um contrato de execução continuada com pagamentos mensais, em tensão com o art. 37, XXI, da CF/1988 e o art. 9º, I, "a", da Lei n.º 14.133/2021.</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T14.b — Justificativa genérica dos índices.</w:t>
            </w:r>
            <w:r>
              <w:rPr>
                <w:rFonts w:ascii="Times New Roman" w:hAnsi="Times New Roman"/>
                <w:sz w:val="16"/>
              </w:rPr>
              <w:t xml:space="preserve"> Premissa normativa: art. 69, caput — coeficientes e índices devem estar "devidamente justificados </w:t>
            </w:r>
            <w:r>
              <w:rPr>
                <w:rFonts w:ascii="Times New Roman" w:hAnsi="Times New Roman"/>
                <w:b/>
                <w:sz w:val="16"/>
              </w:rPr>
              <w:t>no processo licitatório</w:t>
            </w:r>
            <w:r>
              <w:rPr>
                <w:rFonts w:ascii="Times New Roman" w:hAnsi="Times New Roman"/>
                <w:sz w:val="16"/>
              </w:rPr>
              <w:t xml:space="preserve">". Fato editalício: a nota inserida ao final do item 1.4.3 limita-se a afirmar que "A adoção das fórmulas supra, justifica-se na busca dos resultados, consistentes na apuração da situação econômico-financeira das empresas [...] todos os indicadores são hábeis a demonstrar a posição financeira da empresa", invocando ainda o TAC n.º 088/2014 – MPT/PRT 15ª Região. Conclusão: trata-se de justificativa circular (afirma que os índices servem para medir aquilo que índices medem), que não motiva a </w:t>
            </w:r>
            <w:r>
              <w:rPr>
                <w:rFonts w:ascii="Times New Roman" w:hAnsi="Times New Roman"/>
                <w:b/>
                <w:sz w:val="16"/>
              </w:rPr>
              <w:t>calibragem</w:t>
            </w:r>
            <w:r>
              <w:rPr>
                <w:rFonts w:ascii="Times New Roman" w:hAnsi="Times New Roman"/>
                <w:sz w:val="16"/>
              </w:rPr>
              <w:t xml:space="preserve"> adotada (por que ≥ 1; por que 1/12; por que cumulados com capital), nem consta demonstração técnica nos autos disponibilizados — descumprimento do dever de justificação específica. `DEPENDE_DE_FATO: verificar se o processo administrativo contém estudo não publicado.`</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T14.c — Capital da resposta vinculante (R$ 919.385,28) vs. edital reaberto (R$ 708.760,32).</w:t>
            </w:r>
            <w:r>
              <w:rPr>
                <w:rFonts w:ascii="Times New Roman" w:hAnsi="Times New Roman"/>
                <w:sz w:val="16"/>
              </w:rPr>
              <w:t xml:space="preserve"> Premissa normativa: art. 55, § 1º (modificações do edital exigem divulgação na mesma forma), art. 5º (segurança jurídica, proteção da confiança) e art. 15, § 1º (o edital "deverá estabelecer" o acréscimo de 10% a 30% para consórcios sobre o valor exigido do licitante individual). Fato editalício: a resposta à 1ª impugnação afirmou que "O acréscimo incidirá na comprovação de capital mínimo no valor de R$ 919.385,28 [...] equivalente a 10% do valor estimado da licitação"; o edital reaberto fixa capital de R$ 708.760,32 sobre base nova (soma dos itens 1, 3 e 4), com acréscimo de 15% para consórcios não integralmente formados por ME/EPP (item 1.4.2.1.1 do Anexo II). Há ainda divergência interna sobre a própria regra do acréscimo: o item 7.10.4.1 do edital condiciona os 15% a "o Termo de Referência exigir requisitos de habilitação econômico-financeira" — mas tais requisitos constam do </w:t>
            </w:r>
            <w:r>
              <w:rPr>
                <w:rFonts w:ascii="Times New Roman" w:hAnsi="Times New Roman"/>
                <w:b/>
                <w:sz w:val="16"/>
              </w:rPr>
              <w:t>Anexo II</w:t>
            </w:r>
            <w:r>
              <w:rPr>
                <w:rFonts w:ascii="Times New Roman" w:hAnsi="Times New Roman"/>
                <w:sz w:val="16"/>
              </w:rPr>
              <w:t>, não do TR (que apenas remete) —, enquanto o item 1.4.2.1.1 os impõe incondicionalmente. Conclusão: coexistem três enunciados sobre capital mínimo/acréscimo (resposta à 1ª impugnação; edital 7.10.4.1; Anexo II 1.4.2/1.4.2.1.1) sem regra de prevalência expressa, gerando insegurança sobre a base de habilitação de consórcios — questão de clareza (art. 25, caput) com solução natural por esclarecimento dirigido. Conexão com T1: a base "efetivamente executável" (exclusão do item 2) confirma que a Administração reconhece a exclusão mútua dos itens 2 e 3 quando lhe convém, reforçando a crítica à soma no valor estimado.</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T14.d — Recuperação judicial sem disciplina.</w:t>
            </w:r>
            <w:r>
              <w:rPr>
                <w:rFonts w:ascii="Times New Roman" w:hAnsi="Times New Roman"/>
                <w:sz w:val="16"/>
              </w:rPr>
              <w:t xml:space="preserve"> Premissa normativa: o art. 69, II, exige apenas "certidão negativa de feitos sobre falência"; a jurisprudência formada sob o princípio da preservação da empresa (art. 47 da Lei n.º 11.101/2005) admite a participação de empresas em recuperação judicial em licitações, mediante demonstração de viabilidade (linha reconhecida em STF, ARE 1.448.735, decisão monocrática, Rel. Min. Alexandre de Moraes, j. 04/08/2023, reportando-se à jurisprudência do STJ sobre a dispensa de certidões negativas de recuperação para preservar a atividade empresarial </w:t>
            </w:r>
            <w:r>
              <w:rPr>
                <w:rFonts w:ascii="Times New Roman" w:hAnsi="Times New Roman"/>
                <w:b/>
                <w:sz w:val="16"/>
              </w:rPr>
              <w:t>[VIT]</w:t>
            </w:r>
            <w:r>
              <w:rPr>
                <w:rFonts w:ascii="Times New Roman" w:hAnsi="Times New Roman"/>
                <w:sz w:val="16"/>
              </w:rPr>
              <w:t xml:space="preserve">). Fato editalício: o item 1.4.1 exige "Certidão negativa de feitos sobre falência" sem qualquer disciplina para o licitante em recuperação judicial ou extrajudicial (a certidão de distribuição usualmente aponta o feito de recuperação). Conclusão: a omissão permite tanto leitura inclusiva (certidão positiva de recuperação não é certidão positiva de falência) quanto leitura eliminatória na sessão, transferindo ao pregoeiro decisão que o edital deveria predeterminar (art. 25, caput). Não localizei precedente específico sobre o tema sob a Lei n.º 14.133/2021 na base consultada. </w:t>
            </w:r>
            <w:r>
              <w:rPr>
                <w:rFonts w:ascii="Times New Roman" w:hAnsi="Times New Roman"/>
                <w:b/>
                <w:sz w:val="16"/>
              </w:rPr>
              <w:t>[PENDENTE: busca TCU/TCE via Lei na Mão antes do protocolo]</w:t>
            </w:r>
            <w:r>
              <w:rPr>
                <w:rFonts w:ascii="Times New Roman" w:hAnsi="Times New Roman"/>
                <w:sz w:val="16"/>
              </w:rPr>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Contra-argumentos antecipados —</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xml:space="preserve">- </w:t>
            </w:r>
            <w:r>
              <w:rPr>
                <w:rFonts w:ascii="Times New Roman" w:hAnsi="Times New Roman"/>
                <w:b/>
                <w:sz w:val="16"/>
              </w:rPr>
              <w:t>Garantia de execução de serviço essencial:</w:t>
            </w:r>
            <w:r>
              <w:rPr>
                <w:rFonts w:ascii="Times New Roman" w:hAnsi="Times New Roman"/>
                <w:sz w:val="16"/>
              </w:rPr>
              <w:t xml:space="preserve"> a Administração dirá que contrato de 60 meses de serviço essencial com mão de obra intensiva justifica verificação robusta de saúde financeira; que capital (1.4.2) e índices/PL (1.4.3) medem grandezas distintas (aporte histórico vs. solvência corrente vs. folga patrimonial frente à carteira); e que o TAC n.º 088/2014 do MPT lhe impõe rigor na seleção para prevenir inadimplemento trabalhista. Réplica: a finalidade não autoriza requisito sem base legal — o rol do art. 69 é expressamente restritivo, e a proteção trabalhista é atendida por conta vinculada e fiscalização, não por barreira de entrada.</w:t>
            </w:r>
          </w:p>
          <w:p>
            <w:pPr>
              <w:spacing w:after="40" w:before="40" w:line="260" w:lineRule="exact"/>
              <w:jc w:val="both"/>
            </w:pPr>
            <w:r>
              <w:rPr>
                <w:rFonts w:ascii="Times New Roman" w:hAnsi="Times New Roman"/>
                <w:sz w:val="16"/>
              </w:rPr>
              <w:t xml:space="preserve">- </w:t>
            </w:r>
            <w:r>
              <w:rPr>
                <w:rFonts w:ascii="Times New Roman" w:hAnsi="Times New Roman"/>
                <w:b/>
                <w:sz w:val="16"/>
              </w:rPr>
              <w:t>PL 1/12 como praxe:</w:t>
            </w:r>
            <w:r>
              <w:rPr>
                <w:rFonts w:ascii="Times New Roman" w:hAnsi="Times New Roman"/>
                <w:sz w:val="16"/>
              </w:rPr>
              <w:t xml:space="preserve"> invocará a praxe federal (IN 5/2017) e a usualidade do indicador (art. 69, § 5º, a contrario). Réplica: usualidade não converte relação declaratória (§ 3º) em requisito eliminatório cumulado com capital, e a praxe federal opera </w:t>
            </w:r>
            <w:r>
              <w:rPr>
                <w:rFonts w:ascii="Times New Roman" w:hAnsi="Times New Roman"/>
                <w:b/>
                <w:sz w:val="16"/>
              </w:rPr>
              <w:t>sem</w:t>
            </w:r>
            <w:r>
              <w:rPr>
                <w:rFonts w:ascii="Times New Roman" w:hAnsi="Times New Roman"/>
                <w:sz w:val="16"/>
              </w:rPr>
              <w:t xml:space="preserve"> exigência simultânea de capital mínimo.</w:t>
            </w:r>
          </w:p>
          <w:p>
            <w:pPr>
              <w:spacing w:after="40" w:before="40" w:line="260" w:lineRule="exact"/>
              <w:jc w:val="both"/>
            </w:pPr>
            <w:r>
              <w:rPr>
                <w:rFonts w:ascii="Times New Roman" w:hAnsi="Times New Roman"/>
                <w:sz w:val="16"/>
              </w:rPr>
              <w:t xml:space="preserve">- </w:t>
            </w:r>
            <w:r>
              <w:rPr>
                <w:rFonts w:ascii="Times New Roman" w:hAnsi="Times New Roman"/>
                <w:b/>
                <w:sz w:val="16"/>
              </w:rPr>
              <w:t>Rejeição anterior:</w:t>
            </w:r>
            <w:r>
              <w:rPr>
                <w:rFonts w:ascii="Times New Roman" w:hAnsi="Times New Roman"/>
                <w:sz w:val="16"/>
              </w:rPr>
              <w:t xml:space="preserve"> a cumulação foi impugnada na 6ª impugnação e mantida — a Administração tenderá a reiterar os fundamentos; o histórico de rejeição recomenda, se a decisão for de enfrentamento, foro de controle externo.</w:t>
            </w:r>
          </w:p>
          <w:p>
            <w:pPr>
              <w:spacing w:after="40" w:before="40" w:line="260" w:lineRule="exact"/>
              <w:jc w:val="both"/>
            </w:pPr>
            <w:r>
              <w:rPr>
                <w:rFonts w:ascii="Times New Roman" w:hAnsi="Times New Roman"/>
                <w:sz w:val="16"/>
              </w:rPr>
              <w:t xml:space="preserve">- </w:t>
            </w:r>
            <w:r>
              <w:rPr>
                <w:rFonts w:ascii="Times New Roman" w:hAnsi="Times New Roman"/>
                <w:b/>
                <w:sz w:val="16"/>
              </w:rPr>
              <w:t>T14.c:</w:t>
            </w:r>
            <w:r>
              <w:rPr>
                <w:rFonts w:ascii="Times New Roman" w:hAnsi="Times New Roman"/>
                <w:sz w:val="16"/>
              </w:rPr>
              <w:t xml:space="preserve"> dirá que o edital reaberto obviamente prevalece sobre resposta anterior à republicação — resposta plausível, que é exatamente o que o esclarecimento dirigido busca tornar expresso e vinculante.</w:t>
            </w:r>
          </w:p>
        </w:tc>
        <w:tc>
          <w:tcPr>
            <w:tcW w:type="dxa" w:w="2163"/>
            <w:shd w:fill="F2F2F2" w:val="clear"/>
          </w:tcPr>
          <w:p>
            <w:pPr>
              <w:spacing w:after="40" w:before="40" w:line="260" w:lineRule="exact"/>
              <w:jc w:val="both"/>
            </w:pPr>
            <w:r/>
            <w:r>
              <w:rPr>
                <w:rFonts w:ascii="Times New Roman" w:hAnsi="Times New Roman"/>
                <w:sz w:val="16"/>
              </w:rPr>
              <w:t xml:space="preserve">- art. 69, caput e incisos I e II, e §§ 3º, 4º e 5º, da Lei n.º 14.133/2021 (redação vigente conferida — "capital mínimo </w:t>
            </w:r>
            <w:r>
              <w:rPr>
                <w:rFonts w:ascii="Times New Roman" w:hAnsi="Times New Roman"/>
                <w:b/>
                <w:sz w:val="16"/>
              </w:rPr>
              <w:t>ou</w:t>
            </w:r>
            <w:r>
              <w:rPr>
                <w:rFonts w:ascii="Times New Roman" w:hAnsi="Times New Roman"/>
                <w:sz w:val="16"/>
              </w:rPr>
              <w:t xml:space="preserve"> de patrimônio líquido mínimo")</w:t>
            </w:r>
          </w:p>
          <w:p>
            <w:pPr>
              <w:spacing w:after="40" w:before="40" w:line="260" w:lineRule="exact"/>
              <w:jc w:val="both"/>
            </w:pPr>
            <w:r>
              <w:rPr>
                <w:rFonts w:ascii="Times New Roman" w:hAnsi="Times New Roman"/>
                <w:sz w:val="16"/>
              </w:rPr>
              <w:t>- art. 37, inciso XXI, da CF/1988</w:t>
            </w:r>
          </w:p>
          <w:p>
            <w:pPr>
              <w:spacing w:after="40" w:before="40" w:line="260" w:lineRule="exact"/>
              <w:jc w:val="both"/>
            </w:pPr>
            <w:r>
              <w:rPr>
                <w:rFonts w:ascii="Times New Roman" w:hAnsi="Times New Roman"/>
                <w:sz w:val="16"/>
              </w:rPr>
              <w:t>- art. 9º, inciso I, alínea "a", da Lei n.º 14.133/2021</w:t>
            </w:r>
          </w:p>
          <w:p>
            <w:pPr>
              <w:spacing w:after="40" w:before="40" w:line="260" w:lineRule="exact"/>
              <w:jc w:val="both"/>
            </w:pPr>
            <w:r>
              <w:rPr>
                <w:rFonts w:ascii="Times New Roman" w:hAnsi="Times New Roman"/>
                <w:sz w:val="16"/>
              </w:rPr>
              <w:t>- art. 15, § 1º, da Lei n.º 14.133/2021 (acréscimo de consórcio sobre "o valor exigido de licitante individual")</w:t>
            </w:r>
          </w:p>
          <w:p>
            <w:pPr>
              <w:spacing w:after="40" w:before="40" w:line="260" w:lineRule="exact"/>
              <w:jc w:val="both"/>
            </w:pPr>
            <w:r>
              <w:rPr>
                <w:rFonts w:ascii="Times New Roman" w:hAnsi="Times New Roman"/>
                <w:sz w:val="16"/>
              </w:rPr>
              <w:t>- art. 25, caput, e art. 55, § 1º, da Lei n.º 14.133/2021</w:t>
            </w:r>
          </w:p>
          <w:p>
            <w:pPr>
              <w:spacing w:after="40" w:before="40" w:line="260" w:lineRule="exact"/>
              <w:jc w:val="both"/>
            </w:pPr>
            <w:r>
              <w:rPr>
                <w:rFonts w:ascii="Times New Roman" w:hAnsi="Times New Roman"/>
                <w:sz w:val="16"/>
              </w:rPr>
              <w:t>- art. 47 da Lei n.º 11.101/2005 (preservação da empresa — T14.d)</w:t>
            </w:r>
          </w:p>
          <w:p>
            <w:pPr>
              <w:spacing w:after="40" w:before="40" w:line="260" w:lineRule="exact"/>
              <w:jc w:val="both"/>
            </w:pPr>
            <w:r>
              <w:rPr>
                <w:rFonts w:ascii="Times New Roman" w:hAnsi="Times New Roman"/>
                <w:sz w:val="16"/>
              </w:rPr>
              <w:t xml:space="preserve">- STF, ARE 1.448.735, decisão monocrática, Rel. Min. Alexandre de Moraes, j. 04/08/2023 </w:t>
            </w:r>
            <w:r>
              <w:rPr>
                <w:rFonts w:ascii="Times New Roman" w:hAnsi="Times New Roman"/>
                <w:b/>
                <w:sz w:val="16"/>
              </w:rPr>
              <w:t>[VIT]</w:t>
            </w:r>
            <w:r>
              <w:rPr>
                <w:rFonts w:ascii="Times New Roman" w:hAnsi="Times New Roman"/>
                <w:sz w:val="16"/>
              </w:rPr>
              <w:t xml:space="preserve"> (T14.d)</w:t>
            </w:r>
          </w:p>
          <w:p>
            <w:pPr>
              <w:spacing w:after="40" w:before="40" w:line="260" w:lineRule="exact"/>
              <w:jc w:val="both"/>
            </w:pPr>
            <w:r>
              <w:rPr>
                <w:rFonts w:ascii="Times New Roman" w:hAnsi="Times New Roman"/>
                <w:sz w:val="16"/>
              </w:rPr>
              <w:t xml:space="preserve">- TJPR, AI n.º 0066649-86.2024.8.16.0000, 5ª Câmara Cível, Rel. Des. Rogério Etzel, publ. 19/11/2024 — exigência editalícia restritiva desprovida de justificativa viola competitividade e razoabilidade (art. 9º, I, da Lei n.º 14.133/2021) </w:t>
            </w:r>
            <w:r>
              <w:rPr>
                <w:rFonts w:ascii="Times New Roman" w:hAnsi="Times New Roman"/>
                <w:b/>
                <w:sz w:val="16"/>
              </w:rPr>
              <w:t>[VIT]</w:t>
            </w:r>
            <w:r>
              <w:rPr>
                <w:rFonts w:ascii="Times New Roman" w:hAnsi="Times New Roman"/>
                <w:sz w:val="16"/>
              </w:rPr>
              <w:t xml:space="preserve"> (apoio genérico)</w:t>
            </w:r>
          </w:p>
          <w:p>
            <w:pPr>
              <w:spacing w:after="40" w:before="40" w:line="260" w:lineRule="exact"/>
              <w:jc w:val="both"/>
            </w:pPr>
            <w:r>
              <w:rPr>
                <w:rFonts w:ascii="Times New Roman" w:hAnsi="Times New Roman"/>
                <w:sz w:val="16"/>
              </w:rPr>
              <w:t xml:space="preserve">- Não localizei, na base judicial consultada, precedente específico sobre a vedação de cumulação capital + PL sob o art. 69, § 4º — tese ancorada na literalidade do dispositivo; a linha consolidada sobre a alternatividade é de controle externo: </w:t>
            </w:r>
            <w:r>
              <w:rPr>
                <w:rFonts w:ascii="Times New Roman" w:hAnsi="Times New Roman"/>
                <w:b/>
                <w:sz w:val="16"/>
              </w:rPr>
              <w:t>[PENDENTE: busca TCU/TCE via Lei na Mão antes do protocolo]</w:t>
            </w:r>
            <w:r>
              <w:rPr>
                <w:rFonts w:ascii="Times New Roman" w:hAnsi="Times New Roman"/>
                <w:sz w:val="16"/>
              </w:rPr>
            </w:r>
          </w:p>
          <w:p>
            <w:pPr>
              <w:spacing w:after="40" w:before="40" w:line="260" w:lineRule="exact"/>
              <w:jc w:val="both"/>
            </w:pPr>
            <w:r>
              <w:rPr>
                <w:rFonts w:ascii="Times New Roman" w:hAnsi="Times New Roman"/>
                <w:sz w:val="16"/>
              </w:rPr>
              <w:t>Doutrina: - HELY LOPES MEIRELLES, *Direito Administrativo Brasileiro*, 23ª ed., Malheiros, p. 262: a Administração pode fixar capital mínimo de até 10%, mas "não estabeleça exigências descabidas na espécie, nem fixe mínimos de idoneidade financeira desproporcionais ao objeto do certame, a fim de não afastar os interessados de reduzida capacidade financeira", pois a capacidade financeira "não é absoluta, mas relativa a cada licitação".</w:t>
            </w:r>
          </w:p>
          <w:p>
            <w:pPr>
              <w:spacing w:after="40" w:before="40" w:line="260" w:lineRule="exact"/>
              <w:jc w:val="both"/>
            </w:pPr>
            <w:r>
              <w:rPr>
                <w:rFonts w:ascii="Times New Roman" w:hAnsi="Times New Roman"/>
                <w:sz w:val="16"/>
              </w:rPr>
              <w:t>— Jurisprudência TCU/TCE (Lei na Mão) —</w:t>
            </w:r>
          </w:p>
          <w:p>
            <w:pPr>
              <w:spacing w:after="40" w:before="40" w:line="260" w:lineRule="exact"/>
              <w:jc w:val="both"/>
            </w:pPr>
            <w:r>
              <w:rPr>
                <w:rFonts w:ascii="Times New Roman" w:hAnsi="Times New Roman"/>
                <w:sz w:val="16"/>
              </w:rPr>
              <w:t xml:space="preserve">• Acórdão 2743/2016-TCU-Plenário, Rel. Marcos Bemquerer, sessão de 26/10/2016 </w:t>
            </w:r>
            <w:r>
              <w:rPr>
                <w:rFonts w:ascii="Times New Roman" w:hAnsi="Times New Roman"/>
                <w:b/>
                <w:color w:val="CC0000"/>
                <w:sz w:val="16"/>
              </w:rPr>
              <w:t>[VIT]</w:t>
            </w:r>
            <w:r>
              <w:rPr>
                <w:rFonts w:ascii="Times New Roman" w:hAnsi="Times New Roman"/>
                <w:sz w:val="16"/>
              </w:rPr>
            </w:r>
          </w:p>
          <w:p>
            <w:pPr>
              <w:spacing w:after="40" w:before="40" w:line="260" w:lineRule="exact"/>
              <w:jc w:val="both"/>
            </w:pPr>
            <w:r>
              <w:rPr>
                <w:rFonts w:ascii="Times New Roman" w:hAnsi="Times New Roman"/>
                <w:sz w:val="16"/>
              </w:rPr>
              <w:t>• Entendimento TCU-Plenário, sessão de 04/04/2018 (Jurisprudência Selecionada 54764) [VIT</w:t>
            </w:r>
          </w:p>
          <w:p>
            <w:pPr>
              <w:spacing w:after="40" w:before="40" w:line="260" w:lineRule="exact"/>
              <w:jc w:val="both"/>
            </w:pPr>
            <w:r>
              <w:rPr>
                <w:rFonts w:ascii="Times New Roman" w:hAnsi="Times New Roman"/>
                <w:sz w:val="16"/>
              </w:rPr>
              <w:t>• Entendimento TCU-Plenário, sessão de 07/02/2024 (Jurisprudência Selecionada 163642) [VIT</w:t>
            </w:r>
          </w:p>
          <w:p>
            <w:pPr>
              <w:spacing w:after="40" w:before="40" w:line="260" w:lineRule="exact"/>
              <w:jc w:val="both"/>
            </w:pPr>
            <w:r>
              <w:rPr>
                <w:rFonts w:ascii="Times New Roman" w:hAnsi="Times New Roman"/>
                <w:sz w:val="16"/>
              </w:rPr>
              <w:t xml:space="preserve">• Acórdão 932/2013-TCU-Plenário, Rel. Ana Arraes, sessão de 17/04/2013 </w:t>
            </w:r>
            <w:r>
              <w:rPr>
                <w:rFonts w:ascii="Times New Roman" w:hAnsi="Times New Roman"/>
                <w:b/>
                <w:color w:val="CC0000"/>
                <w:sz w:val="16"/>
              </w:rPr>
              <w:t>[VIT]</w:t>
            </w:r>
            <w:r>
              <w:rPr>
                <w:rFonts w:ascii="Times New Roman" w:hAnsi="Times New Roman"/>
                <w:sz w:val="16"/>
              </w:rPr>
            </w:r>
          </w:p>
          <w:p>
            <w:pPr>
              <w:spacing w:after="40" w:before="40" w:line="260" w:lineRule="exact"/>
              <w:jc w:val="both"/>
            </w:pPr>
            <w:r>
              <w:rPr>
                <w:rFonts w:ascii="Times New Roman" w:hAnsi="Times New Roman"/>
                <w:sz w:val="16"/>
              </w:rPr>
              <w:t>• Entendimento TCU-Plenário, sessão de 16/08/2023 (Jurisprudência Selecionada 156300) [VIT</w:t>
            </w:r>
          </w:p>
          <w:p>
            <w:pPr>
              <w:spacing w:after="40" w:before="40" w:line="260" w:lineRule="exact"/>
              <w:jc w:val="both"/>
            </w:pPr>
            <w:r>
              <w:rPr>
                <w:rFonts w:ascii="Times New Roman" w:hAnsi="Times New Roman"/>
                <w:sz w:val="16"/>
              </w:rPr>
              <w:t>• Entendimento TCU-Plenário, sessão de 13/05/2020 (Jurisprudência Selecionada 90902) [VIT</w:t>
            </w:r>
          </w:p>
          <w:p>
            <w:pPr>
              <w:spacing w:after="40" w:before="40" w:line="260" w:lineRule="exact"/>
              <w:jc w:val="both"/>
            </w:pPr>
            <w:r>
              <w:rPr>
                <w:rFonts w:ascii="Times New Roman" w:hAnsi="Times New Roman"/>
                <w:sz w:val="16"/>
              </w:rPr>
              <w:t xml:space="preserve">• Acórdão 1697/2023-TCU-Plenário, Rel. Jorge Oliveira, sessão de 16/08/2023 </w:t>
            </w:r>
            <w:r>
              <w:rPr>
                <w:rFonts w:ascii="Times New Roman" w:hAnsi="Times New Roman"/>
                <w:b/>
                <w:color w:val="CC0000"/>
                <w:sz w:val="16"/>
              </w:rPr>
              <w:t>[VIT]</w:t>
            </w:r>
            <w:r>
              <w:rPr>
                <w:rFonts w:ascii="Times New Roman" w:hAnsi="Times New Roman"/>
                <w:sz w:val="16"/>
              </w:rPr>
            </w:r>
          </w:p>
          <w:p>
            <w:pPr>
              <w:spacing w:after="40" w:before="40" w:line="260" w:lineRule="exact"/>
              <w:jc w:val="both"/>
            </w:pPr>
            <w:r>
              <w:rPr>
                <w:rFonts w:ascii="Times New Roman" w:hAnsi="Times New Roman"/>
                <w:sz w:val="16"/>
              </w:rPr>
              <w:t>• Entendimento TCU-Plenário, sessão de 15/10/2008 (Jurisprudência Selecionada 31675) [VIT</w:t>
            </w:r>
          </w:p>
          <w:p>
            <w:pPr>
              <w:spacing w:after="40" w:before="40" w:line="260" w:lineRule="exact"/>
              <w:jc w:val="both"/>
            </w:pPr>
            <w:r>
              <w:rPr>
                <w:rFonts w:ascii="Times New Roman" w:hAnsi="Times New Roman"/>
                <w:sz w:val="16"/>
              </w:rPr>
              <w:t xml:space="preserve">• Acórdão 1467/2026-TCU-Plenário, Rel. Antonio Anastasia, sessão de 10/06/2026 </w:t>
            </w:r>
            <w:r>
              <w:rPr>
                <w:rFonts w:ascii="Times New Roman" w:hAnsi="Times New Roman"/>
                <w:b/>
                <w:color w:val="CC0000"/>
                <w:sz w:val="16"/>
              </w:rPr>
              <w:t>[VIT]</w:t>
            </w:r>
            <w:r>
              <w:rPr>
                <w:rFonts w:ascii="Times New Roman" w:hAnsi="Times New Roman"/>
                <w:sz w:val="16"/>
              </w:rPr>
            </w:r>
          </w:p>
        </w:tc>
        <w:tc>
          <w:tcPr>
            <w:tcW w:type="dxa" w:w="2163"/>
            <w:shd w:fill="F2F2F2" w:val="clear"/>
          </w:tcPr>
          <w:p>
            <w:pPr>
              <w:spacing w:after="40" w:before="40" w:line="260" w:lineRule="exact"/>
              <w:jc w:val="center"/>
            </w:pPr>
            <w:r/>
            <w:r>
              <w:rPr>
                <w:rFonts w:ascii="Times New Roman" w:hAnsi="Times New Roman"/>
                <w:b w:val="0"/>
                <w:sz w:val="18"/>
              </w:rPr>
              <w:t>Sim</w:t>
            </w:r>
          </w:p>
        </w:tc>
        <w:tc>
          <w:tcPr>
            <w:tcW w:type="dxa" w:w="2163"/>
            <w:shd w:fill="F2F2F2" w:val="clear"/>
          </w:tcPr>
          <w:p>
            <w:pPr>
              <w:spacing w:after="40" w:before="40" w:line="260" w:lineRule="exact"/>
              <w:jc w:val="center"/>
            </w:pPr>
            <w:r/>
            <w:r>
              <w:rPr>
                <w:rFonts w:ascii="Times New Roman" w:hAnsi="Times New Roman"/>
                <w:b w:val="0"/>
                <w:sz w:val="18"/>
              </w:rPr>
              <w:t>**DECISAO_COMERCIAL**</w:t>
              <w:br/>
              <w:t>(ADMINISTRACAO; para T14.a)</w:t>
            </w:r>
          </w:p>
        </w:tc>
      </w:tr>
      <w:tr>
        <w:tc>
          <w:tcPr>
            <w:tcW w:type="dxa" w:w="2163"/>
          </w:tcPr>
          <w:p>
            <w:pPr>
              <w:spacing w:after="40" w:before="40" w:line="260" w:lineRule="exact"/>
              <w:jc w:val="center"/>
            </w:pPr>
            <w:r/>
            <w:r>
              <w:rPr>
                <w:rFonts w:ascii="Times New Roman" w:hAnsi="Times New Roman"/>
                <w:b w:val="0"/>
                <w:sz w:val="18"/>
              </w:rPr>
              <w:t>T15</w:t>
            </w:r>
          </w:p>
        </w:tc>
        <w:tc>
          <w:tcPr>
            <w:tcW w:type="dxa" w:w="2163"/>
          </w:tcPr>
          <w:p>
            <w:pPr>
              <w:spacing w:after="40" w:before="40" w:line="260" w:lineRule="exact"/>
            </w:pPr>
            <w:r/>
            <w:r>
              <w:rPr>
                <w:rFonts w:ascii="Times New Roman" w:hAnsi="Times New Roman"/>
                <w:b w:val="0"/>
                <w:sz w:val="18"/>
              </w:rPr>
              <w:t>Questões formais</w:t>
            </w:r>
          </w:p>
        </w:tc>
        <w:tc>
          <w:tcPr>
            <w:tcW w:type="dxa" w:w="2163"/>
          </w:tcPr>
          <w:p>
            <w:pPr>
              <w:spacing w:after="40" w:before="40" w:line="260" w:lineRule="exact"/>
              <w:jc w:val="both"/>
            </w:pPr>
            <w:r/>
            <w:r>
              <w:rPr>
                <w:rFonts w:ascii="Times New Roman" w:hAnsi="Times New Roman"/>
                <w:sz w:val="18"/>
              </w:rPr>
              <w:t>Regras concedidas em respostas às impugnações e não incorporadas ao edital reaberto</w:t>
            </w:r>
          </w:p>
          <w:p>
            <w:pPr>
              <w:spacing w:after="40" w:before="40" w:line="260" w:lineRule="exact"/>
              <w:jc w:val="both"/>
            </w:pPr>
            <w:r>
              <w:rPr>
                <w:rFonts w:ascii="Times New Roman" w:hAnsi="Times New Roman"/>
                <w:sz w:val="18"/>
              </w:rPr>
            </w:r>
            <w:r>
              <w:rPr>
                <w:rFonts w:ascii="Times New Roman" w:hAnsi="Times New Roman"/>
                <w:b/>
                <w:color w:val="CC0000"/>
                <w:sz w:val="18"/>
              </w:rPr>
              <w:t>[VALIDAÇÃO TÉCNICA]</w:t>
            </w:r>
            <w:r>
              <w:rPr>
                <w:rFonts w:ascii="Times New Roman" w:hAnsi="Times New Roman"/>
                <w:sz w:val="18"/>
              </w:rPr>
            </w:r>
          </w:p>
        </w:tc>
        <w:tc>
          <w:tcPr>
            <w:tcW w:type="dxa" w:w="2163"/>
          </w:tcPr>
          <w:p>
            <w:pPr>
              <w:spacing w:after="40" w:before="40" w:line="260" w:lineRule="exact"/>
              <w:jc w:val="both"/>
            </w:pPr>
            <w:r/>
            <w:r>
              <w:rPr>
                <w:rFonts w:ascii="Times New Roman" w:hAnsi="Times New Roman"/>
                <w:sz w:val="16"/>
              </w:rPr>
              <w:t xml:space="preserve">Premissa normativa: (i) o edital deve conter "o objeto da licitação e as regras relativas à convocação, ao julgamento, à habilitação, aos recursos e às penalidades" (art. 25, caput, da Lei n.º 14.133/2021) — as regras do certame residem no instrumento convocatório e seus anexos, não em atos avulsos; (ii) "eventuais modificações no edital implicarão nova divulgação na mesma forma de sua divulgação inicial", com devolução de prazos, "exceto quando a alteração não comprometer a formulação das propostas" (art. 55, § 1º); (iii) a resposta à impugnação/esclarecimento deve ser divulgada em sítio eletrônico oficial (art. 164, parágrafo único) — anote-se que, </w:t>
            </w:r>
            <w:r>
              <w:rPr>
                <w:rFonts w:ascii="Times New Roman" w:hAnsi="Times New Roman"/>
                <w:b/>
                <w:sz w:val="16"/>
              </w:rPr>
              <w:t>na redação vigente, o dispositivo não contém cláusula expressa de vinculação</w:t>
            </w:r>
            <w:r>
              <w:rPr>
                <w:rFonts w:ascii="Times New Roman" w:hAnsi="Times New Roman"/>
                <w:sz w:val="16"/>
              </w:rPr>
              <w:t>, de modo que a eficácia normativa da resposta se sustenta nos princípios do art. 5º (vinculação ao edital, publicidade, transparência, segurança jurídica, proteção da confiança, boa-fé) e na vedação do comportamento contraditório; (iv) especificamente quanto à qualificação por subcontratado, o art. 67, § 9º, condiciona o mecanismo a previsão editalícia expressa ("</w:t>
            </w:r>
            <w:r>
              <w:rPr>
                <w:rFonts w:ascii="Times New Roman" w:hAnsi="Times New Roman"/>
                <w:b/>
                <w:sz w:val="16"/>
              </w:rPr>
              <w:t>O edital poderá prever</w:t>
            </w:r>
            <w:r>
              <w:rPr>
                <w:rFonts w:ascii="Times New Roman" w:hAnsi="Times New Roman"/>
                <w:sz w:val="16"/>
              </w:rPr>
              <w:t>"); e quanto a consórcios, o art. 15, III, fixa o regime legal de somatório.</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xml:space="preserve">Fato editalício: o certame foi </w:t>
            </w:r>
            <w:r>
              <w:rPr>
                <w:rFonts w:ascii="Times New Roman" w:hAnsi="Times New Roman"/>
                <w:b/>
                <w:sz w:val="16"/>
              </w:rPr>
              <w:t>reaberto</w:t>
            </w:r>
            <w:r>
              <w:rPr>
                <w:rFonts w:ascii="Times New Roman" w:hAnsi="Times New Roman"/>
                <w:sz w:val="16"/>
              </w:rPr>
              <w:t xml:space="preserve"> — houve, portanto, oportunidade formal de consolidação do texto — e, ainda assim, ao menos sete regras enunciadas nas respostas às impugnações não foram incorporadas (ou foram contrariadas) no edital reaberto:</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xml:space="preserve">1. </w:t>
            </w:r>
            <w:r>
              <w:rPr>
                <w:rFonts w:ascii="Times New Roman" w:hAnsi="Times New Roman"/>
                <w:b/>
                <w:sz w:val="16"/>
              </w:rPr>
              <w:t>Subcontratada do item 3 (6ª imp., item III.6.c):</w:t>
            </w:r>
            <w:r>
              <w:rPr>
                <w:rFonts w:ascii="Times New Roman" w:hAnsi="Times New Roman"/>
                <w:sz w:val="16"/>
              </w:rPr>
              <w:t xml:space="preserve"> "A capacidade técnica de eventual subcontratada da destinação final poderá ser considerada para comprovação da viabilidade do Item 3" — o Anexo II e os itens 4.5/4.6 do TR nada preveem. Aqui a omissão é </w:t>
            </w:r>
            <w:r>
              <w:rPr>
                <w:rFonts w:ascii="Times New Roman" w:hAnsi="Times New Roman"/>
                <w:b/>
                <w:sz w:val="16"/>
              </w:rPr>
              <w:t>incurável por resposta</w:t>
            </w:r>
            <w:r>
              <w:rPr>
                <w:rFonts w:ascii="Times New Roman" w:hAnsi="Times New Roman"/>
                <w:sz w:val="16"/>
              </w:rPr>
              <w:t>: o art. 67, § 9º, exige previsão no edital, com limite de 25% do objeto; sem texto editalício, a promessa é ineficaz (C-063).</w:t>
            </w:r>
          </w:p>
          <w:p>
            <w:pPr>
              <w:spacing w:after="40" w:before="40" w:line="260" w:lineRule="exact"/>
              <w:jc w:val="both"/>
            </w:pPr>
            <w:r>
              <w:rPr>
                <w:rFonts w:ascii="Times New Roman" w:hAnsi="Times New Roman"/>
                <w:sz w:val="16"/>
              </w:rPr>
              <w:t xml:space="preserve">2. </w:t>
            </w:r>
            <w:r>
              <w:rPr>
                <w:rFonts w:ascii="Times New Roman" w:hAnsi="Times New Roman"/>
                <w:b/>
                <w:sz w:val="16"/>
              </w:rPr>
              <w:t>Consórcio — credenciamento e lances na BLL (1ª imp.):</w:t>
            </w:r>
            <w:r>
              <w:rPr>
                <w:rFonts w:ascii="Times New Roman" w:hAnsi="Times New Roman"/>
                <w:sz w:val="16"/>
              </w:rPr>
              <w:t xml:space="preserve"> a resposta descreve regime completo (cadastro em nome do consórcio constituído; eleição de líder para cadastro, proposta e lances quando não constituído) ausente dos itens 7.10 e 8 do edital reaberto (C-061).</w:t>
            </w:r>
          </w:p>
          <w:p>
            <w:pPr>
              <w:spacing w:after="40" w:before="40" w:line="260" w:lineRule="exact"/>
              <w:jc w:val="both"/>
            </w:pPr>
            <w:r>
              <w:rPr>
                <w:rFonts w:ascii="Times New Roman" w:hAnsi="Times New Roman"/>
                <w:sz w:val="16"/>
              </w:rPr>
              <w:t xml:space="preserve">3. </w:t>
            </w:r>
            <w:r>
              <w:rPr>
                <w:rFonts w:ascii="Times New Roman" w:hAnsi="Times New Roman"/>
                <w:b/>
                <w:sz w:val="16"/>
              </w:rPr>
              <w:t>Consórcio — documentação (1ª imp.):</w:t>
            </w:r>
            <w:r>
              <w:rPr>
                <w:rFonts w:ascii="Times New Roman" w:hAnsi="Times New Roman"/>
                <w:sz w:val="16"/>
              </w:rPr>
              <w:t xml:space="preserve"> a resposta afirma que "cada empresa consorciada deverá apresentar a totalidade dos documentos exigidos [...] sendo certo que a inabilitação de uma das empresas inabilita o consórcio", enquanto os itens 7.10.4, 1.3.5 e 1.4.2.1 adotam o regime legal de </w:t>
            </w:r>
            <w:r>
              <w:rPr>
                <w:rFonts w:ascii="Times New Roman" w:hAnsi="Times New Roman"/>
                <w:b/>
                <w:sz w:val="16"/>
              </w:rPr>
              <w:t>somatório</w:t>
            </w:r>
            <w:r>
              <w:rPr>
                <w:rFonts w:ascii="Times New Roman" w:hAnsi="Times New Roman"/>
                <w:sz w:val="16"/>
              </w:rPr>
              <w:t xml:space="preserve"> (art. 15, III) — enunciados que convivem sem regra de compatibilização, deixando indefinido o padrão de habilitação de consórcios (C-062).</w:t>
            </w:r>
          </w:p>
          <w:p>
            <w:pPr>
              <w:spacing w:after="40" w:before="40" w:line="260" w:lineRule="exact"/>
              <w:jc w:val="both"/>
            </w:pPr>
            <w:r>
              <w:rPr>
                <w:rFonts w:ascii="Times New Roman" w:hAnsi="Times New Roman"/>
                <w:sz w:val="16"/>
              </w:rPr>
              <w:t xml:space="preserve">4. </w:t>
            </w:r>
            <w:r>
              <w:rPr>
                <w:rFonts w:ascii="Times New Roman" w:hAnsi="Times New Roman"/>
                <w:b/>
                <w:sz w:val="16"/>
              </w:rPr>
              <w:t>Garantia contratual emitida pela líder (1ª imp.):</w:t>
            </w:r>
            <w:r>
              <w:rPr>
                <w:rFonts w:ascii="Times New Roman" w:hAnsi="Times New Roman"/>
                <w:sz w:val="16"/>
              </w:rPr>
              <w:t xml:space="preserve"> admitida na resposta; item 4.8 do TR e cláusula 8ª da minuta permanecem silentes (C-185).</w:t>
            </w:r>
          </w:p>
          <w:p>
            <w:pPr>
              <w:spacing w:after="40" w:before="40" w:line="260" w:lineRule="exact"/>
              <w:jc w:val="both"/>
            </w:pPr>
            <w:r>
              <w:rPr>
                <w:rFonts w:ascii="Times New Roman" w:hAnsi="Times New Roman"/>
                <w:sz w:val="16"/>
              </w:rPr>
              <w:t xml:space="preserve">5. </w:t>
            </w:r>
            <w:r>
              <w:rPr>
                <w:rFonts w:ascii="Times New Roman" w:hAnsi="Times New Roman"/>
                <w:b/>
                <w:sz w:val="16"/>
              </w:rPr>
              <w:t>Carta de anuência da ETE apenas na execução (4ª imp., item III.VIII):</w:t>
            </w:r>
            <w:r>
              <w:rPr>
                <w:rFonts w:ascii="Times New Roman" w:hAnsi="Times New Roman"/>
                <w:sz w:val="16"/>
              </w:rPr>
              <w:t xml:space="preserve"> a resposta delimita que a carta "deverá ser apresentada apenas quando a empresa for realizar a destinação, ou seja, posterior à execução do contrato"; o item 5.6.1 do TR reaberto mantém "Será obrigatório apresentar a carta de anuência da Estação de Tratamento" sem definição de momento — mantido o risco de leitura como condição de habilitação/contratação, com o efeito anticompetitivo que a própria resposta reconheceu (terceiro particular com "poder de seleção de licitantes") e que o rol restritivo dos arts. 62 e ss. não comporta (C-073).</w:t>
            </w:r>
          </w:p>
          <w:p>
            <w:pPr>
              <w:spacing w:after="40" w:before="40" w:line="260" w:lineRule="exact"/>
              <w:jc w:val="both"/>
            </w:pPr>
            <w:r>
              <w:rPr>
                <w:rFonts w:ascii="Times New Roman" w:hAnsi="Times New Roman"/>
                <w:sz w:val="16"/>
              </w:rPr>
              <w:t xml:space="preserve">6. </w:t>
            </w:r>
            <w:r>
              <w:rPr>
                <w:rFonts w:ascii="Times New Roman" w:hAnsi="Times New Roman"/>
                <w:b/>
                <w:sz w:val="16"/>
              </w:rPr>
              <w:t>Parâmetros do transbordo (4ª imp., item III.IV):</w:t>
            </w:r>
            <w:r>
              <w:rPr>
                <w:rFonts w:ascii="Times New Roman" w:hAnsi="Times New Roman"/>
                <w:sz w:val="16"/>
              </w:rPr>
              <w:t xml:space="preserve"> capacidade de 1.040 t/mês e a condição de </w:t>
            </w:r>
            <w:r>
              <w:rPr>
                <w:rFonts w:ascii="Times New Roman" w:hAnsi="Times New Roman"/>
                <w:b/>
                <w:sz w:val="16"/>
              </w:rPr>
              <w:t>reserva</w:t>
            </w:r>
            <w:r>
              <w:rPr>
                <w:rFonts w:ascii="Times New Roman" w:hAnsi="Times New Roman"/>
                <w:sz w:val="16"/>
              </w:rPr>
              <w:t xml:space="preserve"> de uma das três carretas constam só da resposta; o TR reaberto exige as três carretas sem esses parâmetros — elementos necessários à precificação (art. 6º, XXIII, "a") (C-046). `</w:t>
            </w:r>
            <w:r>
              <w:rPr>
                <w:rFonts w:ascii="Times New Roman" w:hAnsi="Times New Roman"/>
                <w:b/>
                <w:color w:val="CC0000"/>
                <w:sz w:val="16"/>
              </w:rPr>
              <w:t>[VALIDAÇÃO TÉCNICA]</w:t>
            </w:r>
            <w:r>
              <w:rPr>
                <w:rFonts w:ascii="Times New Roman" w:hAnsi="Times New Roman"/>
                <w:sz w:val="16"/>
              </w:rPr>
              <w:t>`</w:t>
            </w:r>
          </w:p>
          <w:p>
            <w:pPr>
              <w:spacing w:after="40" w:before="40" w:line="260" w:lineRule="exact"/>
              <w:jc w:val="both"/>
            </w:pPr>
            <w:r>
              <w:rPr>
                <w:rFonts w:ascii="Times New Roman" w:hAnsi="Times New Roman"/>
                <w:sz w:val="16"/>
              </w:rPr>
              <w:t xml:space="preserve">7. </w:t>
            </w:r>
            <w:r>
              <w:rPr>
                <w:rFonts w:ascii="Times New Roman" w:hAnsi="Times New Roman"/>
                <w:b/>
                <w:sz w:val="16"/>
              </w:rPr>
              <w:t>Educação ambiental (4ª imp., item III.XI):</w:t>
            </w:r>
            <w:r>
              <w:rPr>
                <w:rFonts w:ascii="Times New Roman" w:hAnsi="Times New Roman"/>
                <w:sz w:val="16"/>
              </w:rPr>
              <w:t xml:space="preserve"> o "caráter estritamente eventual e complementar [...] sem impacto orçamentário e operacional à Contratada" consta só da resposta; os itens 4.1.1 e 5.8.e do TR mantêm obrigações genéricas sem escopo, periodicidade, medição ou custo (C-025).</w:t>
            </w:r>
          </w:p>
          <w:p>
            <w:pPr>
              <w:spacing w:after="40" w:before="40" w:line="260" w:lineRule="exact"/>
              <w:jc w:val="both"/>
            </w:pPr>
            <w:r>
              <w:rPr>
                <w:rFonts w:ascii="Times New Roman" w:hAnsi="Times New Roman"/>
                <w:sz w:val="16"/>
              </w:rPr>
              <w:t xml:space="preserve">8. </w:t>
            </w:r>
            <w:r>
              <w:rPr>
                <w:rFonts w:ascii="Times New Roman" w:hAnsi="Times New Roman"/>
                <w:b/>
                <w:sz w:val="16"/>
              </w:rPr>
              <w:t>Rodízio de coletores (4ª imp., item III.X):</w:t>
            </w:r>
            <w:r>
              <w:rPr>
                <w:rFonts w:ascii="Times New Roman" w:hAnsi="Times New Roman"/>
                <w:sz w:val="16"/>
              </w:rPr>
              <w:t xml:space="preserve"> a resposta anunciou que a previsão "será </w:t>
            </w:r>
            <w:r>
              <w:rPr>
                <w:rFonts w:ascii="Times New Roman" w:hAnsi="Times New Roman"/>
                <w:b/>
                <w:sz w:val="16"/>
              </w:rPr>
              <w:t>convertida em diretriz</w:t>
            </w:r>
            <w:r>
              <w:rPr>
                <w:rFonts w:ascii="Times New Roman" w:hAnsi="Times New Roman"/>
                <w:sz w:val="16"/>
              </w:rPr>
              <w:t xml:space="preserve"> de organização do trabalho"; o edital reaberto </w:t>
            </w:r>
            <w:r>
              <w:rPr>
                <w:rFonts w:ascii="Times New Roman" w:hAnsi="Times New Roman"/>
                <w:b/>
                <w:sz w:val="16"/>
              </w:rPr>
              <w:t>suprimiu</w:t>
            </w:r>
            <w:r>
              <w:rPr>
                <w:rFonts w:ascii="Times New Roman" w:hAnsi="Times New Roman"/>
                <w:sz w:val="16"/>
              </w:rPr>
              <w:t xml:space="preserve"> integralmente o rodízio — divergência entre o anunciado e o retificado que documenta a inconsistência do procedimento de consolidação (C-247).</w:t>
            </w:r>
          </w:p>
          <w:p>
            <w:pPr>
              <w:spacing w:after="40" w:before="40" w:line="260" w:lineRule="exact"/>
              <w:jc w:val="both"/>
            </w:pPr>
            <w:r>
              <w:rPr>
                <w:rFonts w:ascii="Times New Roman" w:hAnsi="Times New Roman"/>
                <w:sz w:val="16"/>
              </w:rPr>
              <w:t xml:space="preserve">9. </w:t>
            </w:r>
            <w:r>
              <w:rPr>
                <w:rFonts w:ascii="Times New Roman" w:hAnsi="Times New Roman"/>
                <w:b/>
                <w:sz w:val="16"/>
              </w:rPr>
              <w:t>Vistoria (4ª imp., item III.I vs. TR 4.12):</w:t>
            </w:r>
            <w:r>
              <w:rPr>
                <w:rFonts w:ascii="Times New Roman" w:hAnsi="Times New Roman"/>
                <w:sz w:val="16"/>
              </w:rPr>
              <w:t xml:space="preserve"> a resposta qualificou a avaliação prévia do local como "</w:t>
            </w:r>
            <w:r>
              <w:rPr>
                <w:rFonts w:ascii="Times New Roman" w:hAnsi="Times New Roman"/>
                <w:b/>
                <w:sz w:val="16"/>
              </w:rPr>
              <w:t>facultativa</w:t>
            </w:r>
            <w:r>
              <w:rPr>
                <w:rFonts w:ascii="Times New Roman" w:hAnsi="Times New Roman"/>
                <w:sz w:val="16"/>
              </w:rPr>
              <w:t>"; o TR reaberto a qualifica como "</w:t>
            </w:r>
            <w:r>
              <w:rPr>
                <w:rFonts w:ascii="Times New Roman" w:hAnsi="Times New Roman"/>
                <w:b/>
                <w:sz w:val="16"/>
              </w:rPr>
              <w:t>imprescindível</w:t>
            </w:r>
            <w:r>
              <w:rPr>
                <w:rFonts w:ascii="Times New Roman" w:hAnsi="Times New Roman"/>
                <w:sz w:val="16"/>
              </w:rPr>
              <w:t>" — termo que, na gramática do art. 63, § 2º, é o pressuposto para exigir atestação sob pena de inabilitação. O item 1.3.1 do Anexo II admite declaração substitutiva (conforme art. 63, § 3º, e Súmula 272 do TCU, que veda exigências de habilitação cujo atendimento imponha custos desnecessários antes da contratação), mitigando o risco, mas a contradição terminológica permanece apta a gerar controvérsia na sessão (C-076).</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xml:space="preserve">Conclusão: a coexistência de duas fontes normativas divergentes (texto reaberto vs. respostas) sobre habilitação de consórcio, subcontratação, garantia, documento de terceiro (ETE), escopo (educação ambiental, transbordo) e vistoria compromete a formulação das propostas — hipótese central do art. 55, § 1º — e transfere a cada licitante o risco de confiar em regra não formalizada. Esse risco não é teórico: a jurisprudência já recusou eficácia a autorização da Administração "não formalizada por meio de retificação pública do edital", prestigiando a literalidade do instrumento convocatório contra quem confiou no ato avulso (TJPR, Recurso Inominado n.º 0001466-45.2021.8.16.0172, 6ª Turma Recursal, Rel. Gisele Lara Ribeiro, publ. 07/02/2025 </w:t>
            </w:r>
            <w:r>
              <w:rPr>
                <w:rFonts w:ascii="Times New Roman" w:hAnsi="Times New Roman"/>
                <w:b/>
                <w:sz w:val="16"/>
              </w:rPr>
              <w:t>[VIT]</w:t>
            </w:r>
            <w:r>
              <w:rPr>
                <w:rFonts w:ascii="Times New Roman" w:hAnsi="Times New Roman"/>
                <w:sz w:val="16"/>
              </w:rPr>
              <w:t xml:space="preserve">). Vale dizer: ou a regra concedida entra no texto, ou não protege ninguém. A correção adequada é a publicação de errata/adendo consolidando </w:t>
            </w:r>
            <w:r>
              <w:rPr>
                <w:rFonts w:ascii="Times New Roman" w:hAnsi="Times New Roman"/>
                <w:b/>
                <w:sz w:val="16"/>
              </w:rPr>
              <w:t>todas</w:t>
            </w:r>
            <w:r>
              <w:rPr>
                <w:rFonts w:ascii="Times New Roman" w:hAnsi="Times New Roman"/>
                <w:sz w:val="16"/>
              </w:rPr>
              <w:t xml:space="preserve"> as regras concedidas, com nova divulgação na forma do art. 55, § 1º, e devolução de prazo na medida em que afetada a elaboração das propostas.</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Contra-argumentos antecipados —</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xml:space="preserve">- </w:t>
            </w:r>
            <w:r>
              <w:rPr>
                <w:rFonts w:ascii="Times New Roman" w:hAnsi="Times New Roman"/>
                <w:b/>
                <w:sz w:val="16"/>
              </w:rPr>
              <w:t>Respostas integram o edital:</w:t>
            </w:r>
            <w:r>
              <w:rPr>
                <w:rFonts w:ascii="Times New Roman" w:hAnsi="Times New Roman"/>
                <w:sz w:val="16"/>
              </w:rPr>
              <w:t xml:space="preserve"> a Administração dirá que as respostas foram divulgadas no sítio oficial e na plataforma (art. 164, parágrafo único), integram o certame e a vinculam, dispensando retificação do texto — e que nenhuma das regras "compromete a formulação das propostas" (exceção do art. 55, § 1º), pois apenas explicitam interpretações. Réplica: (i) regras de habilitação de consórcio, subcontratação para fins de viabilidade do item 3, momento de documento exigível e parâmetros de dimensionamento afetam diretamente decisões de arranjo societário e preço — núcleo da "formulação das propostas"; (ii) no caso do art. 67, § 9º, a lei exige literalmente previsão </w:t>
            </w:r>
            <w:r>
              <w:rPr>
                <w:rFonts w:ascii="Times New Roman" w:hAnsi="Times New Roman"/>
                <w:b/>
                <w:sz w:val="16"/>
              </w:rPr>
              <w:t>no edital</w:t>
            </w:r>
            <w:r>
              <w:rPr>
                <w:rFonts w:ascii="Times New Roman" w:hAnsi="Times New Roman"/>
                <w:sz w:val="16"/>
              </w:rPr>
              <w:t>; (iii) a contradição frontal (somatório vs. totalidade dos documentos; facultativa vs. imprescindível; conversão vs. supressão do rodízio) não é "explicitação", é divergência.</w:t>
            </w:r>
          </w:p>
          <w:p>
            <w:pPr>
              <w:spacing w:after="40" w:before="40" w:line="260" w:lineRule="exact"/>
              <w:jc w:val="both"/>
            </w:pPr>
            <w:r>
              <w:rPr>
                <w:rFonts w:ascii="Times New Roman" w:hAnsi="Times New Roman"/>
                <w:sz w:val="16"/>
              </w:rPr>
              <w:t xml:space="preserve">- </w:t>
            </w:r>
            <w:r>
              <w:rPr>
                <w:rFonts w:ascii="Times New Roman" w:hAnsi="Times New Roman"/>
                <w:b/>
                <w:sz w:val="16"/>
              </w:rPr>
              <w:t>Preclusão/repetição:</w:t>
            </w:r>
            <w:r>
              <w:rPr>
                <w:rFonts w:ascii="Times New Roman" w:hAnsi="Times New Roman"/>
                <w:sz w:val="16"/>
              </w:rPr>
              <w:t xml:space="preserve"> dirá que os pontos já foram decididos nas impugnações anteriores e que a reabertura não reabre matéria vencida. Réplica: o vício ora apontado é </w:t>
            </w:r>
            <w:r>
              <w:rPr>
                <w:rFonts w:ascii="Times New Roman" w:hAnsi="Times New Roman"/>
                <w:b/>
                <w:sz w:val="16"/>
              </w:rPr>
              <w:t>novo e próprio da reabertura</w:t>
            </w:r>
            <w:r>
              <w:rPr>
                <w:rFonts w:ascii="Times New Roman" w:hAnsi="Times New Roman"/>
                <w:sz w:val="16"/>
              </w:rPr>
              <w:t xml:space="preserve"> — não se discute o mérito das concessões, mas a sua não incorporação ao texto republicado.</w:t>
            </w:r>
          </w:p>
          <w:p>
            <w:pPr>
              <w:spacing w:after="40" w:before="40" w:line="260" w:lineRule="exact"/>
              <w:jc w:val="both"/>
            </w:pPr>
            <w:r>
              <w:rPr>
                <w:rFonts w:ascii="Times New Roman" w:hAnsi="Times New Roman"/>
                <w:sz w:val="16"/>
              </w:rPr>
              <w:t xml:space="preserve">- </w:t>
            </w:r>
            <w:r>
              <w:rPr>
                <w:rFonts w:ascii="Times New Roman" w:hAnsi="Times New Roman"/>
                <w:b/>
                <w:sz w:val="16"/>
              </w:rPr>
              <w:t>Venire invertido:</w:t>
            </w:r>
            <w:r>
              <w:rPr>
                <w:rFonts w:ascii="Times New Roman" w:hAnsi="Times New Roman"/>
                <w:sz w:val="16"/>
              </w:rPr>
              <w:t xml:space="preserve"> poderá sustentar que a licitante, tendo obtido respostas favoráveis, delas se beneficia e carece de interesse. Réplica: o interesse é a segurança jurídica do certame; o precedente TJPR 0001466-45 </w:t>
            </w:r>
            <w:r>
              <w:rPr>
                <w:rFonts w:ascii="Times New Roman" w:hAnsi="Times New Roman"/>
                <w:b/>
                <w:sz w:val="16"/>
              </w:rPr>
              <w:t>[VIT]</w:t>
            </w:r>
            <w:r>
              <w:rPr>
                <w:rFonts w:ascii="Times New Roman" w:hAnsi="Times New Roman"/>
                <w:sz w:val="16"/>
              </w:rPr>
              <w:t xml:space="preserve"> demonstra que a confiança em ato avulso pode ser judicialmente desprotegida — o risco é de todos, inclusive da Administração (nulidade da adjudicação).</w:t>
            </w:r>
          </w:p>
        </w:tc>
        <w:tc>
          <w:tcPr>
            <w:tcW w:type="dxa" w:w="2163"/>
          </w:tcPr>
          <w:p>
            <w:pPr>
              <w:spacing w:after="40" w:before="40" w:line="260" w:lineRule="exact"/>
              <w:jc w:val="both"/>
            </w:pPr>
            <w:r/>
            <w:r>
              <w:rPr>
                <w:rFonts w:ascii="Times New Roman" w:hAnsi="Times New Roman"/>
                <w:sz w:val="16"/>
              </w:rPr>
              <w:t>- art. 5º da Lei n.º 14.133/2021 (vinculação ao edital, publicidade, transparência, segurança jurídica, proteção da confiança, boa-fé)</w:t>
            </w:r>
          </w:p>
          <w:p>
            <w:pPr>
              <w:spacing w:after="40" w:before="40" w:line="260" w:lineRule="exact"/>
              <w:jc w:val="both"/>
            </w:pPr>
            <w:r>
              <w:rPr>
                <w:rFonts w:ascii="Times New Roman" w:hAnsi="Times New Roman"/>
                <w:sz w:val="16"/>
              </w:rPr>
              <w:t>- art. 25, caput, da Lei n.º 14.133/2021</w:t>
            </w:r>
          </w:p>
          <w:p>
            <w:pPr>
              <w:spacing w:after="40" w:before="40" w:line="260" w:lineRule="exact"/>
              <w:jc w:val="both"/>
            </w:pPr>
            <w:r>
              <w:rPr>
                <w:rFonts w:ascii="Times New Roman" w:hAnsi="Times New Roman"/>
                <w:sz w:val="16"/>
              </w:rPr>
              <w:t>- art. 55, § 1º, da Lei n.º 14.133/2021</w:t>
            </w:r>
          </w:p>
          <w:p>
            <w:pPr>
              <w:spacing w:after="40" w:before="40" w:line="260" w:lineRule="exact"/>
              <w:jc w:val="both"/>
            </w:pPr>
            <w:r>
              <w:rPr>
                <w:rFonts w:ascii="Times New Roman" w:hAnsi="Times New Roman"/>
                <w:sz w:val="16"/>
              </w:rPr>
              <w:t>- art. 164, parágrafo único, da Lei n.º 14.133/2021 (divulgação oficial das respostas — sem cláusula expressa de vinculação na redação vigente; a eficácia decorre dos princípios do art. 5º)</w:t>
            </w:r>
          </w:p>
          <w:p>
            <w:pPr>
              <w:spacing w:after="40" w:before="40" w:line="260" w:lineRule="exact"/>
              <w:jc w:val="both"/>
            </w:pPr>
            <w:r>
              <w:rPr>
                <w:rFonts w:ascii="Times New Roman" w:hAnsi="Times New Roman"/>
                <w:sz w:val="16"/>
              </w:rPr>
              <w:t>- art. 67, § 9º, da Lei n.º 14.133/2021 (qualificação por potencial subcontratado depende de previsão editalícia — item 1)</w:t>
            </w:r>
          </w:p>
          <w:p>
            <w:pPr>
              <w:spacing w:after="40" w:before="40" w:line="260" w:lineRule="exact"/>
              <w:jc w:val="both"/>
            </w:pPr>
            <w:r>
              <w:rPr>
                <w:rFonts w:ascii="Times New Roman" w:hAnsi="Times New Roman"/>
                <w:sz w:val="16"/>
              </w:rPr>
              <w:t>- art. 15, incisos I a V, e § 1º, da Lei n.º 14.133/2021 (regime de consórcios — itens 2 a 4)</w:t>
            </w:r>
          </w:p>
          <w:p>
            <w:pPr>
              <w:spacing w:after="40" w:before="40" w:line="260" w:lineRule="exact"/>
              <w:jc w:val="both"/>
            </w:pPr>
            <w:r>
              <w:rPr>
                <w:rFonts w:ascii="Times New Roman" w:hAnsi="Times New Roman"/>
                <w:sz w:val="16"/>
              </w:rPr>
              <w:t>- arts. 96 a 98 da Lei n.º 14.133/2021 (garantias — item 4)</w:t>
            </w:r>
          </w:p>
          <w:p>
            <w:pPr>
              <w:spacing w:after="40" w:before="40" w:line="260" w:lineRule="exact"/>
              <w:jc w:val="both"/>
            </w:pPr>
            <w:r>
              <w:rPr>
                <w:rFonts w:ascii="Times New Roman" w:hAnsi="Times New Roman"/>
                <w:sz w:val="16"/>
              </w:rPr>
              <w:t>- art. 62 e art. 63, §§ 2º e 3º, da Lei n.º 14.133/2021 (rol de habilitação; vistoria — itens 5 e 9)</w:t>
            </w:r>
          </w:p>
          <w:p>
            <w:pPr>
              <w:spacing w:after="40" w:before="40" w:line="260" w:lineRule="exact"/>
              <w:jc w:val="both"/>
            </w:pPr>
            <w:r>
              <w:rPr>
                <w:rFonts w:ascii="Times New Roman" w:hAnsi="Times New Roman"/>
                <w:sz w:val="16"/>
              </w:rPr>
              <w:t>- art. 6º, inciso XXIII, alíneas "a" e "e", da Lei n.º 14.133/2021 (conteúdo mínimo do TR — itens 6 e 7)</w:t>
            </w:r>
          </w:p>
          <w:p>
            <w:pPr>
              <w:spacing w:after="40" w:before="40" w:line="260" w:lineRule="exact"/>
              <w:jc w:val="both"/>
            </w:pPr>
            <w:r>
              <w:rPr>
                <w:rFonts w:ascii="Times New Roman" w:hAnsi="Times New Roman"/>
                <w:sz w:val="16"/>
              </w:rPr>
              <w:t>- Súmula 272 do TCU (item 9)</w:t>
            </w:r>
          </w:p>
          <w:p>
            <w:pPr>
              <w:spacing w:after="40" w:before="40" w:line="260" w:lineRule="exact"/>
              <w:jc w:val="both"/>
            </w:pPr>
            <w:r>
              <w:rPr>
                <w:rFonts w:ascii="Times New Roman" w:hAnsi="Times New Roman"/>
                <w:sz w:val="16"/>
              </w:rPr>
              <w:t xml:space="preserve">- TJPR, Recurso Inominado n.º 0001466-45.2021.8.16.0172, 6ª Turma Recursal, Rel. Gisele Lara Ribeiro, publ. 07/02/2025 </w:t>
            </w:r>
            <w:r>
              <w:rPr>
                <w:rFonts w:ascii="Times New Roman" w:hAnsi="Times New Roman"/>
                <w:b/>
                <w:sz w:val="16"/>
              </w:rPr>
              <w:t>[VIT]</w:t>
            </w:r>
            <w:r>
              <w:rPr>
                <w:rFonts w:ascii="Times New Roman" w:hAnsi="Times New Roman"/>
                <w:sz w:val="16"/>
              </w:rPr>
              <w:t xml:space="preserve"> (autorização não formalizada em retificação pública não prevalece sobre o edital)</w:t>
            </w:r>
          </w:p>
          <w:p>
            <w:pPr>
              <w:spacing w:after="40" w:before="40" w:line="260" w:lineRule="exact"/>
              <w:jc w:val="both"/>
            </w:pPr>
            <w:r>
              <w:rPr>
                <w:rFonts w:ascii="Times New Roman" w:hAnsi="Times New Roman"/>
                <w:sz w:val="16"/>
              </w:rPr>
              <w:t xml:space="preserve">- TJPR, MS n.º 0002831-11.2024.8.16.0179, 5ª Câmara Cível, Rel. Des. Leonel Cunha, publ. 17/03/2025 </w:t>
            </w:r>
            <w:r>
              <w:rPr>
                <w:rFonts w:ascii="Times New Roman" w:hAnsi="Times New Roman"/>
                <w:b/>
                <w:sz w:val="16"/>
              </w:rPr>
              <w:t>[VIT]</w:t>
            </w:r>
            <w:r>
              <w:rPr>
                <w:rFonts w:ascii="Times New Roman" w:hAnsi="Times New Roman"/>
                <w:sz w:val="16"/>
              </w:rPr>
              <w:t xml:space="preserve"> (edital como lei do certame vincula Administração e participantes — Leis 14.133/2021 e 8.666/1993)</w:t>
            </w:r>
          </w:p>
          <w:p>
            <w:pPr>
              <w:spacing w:after="40" w:before="40" w:line="260" w:lineRule="exact"/>
              <w:jc w:val="both"/>
            </w:pPr>
            <w:r>
              <w:rPr>
                <w:rFonts w:ascii="Times New Roman" w:hAnsi="Times New Roman"/>
                <w:sz w:val="16"/>
              </w:rPr>
              <w:t xml:space="preserve">- Não localizei, na base judicial consultada, precedente específico sobre o efeito integrativo-vinculante de respostas a esclarecimentos sob a Lei n.º 14.133/2021; a linha clássica é de controle externo — </w:t>
            </w:r>
            <w:r>
              <w:rPr>
                <w:rFonts w:ascii="Times New Roman" w:hAnsi="Times New Roman"/>
                <w:b/>
                <w:sz w:val="16"/>
              </w:rPr>
              <w:t>[PENDENTE: busca TCU/TCE via Lei na Mão antes do protocolo]</w:t>
            </w:r>
            <w:r>
              <w:rPr>
                <w:rFonts w:ascii="Times New Roman" w:hAnsi="Times New Roman"/>
                <w:sz w:val="16"/>
              </w:rPr>
            </w:r>
          </w:p>
          <w:p>
            <w:pPr>
              <w:spacing w:after="40" w:before="40" w:line="260" w:lineRule="exact"/>
              <w:jc w:val="both"/>
            </w:pPr>
            <w:r>
              <w:rPr>
                <w:rFonts w:ascii="Times New Roman" w:hAnsi="Times New Roman"/>
                <w:sz w:val="16"/>
              </w:rPr>
              <w:t xml:space="preserve">Doutrina: - HELY LOPES MEIRELLES, *Direito Administrativo Brasileiro*, 23ª ed., Malheiros, p. 135-136 e 240: "O edital é a lei interna da licitação"; estabelecidas as regras, "tornam-se inalteráveis para aquela licitação"; revelando-se falho, "o edital ou convite poderá ser corrigido a tempo através de aditamento ou expedição de um novo, </w:t>
            </w:r>
            <w:r>
              <w:rPr>
                <w:rFonts w:ascii="Times New Roman" w:hAnsi="Times New Roman"/>
                <w:b/>
                <w:sz w:val="16"/>
              </w:rPr>
              <w:t>sempre com republicação e reabertura de prazo, desde que a alteração afete a elaboração</w:t>
            </w:r>
            <w:r>
              <w:rPr>
                <w:rFonts w:ascii="Times New Roman" w:hAnsi="Times New Roman"/>
                <w:sz w:val="16"/>
              </w:rPr>
              <w:t xml:space="preserve"> das propostas".</w:t>
            </w:r>
          </w:p>
          <w:p>
            <w:pPr>
              <w:spacing w:after="40" w:before="40" w:line="260" w:lineRule="exact"/>
              <w:jc w:val="both"/>
            </w:pPr>
            <w:r>
              <w:rPr>
                <w:rFonts w:ascii="Times New Roman" w:hAnsi="Times New Roman"/>
                <w:sz w:val="16"/>
              </w:rPr>
              <w:t>- MARIA SYLVIA ZANELLA DI PIETRO, *Direito Administrativo*, 12ª ed., Atlas, p. 233-234: a vinculação ao instrumento convocatório é "princípio essencial cuja inobservância enseja nulidade do procedimento", dirigindo-se tanto à Administração quanto aos licitantes; aceitar proposta ou celebrar contrato "com desrespeito às condições previamente estabelecidas" burla a igualdade entre os licitantes.</w:t>
            </w:r>
          </w:p>
          <w:p>
            <w:pPr>
              <w:spacing w:after="40" w:before="40" w:line="260" w:lineRule="exact"/>
              <w:jc w:val="both"/>
            </w:pPr>
            <w:r>
              <w:rPr>
                <w:rFonts w:ascii="Times New Roman" w:hAnsi="Times New Roman"/>
                <w:sz w:val="16"/>
              </w:rPr>
              <w:t>— Jurisprudência TCU/TCE (Lei na Mão) —</w:t>
            </w:r>
          </w:p>
          <w:p>
            <w:pPr>
              <w:spacing w:after="40" w:before="40" w:line="260" w:lineRule="exact"/>
              <w:jc w:val="both"/>
            </w:pPr>
            <w:r>
              <w:rPr>
                <w:rFonts w:ascii="Times New Roman" w:hAnsi="Times New Roman"/>
                <w:sz w:val="16"/>
              </w:rPr>
              <w:t xml:space="preserve">• Acórdão 279/2018-TCU-Plenário, Rel. Bruno Dantas, sessão de 21/02/2018 </w:t>
            </w:r>
            <w:r>
              <w:rPr>
                <w:rFonts w:ascii="Times New Roman" w:hAnsi="Times New Roman"/>
                <w:b/>
                <w:color w:val="CC0000"/>
                <w:sz w:val="16"/>
              </w:rPr>
              <w:t>[VIT]</w:t>
            </w:r>
            <w:r>
              <w:rPr>
                <w:rFonts w:ascii="Times New Roman" w:hAnsi="Times New Roman"/>
                <w:sz w:val="16"/>
              </w:rPr>
            </w:r>
          </w:p>
          <w:p>
            <w:pPr>
              <w:spacing w:after="40" w:before="40" w:line="260" w:lineRule="exact"/>
              <w:jc w:val="both"/>
            </w:pPr>
            <w:r>
              <w:rPr>
                <w:rFonts w:ascii="Times New Roman" w:hAnsi="Times New Roman"/>
                <w:sz w:val="16"/>
              </w:rPr>
              <w:t>• Entendimento TCU-Plenário, sessão de 26/03/2014 (Jurisprudência Selecionada 20537) [VIT</w:t>
            </w:r>
          </w:p>
          <w:p>
            <w:pPr>
              <w:spacing w:after="40" w:before="40" w:line="260" w:lineRule="exact"/>
              <w:jc w:val="both"/>
            </w:pPr>
            <w:r>
              <w:rPr>
                <w:rFonts w:ascii="Times New Roman" w:hAnsi="Times New Roman"/>
                <w:sz w:val="16"/>
              </w:rPr>
              <w:t xml:space="preserve">• Acórdão 8455/2021-TCU-Primeira Câmara, Rel. Weder de Oliveira, sessão de 25/05/2021 </w:t>
            </w:r>
            <w:r>
              <w:rPr>
                <w:rFonts w:ascii="Times New Roman" w:hAnsi="Times New Roman"/>
                <w:b/>
                <w:color w:val="CC0000"/>
                <w:sz w:val="16"/>
              </w:rPr>
              <w:t>[VIT]</w:t>
            </w:r>
            <w:r>
              <w:rPr>
                <w:rFonts w:ascii="Times New Roman" w:hAnsi="Times New Roman"/>
                <w:sz w:val="16"/>
              </w:rPr>
            </w:r>
          </w:p>
          <w:p>
            <w:pPr>
              <w:spacing w:after="40" w:before="40" w:line="260" w:lineRule="exact"/>
              <w:jc w:val="both"/>
            </w:pPr>
            <w:r>
              <w:rPr>
                <w:rFonts w:ascii="Times New Roman" w:hAnsi="Times New Roman"/>
                <w:sz w:val="16"/>
              </w:rPr>
              <w:t xml:space="preserve">• Acórdão 978/2025-TCU-Plenário, Rel. Walton Alencar Rodrigues, sessão de 07/05/2025 </w:t>
            </w:r>
            <w:r>
              <w:rPr>
                <w:rFonts w:ascii="Times New Roman" w:hAnsi="Times New Roman"/>
                <w:b/>
                <w:color w:val="CC0000"/>
                <w:sz w:val="16"/>
              </w:rPr>
              <w:t>[VIT]</w:t>
            </w:r>
            <w:r>
              <w:rPr>
                <w:rFonts w:ascii="Times New Roman" w:hAnsi="Times New Roman"/>
                <w:sz w:val="16"/>
              </w:rPr>
            </w:r>
          </w:p>
          <w:p>
            <w:pPr>
              <w:spacing w:after="40" w:before="40" w:line="260" w:lineRule="exact"/>
              <w:jc w:val="both"/>
            </w:pPr>
            <w:r>
              <w:rPr>
                <w:rFonts w:ascii="Times New Roman" w:hAnsi="Times New Roman"/>
                <w:sz w:val="16"/>
              </w:rPr>
              <w:t>• Acórdão 141/2023-TCU-Primeira Câmara, Rel. Walton Alencar Rodrigues, sessão de 24/01/2023 [VIT</w:t>
            </w:r>
          </w:p>
          <w:p>
            <w:pPr>
              <w:spacing w:after="40" w:before="40" w:line="260" w:lineRule="exact"/>
              <w:jc w:val="both"/>
            </w:pPr>
            <w:r>
              <w:rPr>
                <w:rFonts w:ascii="Times New Roman" w:hAnsi="Times New Roman"/>
                <w:sz w:val="16"/>
              </w:rPr>
              <w:t xml:space="preserve">• Ver também, em sentido de ressalva, Acórdão 10682/2023-TCU-Primeira Câmara (T18): ausência de republicação </w:t>
            </w:r>
            <w:r>
              <w:rPr>
                <w:rFonts w:ascii="Times New Roman" w:hAnsi="Times New Roman"/>
                <w:b/>
                <w:sz w:val="16"/>
              </w:rPr>
              <w:t>sem prejuízo demonstrado</w:t>
            </w:r>
            <w:r>
              <w:rPr>
                <w:rFonts w:ascii="Times New Roman" w:hAnsi="Times New Roman"/>
                <w:sz w:val="16"/>
              </w:rPr>
              <w:t xml:space="preserve"> ao caráter competitivo não invalida o certame — o nexo "regra concedida → efeito na formulação da proposta" deve ser demonstrado ponto a ponto (o bloco 5 já faz esse encadeamento).</w:t>
            </w:r>
          </w:p>
        </w:tc>
        <w:tc>
          <w:tcPr>
            <w:tcW w:type="dxa" w:w="2163"/>
          </w:tcPr>
          <w:p>
            <w:pPr>
              <w:spacing w:after="40" w:before="40" w:line="260" w:lineRule="exact"/>
              <w:jc w:val="center"/>
            </w:pPr>
            <w:r/>
            <w:r>
              <w:rPr>
                <w:rFonts w:ascii="Times New Roman" w:hAnsi="Times New Roman"/>
                <w:b w:val="0"/>
                <w:sz w:val="18"/>
              </w:rPr>
              <w:t>Sim</w:t>
            </w:r>
          </w:p>
        </w:tc>
        <w:tc>
          <w:tcPr>
            <w:tcW w:type="dxa" w:w="2163"/>
          </w:tcPr>
          <w:p>
            <w:pPr>
              <w:spacing w:after="40" w:before="40" w:line="260" w:lineRule="exact"/>
              <w:jc w:val="center"/>
            </w:pPr>
            <w:r/>
            <w:r>
              <w:rPr>
                <w:rFonts w:ascii="Times New Roman" w:hAnsi="Times New Roman"/>
                <w:b w:val="0"/>
                <w:sz w:val="18"/>
              </w:rPr>
              <w:t>**IMPUGNACAO**</w:t>
              <w:br/>
              <w:t>(Administração)</w:t>
            </w:r>
          </w:p>
        </w:tc>
      </w:tr>
      <w:tr>
        <w:tc>
          <w:tcPr>
            <w:tcW w:type="dxa" w:w="2163"/>
            <w:shd w:fill="F2F2F2" w:val="clear"/>
          </w:tcPr>
          <w:p>
            <w:pPr>
              <w:spacing w:after="40" w:before="40" w:line="260" w:lineRule="exact"/>
              <w:jc w:val="center"/>
            </w:pPr>
            <w:r/>
            <w:r>
              <w:rPr>
                <w:rFonts w:ascii="Times New Roman" w:hAnsi="Times New Roman"/>
                <w:b w:val="0"/>
                <w:sz w:val="18"/>
              </w:rPr>
              <w:t>T16</w:t>
            </w:r>
          </w:p>
        </w:tc>
        <w:tc>
          <w:tcPr>
            <w:tcW w:type="dxa" w:w="2163"/>
            <w:shd w:fill="F2F2F2" w:val="clear"/>
          </w:tcPr>
          <w:p>
            <w:pPr>
              <w:spacing w:after="40" w:before="40" w:line="260" w:lineRule="exact"/>
            </w:pPr>
            <w:r/>
            <w:r>
              <w:rPr>
                <w:rFonts w:ascii="Times New Roman" w:hAnsi="Times New Roman"/>
                <w:b w:val="0"/>
                <w:sz w:val="18"/>
              </w:rPr>
              <w:t>Regulação e fiscalização</w:t>
            </w:r>
          </w:p>
        </w:tc>
        <w:tc>
          <w:tcPr>
            <w:tcW w:type="dxa" w:w="2163"/>
            <w:shd w:fill="F2F2F2" w:val="clear"/>
          </w:tcPr>
          <w:p>
            <w:pPr>
              <w:spacing w:after="40" w:before="40" w:line="260" w:lineRule="exact"/>
              <w:jc w:val="both"/>
            </w:pPr>
            <w:r/>
            <w:r>
              <w:rPr>
                <w:rFonts w:ascii="Times New Roman" w:hAnsi="Times New Roman"/>
                <w:sz w:val="18"/>
              </w:rPr>
              <w:t>Mobilização e exigências acessórias</w:t>
            </w:r>
          </w:p>
          <w:p>
            <w:pPr>
              <w:spacing w:after="40" w:before="40" w:line="260" w:lineRule="exact"/>
              <w:jc w:val="both"/>
            </w:pPr>
            <w:r>
              <w:rPr>
                <w:rFonts w:ascii="Times New Roman" w:hAnsi="Times New Roman"/>
                <w:sz w:val="18"/>
              </w:rPr>
            </w:r>
            <w:r>
              <w:rPr>
                <w:rFonts w:ascii="Times New Roman" w:hAnsi="Times New Roman"/>
                <w:b/>
                <w:color w:val="CC0000"/>
                <w:sz w:val="18"/>
              </w:rPr>
              <w:t>[VALIDAÇÃO TÉCNICA]</w:t>
            </w:r>
            <w:r>
              <w:rPr>
                <w:rFonts w:ascii="Times New Roman" w:hAnsi="Times New Roman"/>
                <w:sz w:val="18"/>
              </w:rPr>
            </w:r>
          </w:p>
        </w:tc>
        <w:tc>
          <w:tcPr>
            <w:tcW w:type="dxa" w:w="2163"/>
            <w:shd w:fill="F2F2F2" w:val="clear"/>
          </w:tcPr>
          <w:p>
            <w:pPr>
              <w:spacing w:after="40" w:before="40" w:line="260" w:lineRule="exact"/>
              <w:jc w:val="both"/>
            </w:pPr>
            <w:r/>
            <w:r>
              <w:rPr>
                <w:rFonts w:ascii="Times New Roman" w:hAnsi="Times New Roman"/>
                <w:sz w:val="16"/>
              </w:rPr>
            </w:r>
            <w:r>
              <w:rPr>
                <w:rFonts w:ascii="Times New Roman" w:hAnsi="Times New Roman"/>
                <w:b/>
                <w:sz w:val="16"/>
              </w:rPr>
              <w:t>T16.a — Contradição interna: 30 dias da OS vs. assunção total no "Dia 07".</w:t>
            </w:r>
            <w:r>
              <w:rPr>
                <w:rFonts w:ascii="Times New Roman" w:hAnsi="Times New Roman"/>
                <w:sz w:val="16"/>
              </w:rPr>
              <w:t xml:space="preserve"> Premissa normativa: o edital deve veicular regras claras (art. 25, caput) e o contrato deve conter cláusulas com "os prazos de início das etapas de execução" (art. 92, VII, da Lei n.º 14.133/2021). Fato editalício: o item 5.1.5 do TR (reproduzido na cláusula 9.1.5 da minuta) dispõe que "O serviço será iniciado mediante emissão de Ordem de Serviço, devendo ter início das atividades em 30 (trinta) dias"; o Cronograma de Mobilização e Implantação anexo, porém, fixa "Dia 07 — Início da Operação — </w:t>
            </w:r>
            <w:r>
              <w:rPr>
                <w:rFonts w:ascii="Times New Roman" w:hAnsi="Times New Roman"/>
                <w:b/>
                <w:sz w:val="16"/>
              </w:rPr>
              <w:t>Assunção total dos serviços em todos os setores de coleta</w:t>
            </w:r>
            <w:r>
              <w:rPr>
                <w:rFonts w:ascii="Times New Roman" w:hAnsi="Times New Roman"/>
                <w:sz w:val="16"/>
              </w:rPr>
              <w:t>", precedido de "Dia 04 — Comprovação de Pessoal — Apresentação da relação nominal dos funcionários, devidamente uniformizados e com os respectivos comprovantes de EPIs e exames admissionais", "Dia 05 — Vistoria da Frota" e "Dia 06 — Testes de Rota". Conclusão: dois comandos inconciliáveis sobre o marco de assunção (7 vs. 30 dias). Se prevalecer o Dia 07, a mobilização exigida (contratação de ~18 empregados com exames admissionais em 4 dias, frota vistoriada em 5, telemetria em 6) tende a ser materialmente inviável para quem não esteja previamente operando na região, com efeito seletivo em favor do operador atual — situação vedada pelo art. 9º, I, "a", e pelo art. 5º (isonomia) — e onera a precificação de todos os demais. `</w:t>
            </w:r>
            <w:r>
              <w:rPr>
                <w:rFonts w:ascii="Times New Roman" w:hAnsi="Times New Roman"/>
                <w:b/>
                <w:color w:val="CC0000"/>
                <w:sz w:val="16"/>
              </w:rPr>
              <w:t>[VALIDAÇÃO TÉCNICA: viabilidade de mobilização em 7 e em 30 dias — frota, pessoal, instalações]</w:t>
            </w:r>
            <w:r>
              <w:rPr>
                <w:rFonts w:ascii="Times New Roman" w:hAnsi="Times New Roman"/>
                <w:sz w:val="16"/>
              </w:rPr>
              <w:t>`</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T16.b — Termo inicial indefinido e OS sem prazo de emissão.</w:t>
            </w:r>
            <w:r>
              <w:rPr>
                <w:rFonts w:ascii="Times New Roman" w:hAnsi="Times New Roman"/>
                <w:sz w:val="16"/>
              </w:rPr>
              <w:t xml:space="preserve"> Premissa normativa: são cláusulas necessárias as que estabelecem prazos de início e condições de pagamento (art. 92, V e VII); o art. 92, § 2º, admite período antecedente à expedição da OS para "verificação de pendências [...] para a regularidade do início de sua execução" — o que pressupõe disciplina, não silêncio. Fato editalício: os prazos de mobilização contam ora "da assinatura do contrato </w:t>
            </w:r>
            <w:r>
              <w:rPr>
                <w:rFonts w:ascii="Times New Roman" w:hAnsi="Times New Roman"/>
                <w:b/>
                <w:sz w:val="16"/>
              </w:rPr>
              <w:t>ou</w:t>
            </w:r>
            <w:r>
              <w:rPr>
                <w:rFonts w:ascii="Times New Roman" w:hAnsi="Times New Roman"/>
                <w:sz w:val="16"/>
              </w:rPr>
              <w:t xml:space="preserve"> da emissão da Ordem de Serviços" (item 20.2.e do edital; cláusula 12.2.e), ora "após a assinatura/ordem de serviço" (item 9.4.22 da minuta); e o item 5.1.5/11.1 do TR remete a emissão da OS a "critério do poder público escolher a data conveniente", sem prazo máximo. Conclusão: o termo inicial das obrigações de mobilização é dúplice e indeterminado, e o interregno assinatura→OS é ilimitado, deixando a contratada obrigada a manter preços e disponibilidade por período indefinido — risco não precificável que contraria os arts. 25, caput, e 92, V e VII, e § 2º.</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T16.c — Cartão Cidadão com senha do Extrato de Informações Previdenciárias (LGPD).</w:t>
            </w:r>
            <w:r>
              <w:rPr>
                <w:rFonts w:ascii="Times New Roman" w:hAnsi="Times New Roman"/>
                <w:sz w:val="16"/>
              </w:rPr>
              <w:t xml:space="preserve"> Premissa normativa: o tratamento de dados pessoais exige aderência aos princípios da finalidade, adequação e </w:t>
            </w:r>
            <w:r>
              <w:rPr>
                <w:rFonts w:ascii="Times New Roman" w:hAnsi="Times New Roman"/>
                <w:b/>
                <w:sz w:val="16"/>
              </w:rPr>
              <w:t>necessidade/minimização</w:t>
            </w:r>
            <w:r>
              <w:rPr>
                <w:rFonts w:ascii="Times New Roman" w:hAnsi="Times New Roman"/>
                <w:sz w:val="16"/>
              </w:rPr>
              <w:t xml:space="preserve"> ("limitação do tratamento ao mínimo necessário [...] dados pertinentes, proporcionais e não excessivos") — art. 6º, I a III, da Lei n.º 13.709/2018 — e a uma das bases legais do art. 7º; o art. 11, § 1º, estende o regime dos dados sensíveis a "qualquer tratamento de dados pessoais que </w:t>
            </w:r>
            <w:r>
              <w:rPr>
                <w:rFonts w:ascii="Times New Roman" w:hAnsi="Times New Roman"/>
                <w:b/>
                <w:sz w:val="16"/>
              </w:rPr>
              <w:t>revele</w:t>
            </w:r>
            <w:r>
              <w:rPr>
                <w:rFonts w:ascii="Times New Roman" w:hAnsi="Times New Roman"/>
                <w:sz w:val="16"/>
              </w:rPr>
              <w:t xml:space="preserve"> dados pessoais sensíveis" — e o extrato previdenciário pode revelar benefícios por incapacidade e afastamentos, isto é, dados de saúde; a proteção de dados é direito fundamental autônomo (art. 5º, X e LXXIX, da CF/1988, EC 115/2022), como assentou o STF na ADI 6649, Tribunal Pleno, Rel. Min. Gilmar Mendes, j. 15/09/2022, exigindo do Poder Público finalidade legítima, minimização, transparência e segurança no tratamento e compartilhamento de dados </w:t>
            </w:r>
            <w:r>
              <w:rPr>
                <w:rFonts w:ascii="Times New Roman" w:hAnsi="Times New Roman"/>
                <w:b/>
                <w:sz w:val="16"/>
              </w:rPr>
              <w:t>[VIT]</w:t>
            </w:r>
            <w:r>
              <w:rPr>
                <w:rFonts w:ascii="Times New Roman" w:hAnsi="Times New Roman"/>
                <w:sz w:val="16"/>
              </w:rPr>
              <w:t xml:space="preserve">. No plano licitatório, o art. 48, VI, da Lei n.º 14.133/2021 veda "prever em edital exigências que constituam intervenção indevida da Administração na gestão interna do contratado". Fato editalício: o item 20.2, alínea "e", do edital (cláusula 12.2.e da minuta) obriga a contratada a providenciar, em 30 dias, "Cartão Cidadão expedido pela Caixa Econômica Federal (CEF) </w:t>
            </w:r>
            <w:r>
              <w:rPr>
                <w:rFonts w:ascii="Times New Roman" w:hAnsi="Times New Roman"/>
                <w:b/>
                <w:sz w:val="16"/>
              </w:rPr>
              <w:t>e senha para acesso ao Extrato de Informações Previdenciárias para todos os empregados</w:t>
            </w:r>
            <w:r>
              <w:rPr>
                <w:rFonts w:ascii="Times New Roman" w:hAnsi="Times New Roman"/>
                <w:sz w:val="16"/>
              </w:rPr>
              <w:t xml:space="preserve"> que vier a contratar", com comprovação entregue ao Gestor do Contrato. Conclusão: a exigência (i) impõe a coleta e entrega de </w:t>
            </w:r>
            <w:r>
              <w:rPr>
                <w:rFonts w:ascii="Times New Roman" w:hAnsi="Times New Roman"/>
                <w:b/>
                <w:sz w:val="16"/>
              </w:rPr>
              <w:t>credencial pessoal e intransferível</w:t>
            </w:r>
            <w:r>
              <w:rPr>
                <w:rFonts w:ascii="Times New Roman" w:hAnsi="Times New Roman"/>
                <w:sz w:val="16"/>
              </w:rPr>
              <w:t xml:space="preserve"> de titularidade do trabalhador — não da contratada —, permitindo acesso contínuo e irrestrito à vida previdenciária do titular, quando a finalidade fiscalizatória legítima (conferência de vínculos e recolhimentos, na esteira do TAC n.º 088/2014 – MPT) é atingível por meio menos invasivo (apresentação periódica, pela contratada, dos extratos, guias e eventos do eSocial/CNIS); (ii) não se acomoda em nenhuma base legal do art. 7º da LGPD quanto à </w:t>
            </w:r>
            <w:r>
              <w:rPr>
                <w:rFonts w:ascii="Times New Roman" w:hAnsi="Times New Roman"/>
                <w:b/>
                <w:sz w:val="16"/>
              </w:rPr>
              <w:t>senha</w:t>
            </w:r>
            <w:r>
              <w:rPr>
                <w:rFonts w:ascii="Times New Roman" w:hAnsi="Times New Roman"/>
                <w:sz w:val="16"/>
              </w:rPr>
              <w:t xml:space="preserve"> (o cumprimento de obrigação contratual não exige credencial, e não há consentimento livre de trabalhador subordinado); (iii) alcança dados aptos a revelar informação sensível (art. 11, § 1º); e (iv) interfere na relação da contratada com seus empregados além do escopo do objeto (art. 48, VI). A questão de dados pessoais foi suscitada na 6ª impugnação e </w:t>
            </w:r>
            <w:r>
              <w:rPr>
                <w:rFonts w:ascii="Times New Roman" w:hAnsi="Times New Roman"/>
                <w:b/>
                <w:sz w:val="16"/>
              </w:rPr>
              <w:t>não foi enfrentada</w:t>
            </w:r>
            <w:r>
              <w:rPr>
                <w:rFonts w:ascii="Times New Roman" w:hAnsi="Times New Roman"/>
                <w:sz w:val="16"/>
              </w:rPr>
              <w:t xml:space="preserve"> na resposta (C-238).</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T16.d — Domicílio bancário dos empregados no Município.</w:t>
            </w:r>
            <w:r>
              <w:rPr>
                <w:rFonts w:ascii="Times New Roman" w:hAnsi="Times New Roman"/>
                <w:sz w:val="16"/>
              </w:rPr>
              <w:t xml:space="preserve"> Premissa normativa: art. 48, VI, da Lei n.º 14.133/2021 (vedação de intervenção na gestão interna do contratado); a disciplina do Conselho Monetário Nacional sobre conta-salário assegura ao trabalhador a transferência automática e gratuita dos créditos para conta de sua titularidade em instituição de sua escolha [confirmar o número da resolução CMN vigente antes do protocolo — não citar de memória em peça]. Fato editalício: itens 20.1.cc e 20.2.e ("Fixação de domicílio bancário dos empregados terceirizados no Município de Porto Ferreira"; pagamento "mediante depósito na conta bancária de titularidade do trabalhador, em agência situada na localidade"). Conclusão: a cláusula interfere simultaneamente na gestão da folha da contratada e na liberdade de escolha bancária de terceiros (empregados) estranhos ao contrato administrativo; a finalidade de facilitar conferência de pagamentos é atingível pela comprovação documental dos depósitos, e a portabilidade salarial esvazia a utilidade prática da imposição. Atenuante a registrar: a redação do item 20.1.cc admite exceção "mediante justificativa aceita pela Administração" (C-236) — o pedido adequado é de conversão da regra em faculdade/preferência.</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T16.e — Sede/filial/escritório local com estrutura completa em 30 dias.</w:t>
            </w:r>
            <w:r>
              <w:rPr>
                <w:rFonts w:ascii="Times New Roman" w:hAnsi="Times New Roman"/>
                <w:sz w:val="16"/>
              </w:rPr>
              <w:t xml:space="preserve"> Premissa normativa: art. 9º, I, "a" e "b" (vedação de preferências ou distinções "em razão da naturalidade, da sede ou do domicílio dos licitantes" e de condições que comprometam a competitividade); sob a lei anterior, de idêntico conteúdo, o STJ reconheceu a vedação de preferências em razão de sede/domicílio como regra central de isonomia (STJ, AgInt no AREsp n.º 2.100.717, Primeira Turma, Rel. Min. Paulo Sérgio Domingues, j. 04/12/2023 </w:t>
            </w:r>
            <w:r>
              <w:rPr>
                <w:rFonts w:ascii="Times New Roman" w:hAnsi="Times New Roman"/>
                <w:b/>
                <w:sz w:val="16"/>
              </w:rPr>
              <w:t>[VIT]</w:t>
            </w:r>
            <w:r>
              <w:rPr>
                <w:rFonts w:ascii="Times New Roman" w:hAnsi="Times New Roman"/>
                <w:sz w:val="16"/>
              </w:rPr>
              <w:t xml:space="preserve">). Fato editalício: item 20.2.e — "Abertura e manutenção de sede, filial ou escritório no local da prestação de serviços com capacidade operacional para receber e solucionar qualquer demanda da Administração Pública, </w:t>
            </w:r>
            <w:r>
              <w:rPr>
                <w:rFonts w:ascii="Times New Roman" w:hAnsi="Times New Roman"/>
                <w:b/>
                <w:sz w:val="16"/>
              </w:rPr>
              <w:t>bem como realizar todos os procedimentos pertinentes à seleção, treinamento, admissão e demissão dos empregados</w:t>
            </w:r>
            <w:r>
              <w:rPr>
                <w:rFonts w:ascii="Times New Roman" w:hAnsi="Times New Roman"/>
                <w:sz w:val="16"/>
              </w:rPr>
              <w:t>", em 30 dias da assinatura/OS. Conclusão: como obrigação pós-contratual, a exigência de base local para um serviço intrinsecamente local é defensável em seu núcleo (garagem, atendimento); o excesso está (i) na amplitude — internalizar no escritório local "todos os procedimentos" de RH interfere na organização administrativa da contratada (art. 48, VI) sem pertinência com a execução —, e (ii) no prazo de 30 dias combinado com o termo inicial indefinido (T16.b) e com o cronograma do Dia 07 (T16.a).</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T16.f — TAC n.º 088/2014 – MPT invocado e não anexado.</w:t>
            </w:r>
            <w:r>
              <w:rPr>
                <w:rFonts w:ascii="Times New Roman" w:hAnsi="Times New Roman"/>
                <w:sz w:val="16"/>
              </w:rPr>
              <w:t xml:space="preserve"> Premissa normativa: princípios da publicidade e da transparência (art. 5º) e dever de motivação das exigências na fase preparatória (art. 18, caput e inciso I); a declaração exigida dos licitantes no art. 63, § 1º, alcança "termos de ajustamento de conduta </w:t>
            </w:r>
            <w:r>
              <w:rPr>
                <w:rFonts w:ascii="Times New Roman" w:hAnsi="Times New Roman"/>
                <w:b/>
                <w:sz w:val="16"/>
              </w:rPr>
              <w:t>vigentes na data de entrega das propostas</w:t>
            </w:r>
            <w:r>
              <w:rPr>
                <w:rFonts w:ascii="Times New Roman" w:hAnsi="Times New Roman"/>
                <w:sz w:val="16"/>
              </w:rPr>
              <w:t xml:space="preserve">" — o que pressupõe cognoscibilidade </w:t>
            </w:r>
          </w:p>
          <w:p>
            <w:pPr>
              <w:spacing w:after="40" w:before="40" w:line="260" w:lineRule="exact"/>
              <w:jc w:val="both"/>
            </w:pPr>
            <w:r>
              <w:rPr>
                <w:rFonts w:ascii="Times New Roman" w:hAnsi="Times New Roman"/>
                <w:sz w:val="16"/>
              </w:rPr>
              <w:t>[...texto completo no arquivo AN_bloco correspondente]</w:t>
            </w:r>
          </w:p>
        </w:tc>
        <w:tc>
          <w:tcPr>
            <w:tcW w:type="dxa" w:w="2163"/>
            <w:shd w:fill="F2F2F2" w:val="clear"/>
          </w:tcPr>
          <w:p>
            <w:pPr>
              <w:spacing w:after="40" w:before="40" w:line="260" w:lineRule="exact"/>
              <w:jc w:val="both"/>
            </w:pPr>
            <w:r/>
            <w:r>
              <w:rPr>
                <w:rFonts w:ascii="Times New Roman" w:hAnsi="Times New Roman"/>
                <w:sz w:val="16"/>
              </w:rPr>
              <w:t>- art. 5º, art. 9º, inciso I, alíneas "a" e "b", art. 18, caput e inciso I, art. 25, caput, art. 48, inciso VI, art. 63, § 1º, e art. 92, incisos I, V e VII, e § 2º, da Lei n.º 14.133/2021 (redação vigente conferida)</w:t>
            </w:r>
          </w:p>
          <w:p>
            <w:pPr>
              <w:spacing w:after="40" w:before="40" w:line="260" w:lineRule="exact"/>
              <w:jc w:val="both"/>
            </w:pPr>
            <w:r>
              <w:rPr>
                <w:rFonts w:ascii="Times New Roman" w:hAnsi="Times New Roman"/>
                <w:sz w:val="16"/>
              </w:rPr>
              <w:t>- arts. 6º, incisos I a III, 7º e 11, § 1º, da Lei n.º 13.709/2018 (LGPD)</w:t>
            </w:r>
          </w:p>
          <w:p>
            <w:pPr>
              <w:spacing w:after="40" w:before="40" w:line="260" w:lineRule="exact"/>
              <w:jc w:val="both"/>
            </w:pPr>
            <w:r>
              <w:rPr>
                <w:rFonts w:ascii="Times New Roman" w:hAnsi="Times New Roman"/>
                <w:sz w:val="16"/>
              </w:rPr>
              <w:t>- art. 5º, incisos X e LXXIX, da CF/1988 (EC 115/2022)</w:t>
            </w:r>
          </w:p>
          <w:p>
            <w:pPr>
              <w:spacing w:after="40" w:before="40" w:line="260" w:lineRule="exact"/>
              <w:jc w:val="both"/>
            </w:pPr>
            <w:r>
              <w:rPr>
                <w:rFonts w:ascii="Times New Roman" w:hAnsi="Times New Roman"/>
                <w:sz w:val="16"/>
              </w:rPr>
              <w:t xml:space="preserve">- STF, ADI 6649, Tribunal Pleno, Rel. Min. Gilmar Mendes, j. 15/09/2022 </w:t>
            </w:r>
            <w:r>
              <w:rPr>
                <w:rFonts w:ascii="Times New Roman" w:hAnsi="Times New Roman"/>
                <w:b/>
                <w:sz w:val="16"/>
              </w:rPr>
              <w:t>[VIT]</w:t>
            </w:r>
            <w:r>
              <w:rPr>
                <w:rFonts w:ascii="Times New Roman" w:hAnsi="Times New Roman"/>
                <w:sz w:val="16"/>
              </w:rPr>
              <w:t xml:space="preserve"> (direito fundamental autônomo à proteção de dados; finalidade e minimização no tratamento pelo Poder Público)</w:t>
            </w:r>
          </w:p>
          <w:p>
            <w:pPr>
              <w:spacing w:after="40" w:before="40" w:line="260" w:lineRule="exact"/>
              <w:jc w:val="both"/>
            </w:pPr>
            <w:r>
              <w:rPr>
                <w:rFonts w:ascii="Times New Roman" w:hAnsi="Times New Roman"/>
                <w:sz w:val="16"/>
              </w:rPr>
              <w:t xml:space="preserve">- STJ, AgInt no AREsp n.º 2.100.717, Primeira Turma, Rel. Min. Paulo Sérgio Domingues, j. 04/12/2023 </w:t>
            </w:r>
            <w:r>
              <w:rPr>
                <w:rFonts w:ascii="Times New Roman" w:hAnsi="Times New Roman"/>
                <w:b/>
                <w:sz w:val="16"/>
              </w:rPr>
              <w:t>[VIT]</w:t>
            </w:r>
            <w:r>
              <w:rPr>
                <w:rFonts w:ascii="Times New Roman" w:hAnsi="Times New Roman"/>
                <w:sz w:val="16"/>
              </w:rPr>
              <w:t xml:space="preserve"> (vedação de preferências/distinções em razão de sede ou domicílio — art. 3º, § 1º, I, da Lei 8.666/1993, correspondente ao art. 9º, I, "b", da Lei 14.133/2021)</w:t>
            </w:r>
          </w:p>
          <w:p>
            <w:pPr>
              <w:spacing w:after="40" w:before="40" w:line="260" w:lineRule="exact"/>
              <w:jc w:val="both"/>
            </w:pPr>
            <w:r>
              <w:rPr>
                <w:rFonts w:ascii="Times New Roman" w:hAnsi="Times New Roman"/>
                <w:sz w:val="16"/>
              </w:rPr>
              <w:t xml:space="preserve">- TJPR, AI n.º 0033493-10.2024.8.16.0000, 4ª Câmara Cível, Rel. Des. Clayton de Albuquerque Maranhão, publ. 07/10/2024 </w:t>
            </w:r>
            <w:r>
              <w:rPr>
                <w:rFonts w:ascii="Times New Roman" w:hAnsi="Times New Roman"/>
                <w:b/>
                <w:sz w:val="16"/>
              </w:rPr>
              <w:t>[VIT]</w:t>
            </w:r>
            <w:r>
              <w:rPr>
                <w:rFonts w:ascii="Times New Roman" w:hAnsi="Times New Roman"/>
                <w:sz w:val="16"/>
              </w:rPr>
              <w:t xml:space="preserve"> (contraponto — limitação de idade de frota reputada razoável)</w:t>
            </w:r>
          </w:p>
          <w:p>
            <w:pPr>
              <w:spacing w:after="40" w:before="40" w:line="260" w:lineRule="exact"/>
              <w:jc w:val="both"/>
            </w:pPr>
            <w:r>
              <w:rPr>
                <w:rFonts w:ascii="Times New Roman" w:hAnsi="Times New Roman"/>
                <w:sz w:val="16"/>
              </w:rPr>
              <w:t xml:space="preserve">- Não localizei precedente específico sobre exigência editalícia de senha de extrato previdenciário de empregados (T16.c) nem sobre imposição de domicílio bancário municipal (T16.d) na base consultada — teses ancoradas na literalidade da LGPD, do art. 48, VI, e na ADI 6649 </w:t>
            </w:r>
            <w:r>
              <w:rPr>
                <w:rFonts w:ascii="Times New Roman" w:hAnsi="Times New Roman"/>
                <w:b/>
                <w:sz w:val="16"/>
              </w:rPr>
              <w:t>[VIT]</w:t>
            </w:r>
            <w:r>
              <w:rPr>
                <w:rFonts w:ascii="Times New Roman" w:hAnsi="Times New Roman"/>
                <w:sz w:val="16"/>
              </w:rPr>
              <w:t xml:space="preserve">; </w:t>
            </w:r>
            <w:r>
              <w:rPr>
                <w:rFonts w:ascii="Times New Roman" w:hAnsi="Times New Roman"/>
                <w:b/>
                <w:sz w:val="16"/>
              </w:rPr>
              <w:t>[PENDENTE: busca TCU/TCE via Lei na Mão antes do protocolo]</w:t>
            </w:r>
            <w:r>
              <w:rPr>
                <w:rFonts w:ascii="Times New Roman" w:hAnsi="Times New Roman"/>
                <w:sz w:val="16"/>
              </w:rPr>
            </w:r>
          </w:p>
          <w:p>
            <w:pPr>
              <w:spacing w:after="40" w:before="40" w:line="260" w:lineRule="exact"/>
              <w:jc w:val="both"/>
            </w:pPr>
            <w:r>
              <w:rPr>
                <w:rFonts w:ascii="Times New Roman" w:hAnsi="Times New Roman"/>
                <w:sz w:val="16"/>
              </w:rPr>
              <w:t xml:space="preserve">Doutrina: - Lição de MARÇAL JUSTEN FILHO referida no voto do STJ, AgInt no AREsp n.º 2.100.717 </w:t>
            </w:r>
            <w:r>
              <w:rPr>
                <w:rFonts w:ascii="Times New Roman" w:hAnsi="Times New Roman"/>
                <w:b/>
                <w:sz w:val="16"/>
              </w:rPr>
              <w:t>[VIT]</w:t>
            </w:r>
            <w:r>
              <w:rPr>
                <w:rFonts w:ascii="Times New Roman" w:hAnsi="Times New Roman"/>
                <w:sz w:val="16"/>
              </w:rPr>
              <w:t>: "os competidores devem ser tratados com igualdade, o que significa a vedação a benefícios ou encargos reservados a apenas alguns dos licitantes. Mais ainda, não se admitem cláusulas que, previstas para aplicação generalizada, criam efeitos de distorção da competição" [conferir obra/edição no inteiro teor antes de citar em peça].</w:t>
            </w:r>
          </w:p>
          <w:p>
            <w:pPr>
              <w:spacing w:after="40" w:before="40" w:line="260" w:lineRule="exact"/>
              <w:jc w:val="both"/>
            </w:pPr>
            <w:r>
              <w:rPr>
                <w:rFonts w:ascii="Times New Roman" w:hAnsi="Times New Roman"/>
                <w:sz w:val="16"/>
              </w:rPr>
              <w:t>- MARCELO ALEXANDRINO, *Direito Administrativo Descomplicado*, 25ª ed., Método, 2017, p. 758-759 (vedação de exigências supérfluas ou desnecessárias na habilitação e nas condições do certame).</w:t>
            </w:r>
          </w:p>
          <w:p>
            <w:pPr>
              <w:spacing w:after="40" w:before="40" w:line="260" w:lineRule="exact"/>
              <w:jc w:val="both"/>
            </w:pPr>
            <w:r>
              <w:rPr>
                <w:rFonts w:ascii="Times New Roman" w:hAnsi="Times New Roman"/>
                <w:sz w:val="16"/>
              </w:rPr>
              <w:t>— Jurisprudência TCU/TCE (Lei na Mão) —</w:t>
            </w:r>
          </w:p>
          <w:p>
            <w:pPr>
              <w:spacing w:after="40" w:before="40" w:line="260" w:lineRule="exact"/>
              <w:jc w:val="both"/>
            </w:pPr>
            <w:r>
              <w:rPr>
                <w:rFonts w:ascii="Times New Roman" w:hAnsi="Times New Roman"/>
                <w:sz w:val="16"/>
              </w:rPr>
              <w:t xml:space="preserve">• Acórdão 1334/2026-TCU-Plenário, Rel. Antonio Anastasia, sessão de 27/05/2026 </w:t>
            </w:r>
            <w:r>
              <w:rPr>
                <w:rFonts w:ascii="Times New Roman" w:hAnsi="Times New Roman"/>
                <w:b/>
                <w:color w:val="CC0000"/>
                <w:sz w:val="16"/>
              </w:rPr>
              <w:t>[VIT]</w:t>
            </w:r>
            <w:r>
              <w:rPr>
                <w:rFonts w:ascii="Times New Roman" w:hAnsi="Times New Roman"/>
                <w:sz w:val="16"/>
              </w:rPr>
            </w:r>
          </w:p>
          <w:p>
            <w:pPr>
              <w:spacing w:after="40" w:before="40" w:line="260" w:lineRule="exact"/>
              <w:jc w:val="both"/>
            </w:pPr>
            <w:r>
              <w:rPr>
                <w:rFonts w:ascii="Times New Roman" w:hAnsi="Times New Roman"/>
                <w:sz w:val="16"/>
              </w:rPr>
              <w:t xml:space="preserve">• Acórdão 6923/2025-TCU-Segunda Câmara, Rel. Aroldo Cedraz, sessão de 02/12/2025 </w:t>
            </w:r>
            <w:r>
              <w:rPr>
                <w:rFonts w:ascii="Times New Roman" w:hAnsi="Times New Roman"/>
                <w:b/>
                <w:color w:val="CC0000"/>
                <w:sz w:val="16"/>
              </w:rPr>
              <w:t>[VIT]</w:t>
            </w:r>
            <w:r>
              <w:rPr>
                <w:rFonts w:ascii="Times New Roman" w:hAnsi="Times New Roman"/>
                <w:sz w:val="16"/>
              </w:rPr>
            </w:r>
          </w:p>
          <w:p>
            <w:pPr>
              <w:spacing w:after="40" w:before="40" w:line="260" w:lineRule="exact"/>
              <w:jc w:val="both"/>
            </w:pPr>
            <w:r>
              <w:rPr>
                <w:rFonts w:ascii="Times New Roman" w:hAnsi="Times New Roman"/>
                <w:sz w:val="16"/>
              </w:rPr>
              <w:t xml:space="preserve">• Acórdão 1677/2020-TCU-Plenário, Rel. Augusto Sherman, sessão de 01/07/2020 </w:t>
            </w:r>
            <w:r>
              <w:rPr>
                <w:rFonts w:ascii="Times New Roman" w:hAnsi="Times New Roman"/>
                <w:b/>
                <w:color w:val="CC0000"/>
                <w:sz w:val="16"/>
              </w:rPr>
              <w:t>[VIT]</w:t>
            </w:r>
            <w:r>
              <w:rPr>
                <w:rFonts w:ascii="Times New Roman" w:hAnsi="Times New Roman"/>
                <w:sz w:val="16"/>
              </w:rPr>
            </w:r>
          </w:p>
          <w:p>
            <w:pPr>
              <w:spacing w:after="40" w:before="40" w:line="260" w:lineRule="exact"/>
              <w:jc w:val="both"/>
            </w:pPr>
            <w:r>
              <w:rPr>
                <w:rFonts w:ascii="Times New Roman" w:hAnsi="Times New Roman"/>
                <w:sz w:val="16"/>
              </w:rPr>
              <w:t xml:space="preserve">• Sobre </w:t>
            </w:r>
            <w:r>
              <w:rPr>
                <w:rFonts w:ascii="Times New Roman" w:hAnsi="Times New Roman"/>
                <w:b/>
                <w:sz w:val="16"/>
              </w:rPr>
              <w:t>mobilização exígua/contradição 30 dias × Dia 07</w:t>
            </w:r>
            <w:r>
              <w:rPr>
                <w:rFonts w:ascii="Times New Roman" w:hAnsi="Times New Roman"/>
                <w:sz w:val="16"/>
              </w:rPr>
              <w:t xml:space="preserve">, </w:t>
            </w:r>
            <w:r>
              <w:rPr>
                <w:rFonts w:ascii="Times New Roman" w:hAnsi="Times New Roman"/>
                <w:b/>
                <w:sz w:val="16"/>
              </w:rPr>
              <w:t>Cartão Cidadão com senha de extrato previdenciário (LGPD)</w:t>
            </w:r>
            <w:r>
              <w:rPr>
                <w:rFonts w:ascii="Times New Roman" w:hAnsi="Times New Roman"/>
                <w:sz w:val="16"/>
              </w:rPr>
              <w:t xml:space="preserve"> e </w:t>
            </w:r>
            <w:r>
              <w:rPr>
                <w:rFonts w:ascii="Times New Roman" w:hAnsi="Times New Roman"/>
                <w:b/>
                <w:sz w:val="16"/>
              </w:rPr>
              <w:t>domicílio bancário municipal</w:t>
            </w:r>
            <w:r>
              <w:rPr>
                <w:rFonts w:ascii="Times New Roman" w:hAnsi="Times New Roman"/>
                <w:sz w:val="16"/>
              </w:rPr>
              <w:t xml:space="preserve">: </w:t>
            </w:r>
            <w:r>
              <w:rPr>
                <w:rFonts w:ascii="Times New Roman" w:hAnsi="Times New Roman"/>
                <w:b/>
                <w:sz w:val="16"/>
              </w:rPr>
              <w:t>não localizei precedente específico na base Lei na Mão</w:t>
            </w:r>
            <w:r>
              <w:rPr>
                <w:rFonts w:ascii="Times New Roman" w:hAnsi="Times New Roman"/>
                <w:sz w:val="16"/>
              </w:rPr>
              <w:t xml:space="preserve"> (queries acima). As teses seguem ancoradas na LGPD, no art. 48, VI, da Lei n.º 14.133/2021 e na ADI 6649 </w:t>
            </w:r>
            <w:r>
              <w:rPr>
                <w:rFonts w:ascii="Times New Roman" w:hAnsi="Times New Roman"/>
                <w:b/>
                <w:color w:val="CC0000"/>
                <w:sz w:val="16"/>
              </w:rPr>
              <w:t>[VIT]</w:t>
            </w:r>
            <w:r>
              <w:rPr>
                <w:rFonts w:ascii="Times New Roman" w:hAnsi="Times New Roman"/>
                <w:sz w:val="16"/>
              </w:rPr>
              <w:t xml:space="preserve"> (bloco 5).</w:t>
            </w:r>
          </w:p>
        </w:tc>
        <w:tc>
          <w:tcPr>
            <w:tcW w:type="dxa" w:w="2163"/>
            <w:shd w:fill="F2F2F2" w:val="clear"/>
          </w:tcPr>
          <w:p>
            <w:pPr>
              <w:spacing w:after="40" w:before="40" w:line="260" w:lineRule="exact"/>
              <w:jc w:val="center"/>
            </w:pPr>
            <w:r/>
            <w:r>
              <w:rPr>
                <w:rFonts w:ascii="Times New Roman" w:hAnsi="Times New Roman"/>
                <w:b w:val="0"/>
                <w:sz w:val="18"/>
              </w:rPr>
              <w:t>Sim</w:t>
            </w:r>
          </w:p>
        </w:tc>
        <w:tc>
          <w:tcPr>
            <w:tcW w:type="dxa" w:w="2163"/>
            <w:shd w:fill="F2F2F2" w:val="clear"/>
          </w:tcPr>
          <w:p>
            <w:pPr>
              <w:spacing w:after="40" w:before="40" w:line="260" w:lineRule="exact"/>
              <w:jc w:val="center"/>
            </w:pPr>
            <w:r/>
            <w:r>
              <w:rPr>
                <w:rFonts w:ascii="Times New Roman" w:hAnsi="Times New Roman"/>
                <w:b w:val="0"/>
                <w:sz w:val="18"/>
              </w:rPr>
              <w:t>**IMPUGNACAO**</w:t>
              <w:br/>
              <w:t>(ADMINISTRACAO; para T16.c/T16.d)</w:t>
            </w:r>
          </w:p>
        </w:tc>
      </w:tr>
      <w:tr>
        <w:tc>
          <w:tcPr>
            <w:tcW w:type="dxa" w:w="2163"/>
          </w:tcPr>
          <w:p>
            <w:pPr>
              <w:spacing w:after="40" w:before="40" w:line="260" w:lineRule="exact"/>
              <w:jc w:val="center"/>
            </w:pPr>
            <w:r/>
            <w:r>
              <w:rPr>
                <w:rFonts w:ascii="Times New Roman" w:hAnsi="Times New Roman"/>
                <w:b w:val="0"/>
                <w:sz w:val="18"/>
              </w:rPr>
              <w:t>T17</w:t>
            </w:r>
          </w:p>
        </w:tc>
        <w:tc>
          <w:tcPr>
            <w:tcW w:type="dxa" w:w="2163"/>
          </w:tcPr>
          <w:p>
            <w:pPr>
              <w:spacing w:after="40" w:before="40" w:line="260" w:lineRule="exact"/>
            </w:pPr>
            <w:r/>
            <w:r>
              <w:rPr>
                <w:rFonts w:ascii="Times New Roman" w:hAnsi="Times New Roman"/>
                <w:b w:val="0"/>
                <w:sz w:val="18"/>
              </w:rPr>
              <w:t>Questões formais</w:t>
            </w:r>
          </w:p>
        </w:tc>
        <w:tc>
          <w:tcPr>
            <w:tcW w:type="dxa" w:w="2163"/>
          </w:tcPr>
          <w:p>
            <w:pPr>
              <w:spacing w:after="40" w:before="40" w:line="260" w:lineRule="exact"/>
              <w:jc w:val="both"/>
            </w:pPr>
            <w:r/>
            <w:r>
              <w:rPr>
                <w:rFonts w:ascii="Times New Roman" w:hAnsi="Times New Roman"/>
                <w:sz w:val="18"/>
              </w:rPr>
              <w:t>Vigência e regime</w:t>
            </w:r>
          </w:p>
        </w:tc>
        <w:tc>
          <w:tcPr>
            <w:tcW w:type="dxa" w:w="2163"/>
          </w:tcPr>
          <w:p>
            <w:pPr>
              <w:spacing w:after="40" w:before="40" w:line="260" w:lineRule="exact"/>
              <w:jc w:val="both"/>
            </w:pPr>
            <w:r/>
            <w:r>
              <w:rPr>
                <w:rFonts w:ascii="Times New Roman" w:hAnsi="Times New Roman"/>
                <w:sz w:val="16"/>
              </w:rPr>
            </w:r>
            <w:r>
              <w:rPr>
                <w:rFonts w:ascii="Times New Roman" w:hAnsi="Times New Roman"/>
                <w:b/>
                <w:sz w:val="16"/>
              </w:rPr>
              <w:t>(a) Cláusula de prorrogação que admite leitura de vigência total de 15 anos (C-012).</w:t>
            </w:r>
            <w:r>
              <w:rPr>
                <w:rFonts w:ascii="Times New Roman" w:hAnsi="Times New Roman"/>
                <w:sz w:val="16"/>
              </w:rPr>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xml:space="preserve">*Premissa normativa.* O art. 106, caput, da Lei n.º 14.133/2021 autoriza a celebração de contratos de serviços contínuos com prazo de </w:t>
            </w:r>
            <w:r>
              <w:rPr>
                <w:rFonts w:ascii="Times New Roman" w:hAnsi="Times New Roman"/>
                <w:b/>
                <w:sz w:val="16"/>
              </w:rPr>
              <w:t>até 5 (cinco) anos</w:t>
            </w:r>
            <w:r>
              <w:rPr>
                <w:rFonts w:ascii="Times New Roman" w:hAnsi="Times New Roman"/>
                <w:sz w:val="16"/>
              </w:rPr>
              <w:t>. O art. 107 da mesma lei autoriza prorrogações sucessivas desses contratos, "</w:t>
            </w:r>
            <w:r>
              <w:rPr>
                <w:rFonts w:ascii="Times New Roman" w:hAnsi="Times New Roman"/>
                <w:b/>
                <w:sz w:val="16"/>
              </w:rPr>
              <w:t>respeitada a vigência máxima decenal</w:t>
            </w:r>
            <w:r>
              <w:rPr>
                <w:rFonts w:ascii="Times New Roman" w:hAnsi="Times New Roman"/>
                <w:sz w:val="16"/>
              </w:rPr>
              <w:t xml:space="preserve">", condicionadas à previsão em edital e ao ateste de vantajosidade pela autoridade competente. O teto decenal é, portanto, limite de </w:t>
            </w:r>
            <w:r>
              <w:rPr>
                <w:rFonts w:ascii="Times New Roman" w:hAnsi="Times New Roman"/>
                <w:b/>
                <w:sz w:val="16"/>
              </w:rPr>
              <w:t>vigência total</w:t>
            </w:r>
            <w:r>
              <w:rPr>
                <w:rFonts w:ascii="Times New Roman" w:hAnsi="Times New Roman"/>
                <w:sz w:val="16"/>
              </w:rPr>
              <w:t xml:space="preserve"> do vínculo — prazo inicial somado a todas as prorrogações —, e não franquia de prorrogação autônoma que se adicione ao prazo inicial.</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*Fato editalício.* O item 11.1 do TR e a cláusula 7.1 da minuta contratual dispõem, em redação idêntica:</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xml:space="preserve">&gt; "O prazo de vigência da contratação é de 60 (sessenta) meses contados a partir da emissão da ordem de serviço, </w:t>
            </w:r>
            <w:r>
              <w:rPr>
                <w:rFonts w:ascii="Times New Roman" w:hAnsi="Times New Roman"/>
                <w:b/>
                <w:sz w:val="16"/>
              </w:rPr>
              <w:t>prorrogável por até 10 anos</w:t>
            </w:r>
            <w:r>
              <w:rPr>
                <w:rFonts w:ascii="Times New Roman" w:hAnsi="Times New Roman"/>
                <w:sz w:val="16"/>
              </w:rPr>
              <w:t>, na forma dos artigos 106 e 107 da Lei n° 14.133, de 2021." (item 11.1 do TR; cláusula 7.1 da minuta)</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xml:space="preserve">*Conclusão.* A locução "prorrogável </w:t>
            </w:r>
            <w:r>
              <w:rPr>
                <w:rFonts w:ascii="Times New Roman" w:hAnsi="Times New Roman"/>
                <w:b/>
                <w:sz w:val="16"/>
              </w:rPr>
              <w:t>por</w:t>
            </w:r>
            <w:r>
              <w:rPr>
                <w:rFonts w:ascii="Times New Roman" w:hAnsi="Times New Roman"/>
                <w:sz w:val="16"/>
              </w:rPr>
              <w:t xml:space="preserve"> até 10 anos", aposta a um prazo inicial de 60 meses, comporta a leitura de que a prorrogação — em si — pode alcançar 10 anos, perfazendo </w:t>
            </w:r>
            <w:r>
              <w:rPr>
                <w:rFonts w:ascii="Times New Roman" w:hAnsi="Times New Roman"/>
                <w:b/>
                <w:sz w:val="16"/>
              </w:rPr>
              <w:t>15 anos de vigência total</w:t>
            </w:r>
            <w:r>
              <w:rPr>
                <w:rFonts w:ascii="Times New Roman" w:hAnsi="Times New Roman"/>
                <w:sz w:val="16"/>
              </w:rPr>
              <w:t xml:space="preserve">, o que excede o teto do art. 107 da Lei n.º 14.133/2021. A redação conforme à lei seria "prorrogável por períodos sucessivos </w:t>
            </w:r>
            <w:r>
              <w:rPr>
                <w:rFonts w:ascii="Times New Roman" w:hAnsi="Times New Roman"/>
                <w:b/>
                <w:sz w:val="16"/>
              </w:rPr>
              <w:t>até o limite de 10 (dez) anos de vigência total</w:t>
            </w:r>
            <w:r>
              <w:rPr>
                <w:rFonts w:ascii="Times New Roman" w:hAnsi="Times New Roman"/>
                <w:sz w:val="16"/>
              </w:rPr>
              <w:t>". Ainda que se sustente que a remissão expressa aos arts. 106 e 107 salvaria a interpretação conforme, a ambiguidade permanece no texto que regerá o contrato por 60 meses e servirá de base a decisões futuras de prorrogação; e a definição do horizonte máximo do vínculo é variável de precificação (amortização de mobilização, de frota e dos investimentos condicionais do item 3 — cf. T2), de modo que a incerteza redacional repercute na formulação das propostas. Cláusula de vigência é matéria que o edital deve veicular com precisão (art. 25, caput, c/c art. 6.º, inciso XXIII, alínea "a", da Lei n.º 14.133/2021 — o TR deve conter "o prazo do contrato e, se for o caso, a possibilidade de sua prorrogação").</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(b) "Continuado" tratado como regime de execução — cláusula necessária ausente em sentido próprio (C-278).</w:t>
            </w:r>
            <w:r>
              <w:rPr>
                <w:rFonts w:ascii="Times New Roman" w:hAnsi="Times New Roman"/>
                <w:sz w:val="16"/>
              </w:rPr>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*Premissa normativa.* O art. 92, inciso IV, da Lei n.º 14.133/2021 exige, em todo contrato, cláusula que estabeleça "</w:t>
            </w:r>
            <w:r>
              <w:rPr>
                <w:rFonts w:ascii="Times New Roman" w:hAnsi="Times New Roman"/>
                <w:b/>
                <w:sz w:val="16"/>
              </w:rPr>
              <w:t>o regime de execução ou a forma de fornecimento</w:t>
            </w:r>
            <w:r>
              <w:rPr>
                <w:rFonts w:ascii="Times New Roman" w:hAnsi="Times New Roman"/>
                <w:sz w:val="16"/>
              </w:rPr>
              <w:t xml:space="preserve">". Regimes de execução são os definidos no art. 6.º da lei — empreitada por preço unitário (inciso XXVIII), empreitada por preço global (inciso XXIX), empreitada integral (inciso XXX), contratação por tarefa (inciso XXXI), entre outros. "Serviços contínuos", por sua vez, é qualificação da </w:t>
            </w:r>
            <w:r>
              <w:rPr>
                <w:rFonts w:ascii="Times New Roman" w:hAnsi="Times New Roman"/>
                <w:b/>
                <w:sz w:val="16"/>
              </w:rPr>
              <w:t>necessidade administrativa</w:t>
            </w:r>
            <w:r>
              <w:rPr>
                <w:rFonts w:ascii="Times New Roman" w:hAnsi="Times New Roman"/>
                <w:sz w:val="16"/>
              </w:rPr>
              <w:t xml:space="preserve"> atendida (art. 6.º, inciso XV: "serviços contratados e compras realizadas pela Administração Pública para a manutenção da atividade administrativa, decorrentes de necessidades permanentes ou prolongadas"), com efeitos próprios sobre prazo (arts. 106 e 107) e reajuste (art. 92, § 4.º) — não é regime de execução.</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*Fato editalício.* O item 8.2 do TR e a cláusula 2.3 da minuta dispõem: "</w:t>
            </w:r>
            <w:r>
              <w:rPr>
                <w:rFonts w:ascii="Times New Roman" w:hAnsi="Times New Roman"/>
                <w:b/>
                <w:sz w:val="16"/>
              </w:rPr>
              <w:t>O regime de execução do contrato será continuado.</w:t>
            </w:r>
            <w:r>
              <w:rPr>
                <w:rFonts w:ascii="Times New Roman" w:hAnsi="Times New Roman"/>
                <w:sz w:val="16"/>
              </w:rPr>
              <w:t>"</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*Conclusão.* A cláusula rotulada de regime de execução não veicula regime de execução algum: o contrato não define, em sentido próprio, a cláusula necessária do art. 92, inciso IV, da Lei n.º 14.133/2021. A lacuna não é meramente terminológica: a definição do regime (a remuneração por preço certo de unidades — R$/tonelada, R$/mês — indica empreitada por preço unitário, art. 6.º, inciso XXVIII) condiciona a sistemática de medição (art. 92, inciso VI), a base de aplicação dos limites de alteração contratual e a leitura das cláusulas econômicas. Enquanto não explicitado, licitantes e fiscalização operarão por inferência sobre elemento que a lei exige expresso.</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(c) Valor global dos 60 meses jamais declarado; previsão orçamentária limitada a 2026/2027 e aritmeticamente incoerente (C-132, C-110).</w:t>
            </w:r>
            <w:r>
              <w:rPr>
                <w:rFonts w:ascii="Times New Roman" w:hAnsi="Times New Roman"/>
                <w:sz w:val="16"/>
              </w:rPr>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*Premissa normativa.* O TR deve conter as estimativas do valor da contratação, com memórias de cálculo e documentos de suporte (art. 6.º, inciso XXIII, alínea "i", da Lei n.º 14.133/2021), e a adequação orçamentária (alínea "j"); o ETP deve estimar o valor da contratação (art. 18, § 1.º, inciso VI). O contrato deve indicar o crédito pelo qual correrá a despesa (art. 92, inciso VIII). Para contratos plurianuais de serviços contínuos, o art. 106, inciso II, exige que a Administração ateste, "no início da contratação e de cada exercício", a existência de créditos orçamentários. A criação de despesa continuada exige estimativa do impacto orçamentário-financeiro no exercício em que entra em vigor e nos dois seguintes e demonstração de adequação (arts. 15, 16 e 17 da LC n.º 101/2000).</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xml:space="preserve">*Fato editalício.* (i) O item 9.1 do TR declara "custo estimado total da contratação" de </w:t>
            </w:r>
            <w:r>
              <w:rPr>
                <w:rFonts w:ascii="Times New Roman" w:hAnsi="Times New Roman"/>
                <w:b/>
                <w:sz w:val="16"/>
              </w:rPr>
              <w:t>R$ 9.193.852,80 para 12 (doze) meses</w:t>
            </w:r>
            <w:r>
              <w:rPr>
                <w:rFonts w:ascii="Times New Roman" w:hAnsi="Times New Roman"/>
                <w:sz w:val="16"/>
              </w:rPr>
              <w:t xml:space="preserve">; a cláusula 3.3 da minuta e o item 3.3 do TR explicitam que os quantitativos "consideram um horizonte de 12 (doze) meses", sem alterar a vigência de 60 meses; o Anexo V (proposta) opera igualmente sobre valor de 12 meses. </w:t>
            </w:r>
            <w:r>
              <w:rPr>
                <w:rFonts w:ascii="Times New Roman" w:hAnsi="Times New Roman"/>
                <w:b/>
                <w:sz w:val="16"/>
              </w:rPr>
              <w:t>Nenhum documento do certame declara o valor estimado dos 60 meses de vigência</w:t>
            </w:r>
            <w:r>
              <w:rPr>
                <w:rFonts w:ascii="Times New Roman" w:hAnsi="Times New Roman"/>
                <w:sz w:val="16"/>
              </w:rPr>
              <w:t xml:space="preserve"> (na ordem de R$ 46 milhões, antes de reajustes — projeção que, registre-se, herdaria o vício da soma de itens excludentes apontado em T1/C-131). (ii) O quadro de dotações do item 10.1 do TR alcança apenas 2026/2027, assim:</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&gt; ficha 641 — R$ 1.988.294,40 (2026) e R$ 1.988.294,40 (2027); ficha 634 — R$ 1.053.124,80 (2026) e R$ 1.053.124,80 (2027); ficha 662 — R$ 0,00 (2026) e R$ 3.111.014,40 (2027). Totais: R$ 3.041.419,20 (2026), R$ 6.152.433,60 (2027).</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xml:space="preserve">A alocação de 2027 é internamente incoerente: prevê coleta (fichas 641/634) em valores de </w:t>
            </w:r>
            <w:r>
              <w:rPr>
                <w:rFonts w:ascii="Times New Roman" w:hAnsi="Times New Roman"/>
                <w:b/>
                <w:sz w:val="16"/>
              </w:rPr>
              <w:t>semestre</w:t>
            </w:r>
            <w:r>
              <w:rPr>
                <w:rFonts w:ascii="Times New Roman" w:hAnsi="Times New Roman"/>
                <w:sz w:val="16"/>
              </w:rPr>
              <w:t xml:space="preserve"> — idênticos aos de 2026, que cobre apenas o segundo semestre a partir da OS — e, simultaneamente, destinação externa (ficha 662) por </w:t>
            </w:r>
            <w:r>
              <w:rPr>
                <w:rFonts w:ascii="Times New Roman" w:hAnsi="Times New Roman"/>
                <w:b/>
                <w:sz w:val="16"/>
              </w:rPr>
              <w:t>12 meses inteiros</w:t>
            </w:r>
            <w:r>
              <w:rPr>
                <w:rFonts w:ascii="Times New Roman" w:hAnsi="Times New Roman"/>
                <w:sz w:val="16"/>
              </w:rPr>
              <w:t xml:space="preserve"> (R$ 3.111.014,40 = 12.480 t × R$ 249,28/t), embora o item 3 seja excludente do item 2 e não possa exceder o período da coleta que o alimenta (cf. C-110 e T1).</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*Conclusão.* O certame convoca licitantes para vínculo de 60 meses precificando e orçando apenas 12, sem declarar o valor global estimado da contratação — base sobre a qual se calculam garantia contratual, capital social mínimo e sanções pecuniárias, que ficam referidas a base cinco vezes menor ou simplesmente ambígua (interface com T10/T11/T14) — e sem demonstrar a previsão plurianual exigida pelos arts. 16 e 17 da LC n.º 101/2000 e pelo art. 106, inciso II, da Lei n.º 14.133/2021. A única projeção bienal existente (item 10.1) não resiste à aritmética do próprio edital, o que evidencia que sequer o segundo exercício foi planejado de forma consistente.</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Contra-argumentos antecipados —</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xml:space="preserve">1. </w:t>
            </w:r>
            <w:r>
              <w:rPr>
                <w:rFonts w:ascii="Times New Roman" w:hAnsi="Times New Roman"/>
                <w:b/>
                <w:sz w:val="16"/>
              </w:rPr>
              <w:t>Quanto à vigência (a):</w:t>
            </w:r>
            <w:r>
              <w:rPr>
                <w:rFonts w:ascii="Times New Roman" w:hAnsi="Times New Roman"/>
                <w:sz w:val="16"/>
              </w:rPr>
              <w:t xml:space="preserve"> a Administração dirá que a cláusula remete expressamente "na forma dos artigos 106 e 107", de modo que qualquer prorrogação observará o teto legal e a leitura de 15 anos seria construída pelo intérprete, não pelo texto. Antecipação: a remissão genérica não desfaz a literalidade "prorrogável </w:t>
            </w:r>
            <w:r>
              <w:rPr>
                <w:rFonts w:ascii="Times New Roman" w:hAnsi="Times New Roman"/>
                <w:b/>
                <w:sz w:val="16"/>
              </w:rPr>
              <w:t>por</w:t>
            </w:r>
            <w:r>
              <w:rPr>
                <w:rFonts w:ascii="Times New Roman" w:hAnsi="Times New Roman"/>
                <w:sz w:val="16"/>
              </w:rPr>
              <w:t xml:space="preserve"> até 10 anos"; em cláusula que regerá decisões administrativas futuras (e sucessivas gestões municipais), a correção tem custo zero e elimina o risco de prorrogação além do teto — hipótese em que o vício só seria atacável anos depois, em sede de controle, com contrato em curso.</w:t>
            </w:r>
          </w:p>
          <w:p>
            <w:pPr>
              <w:spacing w:after="40" w:before="40" w:line="260" w:lineRule="exact"/>
              <w:jc w:val="both"/>
            </w:pPr>
            <w:r>
              <w:rPr>
                <w:rFonts w:ascii="Times New Roman" w:hAnsi="Times New Roman"/>
                <w:sz w:val="16"/>
              </w:rPr>
              <w:t xml:space="preserve">2. </w:t>
            </w:r>
            <w:r>
              <w:rPr>
                <w:rFonts w:ascii="Times New Roman" w:hAnsi="Times New Roman"/>
                <w:b/>
                <w:sz w:val="16"/>
              </w:rPr>
              <w:t>Quanto ao regime (b):</w:t>
            </w:r>
            <w:r>
              <w:rPr>
                <w:rFonts w:ascii="Times New Roman" w:hAnsi="Times New Roman"/>
                <w:sz w:val="16"/>
              </w:rPr>
              <w:t xml:space="preserve"> dirá que o vício é terminológico e sem prejuízo, pois a remuneração unitária torna evidente a empreitada por preço unitário (formalismo moderado; art. 12, inciso III, da Lei n.º 14.133/2021 — presunção de boa-fé... a Administração tende ainda a invocar o aproveitamento dos atos). Antecipação: cláusula </w:t>
            </w:r>
            <w:r>
              <w:rPr>
                <w:rFonts w:ascii="Times New Roman" w:hAnsi="Times New Roman"/>
                <w:b/>
                <w:sz w:val="16"/>
              </w:rPr>
              <w:t>necessária</w:t>
            </w:r>
            <w:r>
              <w:rPr>
                <w:rFonts w:ascii="Times New Roman" w:hAnsi="Times New Roman"/>
                <w:sz w:val="16"/>
              </w:rPr>
              <w:t xml:space="preserve"> (art. 92) não se supre por inferência do particular; e a mesma minuta contém outras remissões defeituosas (T18), o que retira a confiabilidade do contexto como fonte integradora.</w:t>
            </w:r>
          </w:p>
          <w:p>
            <w:pPr>
              <w:spacing w:after="40" w:before="40" w:line="260" w:lineRule="exact"/>
              <w:jc w:val="both"/>
            </w:pPr>
            <w:r>
              <w:rPr>
                <w:rFonts w:ascii="Times New Roman" w:hAnsi="Times New Roman"/>
                <w:sz w:val="16"/>
              </w:rPr>
              <w:t xml:space="preserve">3. </w:t>
            </w:r>
            <w:r>
              <w:rPr>
                <w:rFonts w:ascii="Times New Roman" w:hAnsi="Times New Roman"/>
                <w:b/>
                <w:sz w:val="16"/>
              </w:rPr>
              <w:t>Quanto ao valor global (c):</w:t>
            </w:r>
            <w:r>
              <w:rPr>
                <w:rFonts w:ascii="Times New Roman" w:hAnsi="Times New Roman"/>
                <w:sz w:val="16"/>
              </w:rPr>
              <w:t xml:space="preserve"> dirá que (i) a LRF exige estimativa do exercício e dos dois seguintes — atendi</w:t>
            </w:r>
          </w:p>
          <w:p>
            <w:pPr>
              <w:spacing w:after="40" w:before="40" w:line="260" w:lineRule="exact"/>
              <w:jc w:val="both"/>
            </w:pPr>
            <w:r>
              <w:rPr>
                <w:rFonts w:ascii="Times New Roman" w:hAnsi="Times New Roman"/>
                <w:sz w:val="16"/>
              </w:rPr>
              <w:t>[...texto completo no arquivo AN_bloco correspondente]</w:t>
            </w:r>
          </w:p>
        </w:tc>
        <w:tc>
          <w:tcPr>
            <w:tcW w:type="dxa" w:w="2163"/>
          </w:tcPr>
          <w:p>
            <w:pPr>
              <w:spacing w:after="40" w:before="40" w:line="260" w:lineRule="exact"/>
              <w:jc w:val="both"/>
            </w:pPr>
            <w:r/>
            <w:r>
              <w:rPr>
                <w:rFonts w:ascii="Times New Roman" w:hAnsi="Times New Roman"/>
                <w:sz w:val="16"/>
              </w:rPr>
              <w:t>- art. 106, caput e incisos II e III, da Lei n.º 14.133/2021 (redação vigente confirmada)</w:t>
            </w:r>
          </w:p>
          <w:p>
            <w:pPr>
              <w:spacing w:after="40" w:before="40" w:line="260" w:lineRule="exact"/>
              <w:jc w:val="both"/>
            </w:pPr>
            <w:r>
              <w:rPr>
                <w:rFonts w:ascii="Times New Roman" w:hAnsi="Times New Roman"/>
                <w:sz w:val="16"/>
              </w:rPr>
              <w:t>- art. 107 da Lei n.º 14.133/2021 — "respeitada a vigência máxima decenal" (redação vigente confirmada)</w:t>
            </w:r>
          </w:p>
          <w:p>
            <w:pPr>
              <w:spacing w:after="40" w:before="40" w:line="260" w:lineRule="exact"/>
              <w:jc w:val="both"/>
            </w:pPr>
            <w:r>
              <w:rPr>
                <w:rFonts w:ascii="Times New Roman" w:hAnsi="Times New Roman"/>
                <w:sz w:val="16"/>
              </w:rPr>
              <w:t>- art. 92, inciso IV, da Lei n.º 14.133/2021 (cláusula necessária do regime de execução) — *ancoragem retificada em relação à Fase 1, que indicava o inciso II*</w:t>
            </w:r>
          </w:p>
          <w:p>
            <w:pPr>
              <w:spacing w:after="40" w:before="40" w:line="260" w:lineRule="exact"/>
              <w:jc w:val="both"/>
            </w:pPr>
            <w:r>
              <w:rPr>
                <w:rFonts w:ascii="Times New Roman" w:hAnsi="Times New Roman"/>
                <w:sz w:val="16"/>
              </w:rPr>
              <w:t>- art. 92, incisos VI e VIII, da Lei n.º 14.133/2021 (medição; crédito da despesa)</w:t>
            </w:r>
          </w:p>
          <w:p>
            <w:pPr>
              <w:spacing w:after="40" w:before="40" w:line="260" w:lineRule="exact"/>
              <w:jc w:val="both"/>
            </w:pPr>
            <w:r>
              <w:rPr>
                <w:rFonts w:ascii="Times New Roman" w:hAnsi="Times New Roman"/>
                <w:sz w:val="16"/>
              </w:rPr>
              <w:t>- art. 6.º, incisos XV e XXVIII, da Lei n.º 14.133/2021 (definições de serviços contínuos e de empreitada por preço unitário)</w:t>
            </w:r>
          </w:p>
          <w:p>
            <w:pPr>
              <w:spacing w:after="40" w:before="40" w:line="260" w:lineRule="exact"/>
              <w:jc w:val="both"/>
            </w:pPr>
            <w:r>
              <w:rPr>
                <w:rFonts w:ascii="Times New Roman" w:hAnsi="Times New Roman"/>
                <w:sz w:val="16"/>
              </w:rPr>
              <w:t>- art. 6.º, inciso XXIII, alíneas "a", "i" e "j", e art. 18, § 1.º, inciso VI, da Lei n.º 14.133/2021 (prazo e prorrogação no TR; estimativa do valor; adequação orçamentária)</w:t>
            </w:r>
          </w:p>
          <w:p>
            <w:pPr>
              <w:spacing w:after="40" w:before="40" w:line="260" w:lineRule="exact"/>
              <w:jc w:val="both"/>
            </w:pPr>
            <w:r>
              <w:rPr>
                <w:rFonts w:ascii="Times New Roman" w:hAnsi="Times New Roman"/>
                <w:sz w:val="16"/>
              </w:rPr>
              <w:t>- art. 23, caput, e art. 25, caput, da Lei n.º 14.133/2021</w:t>
            </w:r>
          </w:p>
          <w:p>
            <w:pPr>
              <w:spacing w:after="40" w:before="40" w:line="260" w:lineRule="exact"/>
              <w:jc w:val="both"/>
            </w:pPr>
            <w:r>
              <w:rPr>
                <w:rFonts w:ascii="Times New Roman" w:hAnsi="Times New Roman"/>
                <w:sz w:val="16"/>
              </w:rPr>
              <w:t>- arts. 15, 16 e 17 da LC n.º 101/2000</w:t>
            </w:r>
          </w:p>
          <w:p>
            <w:pPr>
              <w:spacing w:after="40" w:before="40" w:line="260" w:lineRule="exact"/>
              <w:jc w:val="both"/>
            </w:pPr>
            <w:r>
              <w:rPr>
                <w:rFonts w:ascii="Times New Roman" w:hAnsi="Times New Roman"/>
                <w:sz w:val="16"/>
              </w:rPr>
              <w:t>- STF, ADI 3497, Rel. Min. Dias Toffoli, Tribunal Pleno, j. 13/06/2024 `</w:t>
            </w:r>
            <w:r>
              <w:rPr>
                <w:rFonts w:ascii="Times New Roman" w:hAnsi="Times New Roman"/>
                <w:b/>
                <w:color w:val="CC0000"/>
                <w:sz w:val="16"/>
              </w:rPr>
              <w:t>[VIT]</w:t>
            </w:r>
            <w:r>
              <w:rPr>
                <w:rFonts w:ascii="Times New Roman" w:hAnsi="Times New Roman"/>
                <w:sz w:val="16"/>
              </w:rPr>
              <w:t>` — assentou, em sede de concessões (Lei n.º 9.074/1995), que prazos legais de duração e prorrogação "devem ser interpretados como limites máximos", vedadas prorrogações automáticas ou informais; invocável por analogia hermenêutica quanto à leitura de tetos temporais, com a ressalva expressa de que o caso versa regime de concessão, não contrato administrativo da Lei n.º 14.133/2021.</w:t>
            </w:r>
          </w:p>
          <w:p>
            <w:pPr>
              <w:spacing w:after="40" w:before="40" w:line="260" w:lineRule="exact"/>
              <w:jc w:val="both"/>
            </w:pPr>
            <w:r>
              <w:rPr>
                <w:rFonts w:ascii="Times New Roman" w:hAnsi="Times New Roman"/>
                <w:sz w:val="16"/>
              </w:rPr>
              <w:t xml:space="preserve">- Não localizei, nas buscas realizadas no Jus IA, precedente judicial específico sobre o cômputo do teto decenal do art. 107 da Lei n.º 14.133/2021 (prazo inicial + prorrogações). </w:t>
            </w:r>
            <w:r>
              <w:rPr>
                <w:rFonts w:ascii="Times New Roman" w:hAnsi="Times New Roman"/>
                <w:b/>
                <w:sz w:val="16"/>
              </w:rPr>
              <w:t>[PENDENTE: busca TCU/TCE via Lei na Mão antes do protocolo — sugestões de chave: "vigência decenal" + "art. 107"; "prorrogação" + "serviços contínuos" + "14.133"; "valor estimado" + "vigência" + "garantia".]</w:t>
            </w:r>
            <w:r>
              <w:rPr>
                <w:rFonts w:ascii="Times New Roman" w:hAnsi="Times New Roman"/>
                <w:sz w:val="16"/>
              </w:rPr>
            </w:r>
          </w:p>
          <w:p>
            <w:pPr>
              <w:spacing w:after="40" w:before="40" w:line="260" w:lineRule="exact"/>
              <w:jc w:val="both"/>
            </w:pPr>
            <w:r>
              <w:rPr>
                <w:rFonts w:ascii="Times New Roman" w:hAnsi="Times New Roman"/>
                <w:sz w:val="16"/>
              </w:rPr>
              <w:t>Doutrina: - MEIRELLES, Hely Lopes. *Direito Administrativo Brasileiro*. 23. ed. São Paulo: Malheiros, p. 135-136 e 144 — o edital é "a lei interna da licitação"; prazo e condições "devem ser estabelecidos com clareza e precisão técnica e jurídica, para orientação dos interessados na formulação de suas propostas". *(Edição comenta o regime da Lei n.º 8.666/1993; ratio transponível. Atualizar a edição citada antes de uso em peça.)*</w:t>
            </w:r>
          </w:p>
          <w:p>
            <w:pPr>
              <w:spacing w:after="40" w:before="40" w:line="260" w:lineRule="exact"/>
              <w:jc w:val="both"/>
            </w:pPr>
            <w:r>
              <w:rPr>
                <w:rFonts w:ascii="Times New Roman" w:hAnsi="Times New Roman"/>
                <w:sz w:val="16"/>
              </w:rPr>
              <w:t>- DI PIETRO, Maria Sylvia Zanella. *Direito Administrativo*. 12. ed. São Paulo: Atlas, p. 192-193 — a limitação temporal dos contratos administrativos "objetiva evitar que os mesmos se estendam por longos períodos com o mesmo contratado"; vedação de prazo indeterminado. *(Mesma ressalva de edição/regime.)*</w:t>
            </w:r>
          </w:p>
          <w:p>
            <w:pPr>
              <w:spacing w:after="40" w:before="40" w:line="260" w:lineRule="exact"/>
              <w:jc w:val="both"/>
            </w:pPr>
            <w:r>
              <w:rPr>
                <w:rFonts w:ascii="Times New Roman" w:hAnsi="Times New Roman"/>
                <w:sz w:val="16"/>
              </w:rPr>
              <w:t>— Jurisprudência TCU/TCE (Lei na Mão) —</w:t>
            </w:r>
          </w:p>
          <w:p>
            <w:pPr>
              <w:spacing w:after="40" w:before="40" w:line="260" w:lineRule="exact"/>
              <w:jc w:val="both"/>
            </w:pPr>
            <w:r>
              <w:rPr>
                <w:rFonts w:ascii="Times New Roman" w:hAnsi="Times New Roman"/>
                <w:sz w:val="16"/>
              </w:rPr>
              <w:t xml:space="preserve">• Acórdão 3062/2011-TCU-Plenário, Rel. Valmir Campelo, sessão de 23/11/2011 </w:t>
            </w:r>
            <w:r>
              <w:rPr>
                <w:rFonts w:ascii="Times New Roman" w:hAnsi="Times New Roman"/>
                <w:b/>
                <w:color w:val="CC0000"/>
                <w:sz w:val="16"/>
              </w:rPr>
              <w:t>[VIT]</w:t>
            </w:r>
            <w:r>
              <w:rPr>
                <w:rFonts w:ascii="Times New Roman" w:hAnsi="Times New Roman"/>
                <w:sz w:val="16"/>
              </w:rPr>
            </w:r>
          </w:p>
          <w:p>
            <w:pPr>
              <w:spacing w:after="40" w:before="40" w:line="260" w:lineRule="exact"/>
              <w:jc w:val="both"/>
            </w:pPr>
            <w:r>
              <w:rPr>
                <w:rFonts w:ascii="Times New Roman" w:hAnsi="Times New Roman"/>
                <w:sz w:val="16"/>
              </w:rPr>
              <w:t>• Acórdão TCE-SP, sessão de 07/10/2013, TC-36157/026/13 [VIT</w:t>
            </w:r>
          </w:p>
        </w:tc>
        <w:tc>
          <w:tcPr>
            <w:tcW w:type="dxa" w:w="2163"/>
          </w:tcPr>
          <w:p>
            <w:pPr>
              <w:spacing w:after="40" w:before="40" w:line="260" w:lineRule="exact"/>
              <w:jc w:val="center"/>
            </w:pPr>
            <w:r/>
            <w:r>
              <w:rPr>
                <w:rFonts w:ascii="Times New Roman" w:hAnsi="Times New Roman"/>
                <w:b w:val="0"/>
                <w:sz w:val="18"/>
              </w:rPr>
              <w:t>Não</w:t>
            </w:r>
          </w:p>
        </w:tc>
        <w:tc>
          <w:tcPr>
            <w:tcW w:type="dxa" w:w="2163"/>
          </w:tcPr>
          <w:p>
            <w:pPr>
              <w:spacing w:after="40" w:before="40" w:line="260" w:lineRule="exact"/>
              <w:jc w:val="center"/>
            </w:pPr>
            <w:r/>
            <w:r>
              <w:rPr>
                <w:rFonts w:ascii="Times New Roman" w:hAnsi="Times New Roman"/>
                <w:b w:val="0"/>
                <w:sz w:val="18"/>
              </w:rPr>
            </w:r>
          </w:p>
        </w:tc>
      </w:tr>
      <w:tr>
        <w:tc>
          <w:tcPr>
            <w:tcW w:type="dxa" w:w="2163"/>
            <w:shd w:fill="F2F2F2" w:val="clear"/>
          </w:tcPr>
          <w:p>
            <w:pPr>
              <w:spacing w:after="40" w:before="40" w:line="260" w:lineRule="exact"/>
              <w:jc w:val="center"/>
            </w:pPr>
            <w:r/>
            <w:r>
              <w:rPr>
                <w:rFonts w:ascii="Times New Roman" w:hAnsi="Times New Roman"/>
                <w:b w:val="0"/>
                <w:sz w:val="18"/>
              </w:rPr>
              <w:t>T18</w:t>
            </w:r>
          </w:p>
        </w:tc>
        <w:tc>
          <w:tcPr>
            <w:tcW w:type="dxa" w:w="2163"/>
            <w:shd w:fill="F2F2F2" w:val="clear"/>
          </w:tcPr>
          <w:p>
            <w:pPr>
              <w:spacing w:after="40" w:before="40" w:line="260" w:lineRule="exact"/>
            </w:pPr>
            <w:r/>
            <w:r>
              <w:rPr>
                <w:rFonts w:ascii="Times New Roman" w:hAnsi="Times New Roman"/>
                <w:b w:val="0"/>
                <w:sz w:val="18"/>
              </w:rPr>
              <w:t>Questões formais</w:t>
            </w:r>
          </w:p>
        </w:tc>
        <w:tc>
          <w:tcPr>
            <w:tcW w:type="dxa" w:w="2163"/>
            <w:shd w:fill="F2F2F2" w:val="clear"/>
          </w:tcPr>
          <w:p>
            <w:pPr>
              <w:spacing w:after="40" w:before="40" w:line="260" w:lineRule="exact"/>
              <w:jc w:val="both"/>
            </w:pPr>
            <w:r/>
            <w:r>
              <w:rPr>
                <w:rFonts w:ascii="Times New Roman" w:hAnsi="Times New Roman"/>
                <w:sz w:val="18"/>
              </w:rPr>
              <w:t>Defeitos de edição com efeito normativo</w:t>
            </w:r>
          </w:p>
        </w:tc>
        <w:tc>
          <w:tcPr>
            <w:tcW w:type="dxa" w:w="2163"/>
            <w:shd w:fill="F2F2F2" w:val="clear"/>
          </w:tcPr>
          <w:p>
            <w:pPr>
              <w:spacing w:after="40" w:before="40" w:line="260" w:lineRule="exact"/>
              <w:jc w:val="both"/>
            </w:pPr>
            <w:r/>
            <w:r>
              <w:rPr>
                <w:rFonts w:ascii="Times New Roman" w:hAnsi="Times New Roman"/>
                <w:sz w:val="16"/>
              </w:rPr>
              <w:t>*Premissa normativa comum.* O edital é a lei interna do certame e vincula Administração e licitantes (art. 5.º da Lei n.º 14.133/2021 — vinculação ao edital; art. 25, caput — o edital "deverá conter" as regras da licitação e da contratação). Todos os seus elementos, "incluídos minuta de contrato, termos de referência (...) e outros anexos", devem ser divulgados em sítio eletrônico oficial, "</w:t>
            </w:r>
            <w:r>
              <w:rPr>
                <w:rFonts w:ascii="Times New Roman" w:hAnsi="Times New Roman"/>
                <w:b/>
                <w:sz w:val="16"/>
              </w:rPr>
              <w:t>sem necessidade de registro ou de identificação para acesso</w:t>
            </w:r>
            <w:r>
              <w:rPr>
                <w:rFonts w:ascii="Times New Roman" w:hAnsi="Times New Roman"/>
                <w:sz w:val="16"/>
              </w:rPr>
              <w:t>" (art. 25, § 3.º). "Qualquer pessoa" é parte legítima para impugnar o edital ou pedir esclarecimentos (art. 164, caput). Modificações no edital implicam nova divulgação e devolução de prazos, "exceto quando a alteração não comprometer a formulação das propostas" (art. 55, § 1.º). Texto convocatório que anuncia comandos inexistentes, remete a dispositivos errados ou contradiz seus próprios anexos não cumpre a função normativa que esses dispositivos lhe atribuem — e o edital reaberto, que já é produto de retificação, acumula os defeitos abaixo, cada um com transcrição e efeito próprio.</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(a) Cláusula truncada — alínea "hh" do item 20.1 do Edital (C-271).</w:t>
            </w:r>
            <w:r>
              <w:rPr>
                <w:rFonts w:ascii="Times New Roman" w:hAnsi="Times New Roman"/>
                <w:sz w:val="16"/>
              </w:rPr>
              <w:t xml:space="preserve"> O texto anuncia rol que não existe:</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xml:space="preserve">&gt; "hh) Instruir seus empregados, no início da execução contratual, quanto à obtenção das informações de seus interesses junto aos órgãos públicos (...) adotando, entre outras, </w:t>
            </w:r>
            <w:r>
              <w:rPr>
                <w:rFonts w:ascii="Times New Roman" w:hAnsi="Times New Roman"/>
                <w:b/>
                <w:sz w:val="16"/>
              </w:rPr>
              <w:t>as seguintes medidas:</w:t>
            </w:r>
            <w:r>
              <w:rPr>
                <w:rFonts w:ascii="Times New Roman" w:hAnsi="Times New Roman"/>
                <w:sz w:val="16"/>
              </w:rPr>
              <w:t>" — segue-se imediatamente a alínea "ii", sobre protocolos administrativos.</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Obrigação contratual cujo conteúdo ("as seguintes medidas") foi suprimido na edição é inexigível em sentido próprio e insuscetível de fiscalização objetiva; a mesma alínea reaparece na minuta (cláusula de obrigações), levando o defeito para dentro do contrato.</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(b) Supressão de palavra com perda de sentido — item 5.5.20 do TR e correspondente da minuta (C-275).</w:t>
            </w:r>
            <w:r>
              <w:rPr>
                <w:rFonts w:ascii="Times New Roman" w:hAnsi="Times New Roman"/>
                <w:sz w:val="16"/>
              </w:rPr>
              <w:t xml:space="preserve"> A retificação que excluiu a exigência de IQR deixou o período agramatical:</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xml:space="preserve">&gt; "deverá possuir licença de operação vigente e carta de anuência atestando que </w:t>
            </w:r>
            <w:r>
              <w:rPr>
                <w:rFonts w:ascii="Times New Roman" w:hAnsi="Times New Roman"/>
                <w:b/>
                <w:sz w:val="16"/>
              </w:rPr>
              <w:t>o local possui ambiental válida</w:t>
            </w:r>
            <w:r>
              <w:rPr>
                <w:rFonts w:ascii="Times New Roman" w:hAnsi="Times New Roman"/>
                <w:sz w:val="16"/>
              </w:rPr>
              <w:t>, infraestrutura e volume operacional disponíveis para receber 40 (quarenta) toneladas por dia".</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Falta o substantivo (presumivelmente "licença"). O dispositivo define justamente o documento habilitador do aterro externo do item 3 — elemento central da execução —, e sua redação atual não permite saber com precisão o que a carta de anuência deve atestar (art. 25, caput, c/c art. 6.º, inciso XXIII, alínea "a", da Lei n.º 14.133/2021).</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(c) Rol de anexos do TR vazio (C-291, c/c C-288).</w:t>
            </w:r>
            <w:r>
              <w:rPr>
                <w:rFonts w:ascii="Times New Roman" w:hAnsi="Times New Roman"/>
                <w:sz w:val="16"/>
              </w:rPr>
              <w:t xml:space="preserve"> O item 15/15.1 do TR anuncia e não entrega:</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&gt; "15. ARQUIVOS ADICIONAIS QUE COMPÕEM O TERMO DE REFERÊNCIA — 15.1. Compõem ainda o presente Anexo os arquivos abaixo relacionados, em formato PDF." — nada se segue; o texto salta para o Anexo II.</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xml:space="preserve">Os arquivos operacionais que o corpo do TR pressupõe (Mapa de Itinerário, Tabela de Quilometragem, Projeto Básico da Estação de Transbordo, Cronograma de Mobilização, KPI, CCT SIEMACO 2025/2026, Decreto n.º 3.367/2026, LO do aterro, LI do transbordo) circulam de fato, mas </w:t>
            </w:r>
            <w:r>
              <w:rPr>
                <w:rFonts w:ascii="Times New Roman" w:hAnsi="Times New Roman"/>
                <w:b/>
                <w:sz w:val="16"/>
              </w:rPr>
              <w:t>não são formalmente relacionados como parte integrante do instrumento</w:t>
            </w:r>
            <w:r>
              <w:rPr>
                <w:rFonts w:ascii="Times New Roman" w:hAnsi="Times New Roman"/>
                <w:sz w:val="16"/>
              </w:rPr>
              <w:t>. A omissão tem efeito normativo direto quando combinada com o item 26.1 do Edital ("Em caso de divergência entre disposições deste Edital e de seus anexos ou demais peças (...) prevalecerá as deste Edital" — C-288): documentos não relacionados podem ter sua integração ao contrato questionada, em prejuízo da própria exequibilidade das obrigações que neles se apoiam (KPIs sancionatórios inclusive — cf. T11). Permanece `DEPENDE_DE_FATO` a verificação de se os PDFs estão disponíveis no sítio oficial sem registro/identificação, como exige o art. 25, § 3.º.</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(d) Remissões erradas (C-221, C-270, C-276, C-283).</w:t>
            </w:r>
            <w:r>
              <w:rPr>
                <w:rFonts w:ascii="Times New Roman" w:hAnsi="Times New Roman"/>
                <w:sz w:val="16"/>
              </w:rPr>
            </w:r>
          </w:p>
          <w:p>
            <w:pPr>
              <w:spacing w:after="40" w:before="40" w:line="260" w:lineRule="exact"/>
              <w:jc w:val="both"/>
            </w:pPr>
            <w:r>
              <w:rPr>
                <w:rFonts w:ascii="Times New Roman" w:hAnsi="Times New Roman"/>
                <w:sz w:val="16"/>
              </w:rPr>
              <w:t xml:space="preserve">- </w:t>
            </w:r>
            <w:r>
              <w:rPr>
                <w:rFonts w:ascii="Times New Roman" w:hAnsi="Times New Roman"/>
                <w:b/>
                <w:sz w:val="16"/>
              </w:rPr>
              <w:t>Item 22.8 do Edital:</w:t>
            </w:r>
            <w:r>
              <w:rPr>
                <w:rFonts w:ascii="Times New Roman" w:hAnsi="Times New Roman"/>
                <w:sz w:val="16"/>
              </w:rPr>
              <w:t xml:space="preserve"> remete às "infrações administrativas previstas nos itens </w:t>
            </w:r>
            <w:r>
              <w:rPr>
                <w:rFonts w:ascii="Times New Roman" w:hAnsi="Times New Roman"/>
                <w:b/>
                <w:sz w:val="16"/>
              </w:rPr>
              <w:t>12.1.1</w:t>
            </w:r>
            <w:r>
              <w:rPr>
                <w:rFonts w:ascii="Times New Roman" w:hAnsi="Times New Roman"/>
                <w:sz w:val="16"/>
              </w:rPr>
              <w:t>, 22.1.2 e 22.1.3" para fins de agravamento sancionatório; o item 12.1.1 trata do envio de propostas pelo sistema — o contexto indica o item 22.1.1 (deixar de entregar documentação). Em matéria sancionatória, remissão errada compromete a tipicidade (art. 156, § 3.º, c/c art. 25, caput, da Lei n.º 14.133/2021); não há interpretação extensiva ou corretiva contra o apenado.</w:t>
            </w:r>
          </w:p>
          <w:p>
            <w:pPr>
              <w:spacing w:after="40" w:before="40" w:line="260" w:lineRule="exact"/>
              <w:jc w:val="both"/>
            </w:pPr>
            <w:r>
              <w:rPr>
                <w:rFonts w:ascii="Times New Roman" w:hAnsi="Times New Roman"/>
                <w:sz w:val="16"/>
              </w:rPr>
              <w:t xml:space="preserve">- </w:t>
            </w:r>
            <w:r>
              <w:rPr>
                <w:rFonts w:ascii="Times New Roman" w:hAnsi="Times New Roman"/>
                <w:b/>
                <w:sz w:val="16"/>
              </w:rPr>
              <w:t>Item 14.4 do Edital:</w:t>
            </w:r>
            <w:r>
              <w:rPr>
                <w:rFonts w:ascii="Times New Roman" w:hAnsi="Times New Roman"/>
                <w:sz w:val="16"/>
              </w:rPr>
              <w:t xml:space="preserve"> condiciona a adjudicação a prazos "constantes do item </w:t>
            </w:r>
            <w:r>
              <w:rPr>
                <w:rFonts w:ascii="Times New Roman" w:hAnsi="Times New Roman"/>
                <w:b/>
                <w:sz w:val="16"/>
              </w:rPr>
              <w:t>1.2.4</w:t>
            </w:r>
            <w:r>
              <w:rPr>
                <w:rFonts w:ascii="Times New Roman" w:hAnsi="Times New Roman"/>
                <w:sz w:val="16"/>
              </w:rPr>
              <w:t xml:space="preserve"> do Anexo II" — item inexistente (a numeração encerra em 1.2.3.2); a referência aparente é o prazo de regularização fiscal do item 1.2.3.1.</w:t>
            </w:r>
          </w:p>
          <w:p>
            <w:pPr>
              <w:spacing w:after="40" w:before="40" w:line="260" w:lineRule="exact"/>
              <w:jc w:val="both"/>
            </w:pPr>
            <w:r>
              <w:rPr>
                <w:rFonts w:ascii="Times New Roman" w:hAnsi="Times New Roman"/>
                <w:sz w:val="16"/>
              </w:rPr>
              <w:t xml:space="preserve">- </w:t>
            </w:r>
            <w:r>
              <w:rPr>
                <w:rFonts w:ascii="Times New Roman" w:hAnsi="Times New Roman"/>
                <w:b/>
                <w:sz w:val="16"/>
              </w:rPr>
              <w:t>Item 5.8, alínea "k", do TR / cláusula 9.8.k da minuta:</w:t>
            </w:r>
            <w:r>
              <w:rPr>
                <w:rFonts w:ascii="Times New Roman" w:hAnsi="Times New Roman"/>
                <w:sz w:val="16"/>
              </w:rPr>
              <w:t xml:space="preserve"> exigem "Plano de manutenção da frota e dos equipamentos (seguindo a norma ABNT 13.221/2010)"; a NBR 13.221 disciplina </w:t>
            </w:r>
            <w:r>
              <w:rPr>
                <w:rFonts w:ascii="Times New Roman" w:hAnsi="Times New Roman"/>
                <w:b/>
                <w:sz w:val="16"/>
              </w:rPr>
              <w:t>transporte terrestre de resíduos</w:t>
            </w:r>
            <w:r>
              <w:rPr>
                <w:rFonts w:ascii="Times New Roman" w:hAnsi="Times New Roman"/>
                <w:sz w:val="16"/>
              </w:rPr>
              <w:t>, como a própria minuta reconhece noutro ponto (12.1.jj). A norma técnica efetivamente aplicável ao plano de manutenção não é identificada. `</w:t>
            </w:r>
            <w:r>
              <w:rPr>
                <w:rFonts w:ascii="Times New Roman" w:hAnsi="Times New Roman"/>
                <w:b/>
                <w:color w:val="CC0000"/>
                <w:sz w:val="16"/>
              </w:rPr>
              <w:t>[VALIDAÇÃO TÉCNICA: indicação da norma correta de manutenção de frota depende de confirmação de engenharia]</w:t>
            </w:r>
            <w:r>
              <w:rPr>
                <w:rFonts w:ascii="Times New Roman" w:hAnsi="Times New Roman"/>
                <w:sz w:val="16"/>
              </w:rPr>
              <w:t>`</w:t>
            </w:r>
          </w:p>
          <w:p>
            <w:pPr>
              <w:spacing w:after="40" w:before="40" w:line="260" w:lineRule="exact"/>
              <w:jc w:val="both"/>
            </w:pPr>
            <w:r>
              <w:rPr>
                <w:rFonts w:ascii="Times New Roman" w:hAnsi="Times New Roman"/>
                <w:sz w:val="16"/>
              </w:rPr>
              <w:t xml:space="preserve">- </w:t>
            </w:r>
            <w:r>
              <w:rPr>
                <w:rFonts w:ascii="Times New Roman" w:hAnsi="Times New Roman"/>
                <w:b/>
                <w:sz w:val="16"/>
              </w:rPr>
              <w:t>Item 5.4.5 vs. itens 2.5/5.5.19 do TR (C-283):</w:t>
            </w:r>
            <w:r>
              <w:rPr>
                <w:rFonts w:ascii="Times New Roman" w:hAnsi="Times New Roman"/>
                <w:sz w:val="16"/>
              </w:rPr>
              <w:t xml:space="preserve"> o 5.4.5 refere estação de transbordo "subsidiada por convênio estadual"; os demais dispositivos tratam de obra municipal, sem menção a convênio — inconsistência sobre a natureza/custeio do ativo que a contratada deverá operar.</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(e) LC n.º 123/2006 afastada no corpo e aplicada no Anexo II (C-055, c/c C-288).</w:t>
            </w:r>
            <w:r>
              <w:rPr>
                <w:rFonts w:ascii="Times New Roman" w:hAnsi="Times New Roman"/>
                <w:sz w:val="16"/>
              </w:rPr>
              <w:t xml:space="preserve"> O item 11.11 do Edital dispõe que "Não se aplicarão as disposições constantes dos arts. 42 a 49 da Lei Complementar nº 123"; o Anexo II, item 1.2.3.1, assegura a ME/EPP exatamente o prazo de regularização fiscal tardia "nos termos do artigo 43, § 2º, da Lei Complementar n.º 123". Regimes incompatíveis convivem no mesmo instrumento e a cláusula de prevalência do item 26.1 armaria a Administração para suprimir, no caso concreto, direito que o Anexo II declara — insegurança incompatível com o art. 25, caput, e com o art. 4.º da Lei n.º 14.133/2021 (que manda aplicar às licitações o regime dos arts. 42 a 49 da LC n.º 123/2006).</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(f) Taxa da plataforma sem percentual e repasse ao vencedor (C-267, C-285).</w:t>
            </w:r>
            <w:r>
              <w:rPr>
                <w:rFonts w:ascii="Times New Roman" w:hAnsi="Times New Roman"/>
                <w:sz w:val="16"/>
              </w:rPr>
              <w:t xml:space="preserve"> O item 7.8 impõe:</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 xml:space="preserve">&gt; "O custo de operacionalização e uso do sistema ficará a cargo do Licitante vencedor do certame, que pagará a provedora do sistema eletrônico, </w:t>
            </w:r>
            <w:r>
              <w:rPr>
                <w:rFonts w:ascii="Times New Roman" w:hAnsi="Times New Roman"/>
                <w:b/>
                <w:sz w:val="16"/>
              </w:rPr>
              <w:t>o percentual estabelecido</w:t>
            </w:r>
            <w:r>
              <w:rPr>
                <w:rFonts w:ascii="Times New Roman" w:hAnsi="Times New Roman"/>
                <w:sz w:val="16"/>
              </w:rPr>
              <w:t>, a título de taxa pela utilização dos recursos de tecnologia da informação."</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t>O percentual não é divulgado em lugar algum do edital: custo certo de contratação com valor desconhecido, impossível de precificar (art. 25, caput, e art. 5.º da Lei n.º 14.133/2021). Soma-se a questão de fundo — já impugnada e rejeitada na fase anterior (C-285) — da ausência de amparo na lei de regência para transferir ao particular o custo do sistema utilizado pela Administração (art. 5.º e art. 9.º, inciso I, alínea "a", da Lei n.º 14.133/2021; art. 37, caput, da CF/1988).</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(g) Impugnação exclusivamente pela plataforma privada (C-269).</w:t>
            </w:r>
            <w:r>
              <w:rPr>
                <w:rFonts w:ascii="Times New Roman" w:hAnsi="Times New Roman"/>
                <w:sz w:val="16"/>
              </w:rPr>
              <w:t xml:space="preserve"> O item 14.1.1 dispõe que "A impugnação contra o presente Edital deverá ser realizada </w:t>
            </w:r>
            <w:r>
              <w:rPr>
                <w:rFonts w:ascii="Times New Roman" w:hAnsi="Times New Roman"/>
                <w:b/>
                <w:sz w:val="16"/>
              </w:rPr>
              <w:t>exclusivamente</w:t>
            </w:r>
            <w:r>
              <w:rPr>
                <w:rFonts w:ascii="Times New Roman" w:hAnsi="Times New Roman"/>
                <w:sz w:val="16"/>
              </w:rPr>
              <w:t xml:space="preserve"> na página eletrônica da Bolsa de Licitações e leilões (bllcompras.com)". O art. 164, caput, da Lei n.º 14.133/2021 legitima "</w:t>
            </w:r>
            <w:r>
              <w:rPr>
                <w:rFonts w:ascii="Times New Roman" w:hAnsi="Times New Roman"/>
                <w:b/>
                <w:sz w:val="16"/>
              </w:rPr>
              <w:t>qualquer pessoa</w:t>
            </w:r>
            <w:r>
              <w:rPr>
                <w:rFonts w:ascii="Times New Roman" w:hAnsi="Times New Roman"/>
                <w:sz w:val="16"/>
              </w:rPr>
              <w:t>" — inclusive o cidadão não licitante e não cadastrado — a impugnar o edital; condicionar o exercício desse direito a cadastro/credenciamento em plataforma privada restringe o que a lei quis universal e destoa do próprio edital, que admite e-mail institucional para consultas (item 4.1: pregao@portoferreira.sp.gov.br). Convergem o direito de petição (art. 5.º, inciso XXXIV, alínea "a", da CF/1988) e a lógica do art. 25, § 3.º (acesso aos elementos do certame "sem necessidade de registro ou de identificação").</w:t>
            </w:r>
          </w:p>
          <w:p>
            <w:pPr>
              <w:spacing w:after="40" w:before="40" w:line="260" w:lineRule="exact"/>
              <w:jc w:val="both"/>
            </w:pPr>
            <w:r>
              <w:rPr>
                <w:rFonts w:ascii="Times New Roman" w:hAnsi="Times New Roman"/>
                <w:sz w:val="16"/>
              </w:rPr>
            </w:r>
          </w:p>
          <w:p>
            <w:pPr>
              <w:spacing w:after="40" w:before="40" w:line="260" w:lineRule="exact"/>
              <w:jc w:val="both"/>
            </w:pPr>
            <w:r>
              <w:rPr>
                <w:rFonts w:ascii="Times New Roman" w:hAnsi="Times New Roman"/>
                <w:sz w:val="16"/>
              </w:rPr>
            </w:r>
            <w:r>
              <w:rPr>
                <w:rFonts w:ascii="Times New Roman" w:hAnsi="Times New Roman"/>
                <w:b/>
                <w:sz w:val="16"/>
              </w:rPr>
              <w:t>(h) CDC como regime de responsabilidade e fonte subsidiária (C-280).</w:t>
            </w:r>
            <w:r>
              <w:rPr>
                <w:rFonts w:ascii="Times New Roman" w:hAnsi="Times New Roman"/>
                <w:sz w:val="16"/>
              </w:rPr>
              <w:t xml:space="preserve"> As cláusulas 12.1.f e 19.1 da minuta submetem a responsabilidade da contratada ao "Código de Defesa do Consumidor (Lei nº 8.078, de 1990)" e elegem o CDC como regime subsidiário dos casos omissos. Contrato administrativo de prestação de serviços à Administração não configura relação de consumo; o regime é o do art. 89, caput, da Lei n.º 14.133/2021 (a própria lei, cláusulas contratuais e "preceitos de di</w:t>
            </w:r>
          </w:p>
          <w:p>
            <w:pPr>
              <w:spacing w:after="40" w:before="40" w:line="260" w:lineRule="exact"/>
              <w:jc w:val="both"/>
            </w:pPr>
            <w:r>
              <w:rPr>
                <w:rFonts w:ascii="Times New Roman" w:hAnsi="Times New Roman"/>
                <w:sz w:val="16"/>
              </w:rPr>
              <w:t>[...texto completo no arquivo AN_bloco correspondente]</w:t>
            </w:r>
          </w:p>
        </w:tc>
        <w:tc>
          <w:tcPr>
            <w:tcW w:type="dxa" w:w="2163"/>
            <w:shd w:fill="F2F2F2" w:val="clear"/>
          </w:tcPr>
          <w:p>
            <w:pPr>
              <w:spacing w:after="40" w:before="40" w:line="260" w:lineRule="exact"/>
              <w:jc w:val="both"/>
            </w:pPr>
            <w:r/>
            <w:r>
              <w:rPr>
                <w:rFonts w:ascii="Times New Roman" w:hAnsi="Times New Roman"/>
                <w:sz w:val="16"/>
              </w:rPr>
              <w:t>- art. 5.º e art. 25, caput e § 3.º, da Lei n.º 14.133/2021 (redação vigente confirmada)</w:t>
            </w:r>
          </w:p>
          <w:p>
            <w:pPr>
              <w:spacing w:after="40" w:before="40" w:line="260" w:lineRule="exact"/>
              <w:jc w:val="both"/>
            </w:pPr>
            <w:r>
              <w:rPr>
                <w:rFonts w:ascii="Times New Roman" w:hAnsi="Times New Roman"/>
                <w:sz w:val="16"/>
              </w:rPr>
              <w:t>- art. 55, § 1.º, da Lei n.º 14.133/2021 (republicação quando a alteração comprometer a formulação das propostas — redação vigente confirmada)</w:t>
            </w:r>
          </w:p>
          <w:p>
            <w:pPr>
              <w:spacing w:after="40" w:before="40" w:line="260" w:lineRule="exact"/>
              <w:jc w:val="both"/>
            </w:pPr>
            <w:r>
              <w:rPr>
                <w:rFonts w:ascii="Times New Roman" w:hAnsi="Times New Roman"/>
                <w:sz w:val="16"/>
              </w:rPr>
              <w:t>- art. 164, caput e parágrafo único, da Lei n.º 14.133/2021 (redação vigente confirmada)</w:t>
            </w:r>
          </w:p>
          <w:p>
            <w:pPr>
              <w:spacing w:after="40" w:before="40" w:line="260" w:lineRule="exact"/>
              <w:jc w:val="both"/>
            </w:pPr>
            <w:r>
              <w:rPr>
                <w:rFonts w:ascii="Times New Roman" w:hAnsi="Times New Roman"/>
                <w:sz w:val="16"/>
              </w:rPr>
              <w:t>- art. 156, § 3.º, da Lei n.º 14.133/2021 (devido processo sancionatório — base da exigência de tipicidade nas remissões)</w:t>
            </w:r>
          </w:p>
          <w:p>
            <w:pPr>
              <w:spacing w:after="40" w:before="40" w:line="260" w:lineRule="exact"/>
              <w:jc w:val="both"/>
            </w:pPr>
            <w:r>
              <w:rPr>
                <w:rFonts w:ascii="Times New Roman" w:hAnsi="Times New Roman"/>
                <w:sz w:val="16"/>
              </w:rPr>
              <w:t>- art. 89, caput, e art. 92, inciso III, da Lei n.º 14.133/2021 (regime jurídico do contrato; cláusula de legislação aplicável)</w:t>
            </w:r>
          </w:p>
          <w:p>
            <w:pPr>
              <w:spacing w:after="40" w:before="40" w:line="260" w:lineRule="exact"/>
              <w:jc w:val="both"/>
            </w:pPr>
            <w:r>
              <w:rPr>
                <w:rFonts w:ascii="Times New Roman" w:hAnsi="Times New Roman"/>
                <w:sz w:val="16"/>
              </w:rPr>
              <w:t>- art. 4.º da Lei n.º 14.133/2021 c/c arts. 42 a 49 da LC n.º 123/2006</w:t>
            </w:r>
          </w:p>
          <w:p>
            <w:pPr>
              <w:spacing w:after="40" w:before="40" w:line="260" w:lineRule="exact"/>
              <w:jc w:val="both"/>
            </w:pPr>
            <w:r>
              <w:rPr>
                <w:rFonts w:ascii="Times New Roman" w:hAnsi="Times New Roman"/>
                <w:sz w:val="16"/>
              </w:rPr>
              <w:t>- art. 9.º, inciso I, alínea "a", da Lei n.º 14.133/2021; art. 37, caput, da CF/1988 (taxa de plataforma)</w:t>
            </w:r>
          </w:p>
          <w:p>
            <w:pPr>
              <w:spacing w:after="40" w:before="40" w:line="260" w:lineRule="exact"/>
              <w:jc w:val="both"/>
            </w:pPr>
            <w:r>
              <w:rPr>
                <w:rFonts w:ascii="Times New Roman" w:hAnsi="Times New Roman"/>
                <w:sz w:val="16"/>
              </w:rPr>
              <w:t>- art. 5.º, inciso XXXIV, alínea "a", da CF/1988 (direito de petição)</w:t>
            </w:r>
          </w:p>
          <w:p>
            <w:pPr>
              <w:spacing w:after="40" w:before="40" w:line="260" w:lineRule="exact"/>
              <w:jc w:val="both"/>
            </w:pPr>
            <w:r>
              <w:rPr>
                <w:rFonts w:ascii="Times New Roman" w:hAnsi="Times New Roman"/>
                <w:sz w:val="16"/>
              </w:rPr>
              <w:t>- arts. 5.º, inciso XII, 6.º, incisos III, 7.º, incisos II, III e V, e 39 da Lei n.º 13.709/2018 (art. 7.º com redação vigente confirmada); art. 5.º, § 3.º, da Lei n.º 14.133/2021</w:t>
            </w:r>
          </w:p>
          <w:p>
            <w:pPr>
              <w:spacing w:after="40" w:before="40" w:line="260" w:lineRule="exact"/>
              <w:jc w:val="both"/>
            </w:pPr>
            <w:r>
              <w:rPr>
                <w:rFonts w:ascii="Times New Roman" w:hAnsi="Times New Roman"/>
                <w:sz w:val="16"/>
              </w:rPr>
              <w:t>- art. 6.º, inciso XXIII, alínea "a", da Lei n.º 14.133/2021 (definição do objeto e requisitos no TR)</w:t>
            </w:r>
          </w:p>
          <w:p>
            <w:pPr>
              <w:spacing w:after="40" w:before="40" w:line="260" w:lineRule="exact"/>
              <w:jc w:val="both"/>
            </w:pPr>
            <w:r>
              <w:rPr>
                <w:rFonts w:ascii="Times New Roman" w:hAnsi="Times New Roman"/>
                <w:sz w:val="16"/>
              </w:rPr>
              <w:t>- ABNT NBR 13.221 (transporte terrestre de resíduos — objeto da remissão equivocada)</w:t>
            </w:r>
          </w:p>
          <w:p>
            <w:pPr>
              <w:spacing w:after="40" w:before="40" w:line="260" w:lineRule="exact"/>
              <w:jc w:val="both"/>
            </w:pPr>
            <w:r>
              <w:rPr>
                <w:rFonts w:ascii="Times New Roman" w:hAnsi="Times New Roman"/>
                <w:sz w:val="16"/>
              </w:rPr>
              <w:t xml:space="preserve">- Jurisprudência: </w:t>
            </w:r>
            <w:r>
              <w:rPr>
                <w:rFonts w:ascii="Times New Roman" w:hAnsi="Times New Roman"/>
                <w:b/>
                <w:sz w:val="16"/>
              </w:rPr>
              <w:t>não localizei, nas buscas realizadas no Jus IA, precedente específico</w:t>
            </w:r>
            <w:r>
              <w:rPr>
                <w:rFonts w:ascii="Times New Roman" w:hAnsi="Times New Roman"/>
                <w:sz w:val="16"/>
              </w:rPr>
              <w:t xml:space="preserve"> sobre (i) defeitos de edição/cláusulas truncadas em edital, nem sobre (ii) restrição do canal de impugnação a plataforma privada sob o art. 164 da Lei n.º 14.133/2021. </w:t>
            </w:r>
            <w:r>
              <w:rPr>
                <w:rFonts w:ascii="Times New Roman" w:hAnsi="Times New Roman"/>
                <w:b/>
                <w:sz w:val="16"/>
              </w:rPr>
              <w:t>[PENDENTE: busca TCU/TCE via Lei na Mão antes do protocolo — sugestões de chave: "impugnação" + "plataforma" + "restrição"; "taxa" + "sistema eletrônico" + "licitante vencedor"; "acesso" + "edital" + "gratuito"; "erro material" + "edital" + "republicação". O TCE-SP, competente para exame prévio de edital de município paulista, é o foro natural dessas chaves.]</w:t>
            </w:r>
            <w:r>
              <w:rPr>
                <w:rFonts w:ascii="Times New Roman" w:hAnsi="Times New Roman"/>
                <w:sz w:val="16"/>
              </w:rPr>
            </w:r>
          </w:p>
          <w:p>
            <w:pPr>
              <w:spacing w:after="40" w:before="40" w:line="260" w:lineRule="exact"/>
              <w:jc w:val="both"/>
            </w:pPr>
            <w:r>
              <w:rPr>
                <w:rFonts w:ascii="Times New Roman" w:hAnsi="Times New Roman"/>
                <w:sz w:val="16"/>
              </w:rPr>
              <w:t xml:space="preserve">Doutrina: - MEIRELLES, Hely Lopes. *Direito Administrativo Brasileiro*. 23. ed. São Paulo: Malheiros, p. 135-136 — "O edital é a lei interna da licitação"; revelando-se falho, "poderá ser corrigido a tempo através de aditamento ou expedição de um novo, </w:t>
            </w:r>
            <w:r>
              <w:rPr>
                <w:rFonts w:ascii="Times New Roman" w:hAnsi="Times New Roman"/>
                <w:b/>
                <w:sz w:val="16"/>
              </w:rPr>
              <w:t>sempre com republicação e reabertura de prazo, desde que a alteração afete a elaboração</w:t>
            </w:r>
            <w:r>
              <w:rPr>
                <w:rFonts w:ascii="Times New Roman" w:hAnsi="Times New Roman"/>
                <w:sz w:val="16"/>
              </w:rPr>
              <w:t xml:space="preserve"> [das propostas]"; e p. 144 — os elementos definidores do certame não podem "ser dificultados ou sonegados a nenhum interessado". *(Edição comenta a Lei n.º 8.666/1993; a regra correspondente vigente é o art. 55, § 1.º, da Lei n.º 14.133/2021, citado acima. Atualizar a edição antes de uso em peça.)*</w:t>
            </w:r>
          </w:p>
          <w:p>
            <w:pPr>
              <w:spacing w:after="40" w:before="40" w:line="260" w:lineRule="exact"/>
              <w:jc w:val="both"/>
            </w:pPr>
            <w:r>
              <w:rPr>
                <w:rFonts w:ascii="Times New Roman" w:hAnsi="Times New Roman"/>
                <w:sz w:val="16"/>
              </w:rPr>
              <w:t>- DI PIETRO, Maria Sylvia Zanella. *Direito Administrativo*. 12. ed. São Paulo: Atlas, p. 233-234 — a vinculação ao instrumento convocatório é "princípio essencial cuja inobservância enseja nulidade do procedimento". *(Mesma ressalva de edição/regime.)*</w:t>
            </w:r>
          </w:p>
          <w:p>
            <w:pPr>
              <w:spacing w:after="40" w:before="40" w:line="260" w:lineRule="exact"/>
              <w:jc w:val="both"/>
            </w:pPr>
            <w:r>
              <w:rPr>
                <w:rFonts w:ascii="Times New Roman" w:hAnsi="Times New Roman"/>
                <w:sz w:val="16"/>
              </w:rPr>
              <w:t>— Jurisprudência TCU/TCE (Lei na Mão) —</w:t>
            </w:r>
          </w:p>
          <w:p>
            <w:pPr>
              <w:spacing w:after="40" w:before="40" w:line="260" w:lineRule="exact"/>
              <w:jc w:val="both"/>
            </w:pPr>
            <w:r>
              <w:rPr>
                <w:rFonts w:ascii="Times New Roman" w:hAnsi="Times New Roman"/>
                <w:sz w:val="16"/>
              </w:rPr>
              <w:t xml:space="preserve">• Acórdão 978/2025-TCU-Plenário, Rel. Walton Alencar Rodrigues, sessão de 07/05/2025 </w:t>
            </w:r>
            <w:r>
              <w:rPr>
                <w:rFonts w:ascii="Times New Roman" w:hAnsi="Times New Roman"/>
                <w:b/>
                <w:color w:val="CC0000"/>
                <w:sz w:val="16"/>
              </w:rPr>
              <w:t>[VIT]</w:t>
            </w:r>
            <w:r>
              <w:rPr>
                <w:rFonts w:ascii="Times New Roman" w:hAnsi="Times New Roman"/>
                <w:sz w:val="16"/>
              </w:rPr>
            </w:r>
          </w:p>
          <w:p>
            <w:pPr>
              <w:spacing w:after="40" w:before="40" w:line="260" w:lineRule="exact"/>
              <w:jc w:val="both"/>
            </w:pPr>
            <w:r>
              <w:rPr>
                <w:rFonts w:ascii="Times New Roman" w:hAnsi="Times New Roman"/>
                <w:sz w:val="16"/>
              </w:rPr>
              <w:t xml:space="preserve">• Acórdão 10682/2023-TCU-Primeira Câmara, Rel. Augusto Sherman, sessão de 12/09/2023 </w:t>
            </w:r>
            <w:r>
              <w:rPr>
                <w:rFonts w:ascii="Times New Roman" w:hAnsi="Times New Roman"/>
                <w:b/>
                <w:color w:val="CC0000"/>
                <w:sz w:val="16"/>
              </w:rPr>
              <w:t>[VIT]</w:t>
            </w:r>
            <w:r>
              <w:rPr>
                <w:rFonts w:ascii="Times New Roman" w:hAnsi="Times New Roman"/>
                <w:sz w:val="16"/>
              </w:rPr>
            </w:r>
          </w:p>
        </w:tc>
        <w:tc>
          <w:tcPr>
            <w:tcW w:type="dxa" w:w="2163"/>
            <w:shd w:fill="F2F2F2" w:val="clear"/>
          </w:tcPr>
          <w:p>
            <w:pPr>
              <w:spacing w:after="40" w:before="40" w:line="260" w:lineRule="exact"/>
              <w:jc w:val="center"/>
            </w:pPr>
            <w:r/>
            <w:r>
              <w:rPr>
                <w:rFonts w:ascii="Times New Roman" w:hAnsi="Times New Roman"/>
                <w:b w:val="0"/>
                <w:sz w:val="18"/>
              </w:rPr>
              <w:t>Não</w:t>
            </w:r>
          </w:p>
        </w:tc>
        <w:tc>
          <w:tcPr>
            <w:tcW w:type="dxa" w:w="2163"/>
            <w:shd w:fill="F2F2F2" w:val="clear"/>
          </w:tcPr>
          <w:p>
            <w:pPr>
              <w:spacing w:after="40" w:before="40" w:line="260" w:lineRule="exact"/>
              <w:jc w:val="center"/>
            </w:pPr>
            <w:r/>
            <w:r>
              <w:rPr>
                <w:rFonts w:ascii="Times New Roman" w:hAnsi="Times New Roman"/>
                <w:b w:val="0"/>
                <w:sz w:val="18"/>
              </w:rPr>
            </w:r>
          </w:p>
        </w:tc>
      </w:tr>
    </w:tbl>
    <w:p/>
    <w:p>
      <w:pPr>
        <w:jc w:val="center"/>
      </w:pPr>
      <w:r>
        <w:rPr>
          <w:rFonts w:ascii="Times New Roman" w:hAnsi="Times New Roman"/>
          <w:b/>
          <w:color w:val="CC0000"/>
          <w:sz w:val="26"/>
        </w:rPr>
        <w:t>[RESERVA — NÃO PROTOCOLAR]</w:t>
      </w:r>
    </w:p>
    <w:p>
      <w:r>
        <w:rPr>
          <w:rFonts w:ascii="Times New Roman" w:hAnsi="Times New Roman"/>
          <w:i/>
          <w:sz w:val="20"/>
        </w:rPr>
        <w:t>Pontos que funcionam como vantagem competitiva para o grupo. A decisão de levantar ou reservar é exclusiva do advogado.</w:t>
      </w:r>
    </w:p>
    <w:p>
      <w:pPr>
        <w:spacing w:before="160"/>
      </w:pPr>
      <w:r>
        <w:rPr>
          <w:rFonts w:ascii="Times New Roman" w:hAnsi="Times New Roman"/>
          <w:b/>
          <w:sz w:val="22"/>
        </w:rPr>
        <w:t>R1 (C-052) — Frete do item 3 ancorado nos aterros mais próximos, um deles do grupo</w:t>
      </w:r>
    </w:p>
    <w:p>
      <w:pPr>
        <w:jc w:val="both"/>
      </w:pPr>
      <w:r>
        <w:rPr>
          <w:rFonts w:ascii="Times New Roman" w:hAnsi="Times New Roman"/>
          <w:sz w:val="20"/>
        </w:rPr>
        <w:t>**Assimetria/vantagem.** A Tabela de Quilometragem do próprio edital fixa como referências de transbordo: São Carlos Ambiental — **Grupo Solvi — 67 km**; Aterro Casa Branca (Seleta) — 67 km; CGR Guatapará (Estre) — 86 km; Orizon Paulínia — 123 km; CTR Essencial Rio das Pedras — 140 km, "principais destinos considerados, sem prejuízo de outras opções". Quem é dono do aterro a 67 km precifica o item 3 (transporte + disposição) com custo interno de disposição (custo marginal, não gate fee de mercado) e frete mínimo. Concorrente sem ativo na região precisa comprar gate fee — de nós ou de rivais verticalizados (Seleta, Estre).</w:t>
        <w:br/>
        <w:br/>
        <w:t>**Exploração lícita.** Precificar o item 3 a partir do custo real próprio é legítimo — vantagem estrutural de ativo não é vício de proposta. Duas providências dão robustez: (i) formalizar internamente o preço de transferência da disposição em São Carlos (documento de custo + capacidade reservada), para responder com folga a eventual diligência de exequibilidade sobre unitário agressivo no item 3; (ii) tratar a mesma estrutura como resposta pronta à exigência do 5.5.20 (LO vigente + carta de anuência), que para o grupo é documento interno. Não confundir: preço baixo **lastreado em custo** é defesa, não risco.</w:t>
        <w:br/>
        <w:br/>
        <w:t>**Risco de exposição.** Terceiro pode impugnar a Tabela de Quilometragem como referencial que favorece verticalizados, ou o controle externo pode questionar a modelagem do item 3 (a sonegação dos dados de mercado usados nas respostas — C-168 — já está mapeada em T9/T5). Efeito se levantado: a Administração poderia ampliar o raio referencial ou neutralizar o destino (fixar aterro referencial único para fins de proposta) — reduz a vantagem de modelagem, mas não elimina a vantagem física da proximidade. Nada disso torna a nossa precificação ilícita; o custo de exposição aqui é baixo.</w:t>
        <w:br/>
        <w:br/>
        <w:t>**Postura recomendada (opções).** (i) **Silêncio** — a tabela do edital já nos serve; nada a pedir. (ii) Preparar dossiê defensivo de exequibilidade (composição de custos do item 3 com disposição interna documentada). (iii) Se terceiro atacar a tabela, avaliar manifestação técnica neutra apenas se a alteração proposta nos prejudicar.</w:t>
        <w:br/>
        <w:br/>
        <w:t>**Monitorar.** Impugnações/esclarecimentos de terceiros sobre o item 3 e a tabela; qualquer republicação que altere os destinos referenciais; capacidade licenciada e vida útil de São Carlos no horizonte 2027+ (`[VALIDAÇÃO TÉCNICA]` — confirmar com a operação disponibilidade real de 40 t/dia adicionais).</w:t>
        <w:br/>
        <w:br/>
        <w:t>---</w:t>
      </w:r>
    </w:p>
    <w:p>
      <w:pPr>
        <w:spacing w:before="160"/>
      </w:pPr>
      <w:r>
        <w:rPr>
          <w:rFonts w:ascii="Times New Roman" w:hAnsi="Times New Roman"/>
          <w:b/>
          <w:sz w:val="22"/>
        </w:rPr>
        <w:t>R2 (C-039, C-044, C-168) — Assimetria informacional sobre o aterro municipal</w:t>
      </w:r>
    </w:p>
    <w:p>
      <w:pPr>
        <w:jc w:val="both"/>
      </w:pPr>
      <w:r>
        <w:rPr>
          <w:rFonts w:ascii="Times New Roman" w:hAnsi="Times New Roman"/>
          <w:sz w:val="20"/>
        </w:rPr>
        <w:t>**Assimetria/vantagem.** O edital reaberto não anexa topografia, capacidade volumétrica remanescente da Vala 05, relatórios de monitoramento, condicionantes da LO nem histórico de pesagens (documentos prometidos na resposta à 6ª impugnação e não entregues — C-044); traz apenas vida útil "estimada para o primeiro semestre de 2027" e geração de ~190 L de chorume/t. Datas divergentes nos autos (1º sem/2027 no TR vs. 2029 na resposta à 2ª impugnação — cf. T2) tornam a data da transição item 2→item 3 a variável mais valiosa do certame: ela decide quanto de cada item será executado e, portanto, onde deve estar a margem (ver R3). Quem conhece a unidade modela essa data com erro menor.</w:t>
        <w:br/>
        <w:br/>
        <w:t>**Exploração lícita.** (i) **Visita técnica** (facultada — item 4.12 do TR / Anexo VI) com equipe de engenharia própria: levantamento expedito da praça da vala, taxa de ocupação, frentes ativas, fotos — dado colhido licitamente em diligência franqueada a todos. (ii) Fontes públicas: processo CETESB da LO, SNIS/SINISA, série histórica de pesagens via LAI se conveniente (atenção: pedido LAI nosso pode ser visto por terceiros se a resposta for publicada — usar interposta consulta genérica ou avaliar custo/benefício). (iii) Modelagem de cenários de esgotamento para calibrar os unitários dos itens 2/3.</w:t>
        <w:br/>
        <w:br/>
        <w:t>**Risco de exposição.** Duplo. Primeiro: T9 (tese pública já destilada) pede exatamente a anexação desses dados — se NÓS impugnarmos T9, socializamos a informação e dissolvemos a assimetria; se não impugnarmos e outro o fizer (a Revita já tentou na 6ª), o efeito é o mesmo. Segundo, e decisivo: **a direção da assimetria depende de quem opera hoje o aterro e a coleta** — o edital não identifica o operador atual. Se o incumbente for concorrente, a assimetria corre CONTRA nós, e T9 deixa de ser reserva para virar a nossa arma (nivelar o campo). Este é o fato a apurar antes de qualquer decisão.</w:t>
        <w:br/>
        <w:br/>
        <w:t>**Postura recomendada (opções).** (i) Se a apuração confirmar vantagem informacional nossa (visita robusta + fontes públicas suficientes): **silêncio sobre T9** + investimento pesado na diligência própria. (ii) Se o incumbente-concorrente detiver a informação: **levantar T9 publicamente** (impugnação pedindo anexação de topografia, capacidade remanescente, pesagens e condicionantes) — nivelamento é o segundo melhor resultado. (iii) Posição intermediária: esclarecimento pontual só sobre a **data** (conciliar 1º sem/2027 vs. 2029), que reduz a variância sem entregar o pacote completo de dados.</w:t>
        <w:br/>
        <w:br/>
        <w:t>**Monitorar.** Quem é o operador atual do aterro e da coleta (fato-chave); pedidos LAI e esclarecimentos de terceiros sobre a Vala 05; qualquer anexação superveniente de documentos; respostas que fixem data ou critério para a transição. `[VALIDAÇÃO TÉCNICA]` — estimativa própria de vida útil da vala exige engenharia.</w:t>
        <w:br/>
        <w:br/>
        <w:t>---</w:t>
      </w:r>
    </w:p>
    <w:p>
      <w:pPr>
        <w:spacing w:before="160"/>
      </w:pPr>
      <w:r>
        <w:rPr>
          <w:rFonts w:ascii="Times New Roman" w:hAnsi="Times New Roman"/>
          <w:b/>
          <w:sz w:val="22"/>
        </w:rPr>
        <w:t>R3 (C-101 — dimensão reserva) — Julgamento global de itens excludentes: desbalanceamento lícito × jogo de planilha</w:t>
      </w:r>
    </w:p>
    <w:p>
      <w:pPr>
        <w:jc w:val="both"/>
      </w:pPr>
      <w:r>
        <w:rPr>
          <w:rFonts w:ascii="Times New Roman" w:hAnsi="Times New Roman"/>
          <w:sz w:val="20"/>
        </w:rPr>
        <w:t>**Assimetria/vantagem.** O julgamento é pelo menor valor global do lote, somando itens 2 e 3 — "mutuamente excludentes e sucessivos" (Nota do item 9.1 do TR) — ambos com as mesmas 12.480 t/ano e o mesmo unitário referencial (R$ 249,28/t). O valor global julgado **não corresponde a nenhum cenário real de execução** (nunca se executam os dois simultaneamente). Logo, quem melhor estimar a data da transição (ver R2) pode alocar preço entre os itens de modo que o número julgado fique competitivo e a receita efetiva — dado o timing real — fique protegida: se a vala durar mais que o precificado pelo mercado, margem no item 2; se menos, margem no item 3.</w:t>
        <w:br/>
        <w:br/>
        <w:t>**Exploração lícita — onde passa o limite.** Este é o ponto que exige a régua mais fina do bloco:</w:t>
        <w:br/>
        <w:br/>
        <w:t>- **Lícito:** distribuir margem entre itens conforme expectativa **fundamentada** de execução, mantendo cada unitário (a) dentro de faixa de mercado defensável e (b) individualmente exequível, com composição de custos própria por item. Precificação estratégica sob incerteza que o próprio edital criou — ao somar excludentes e usar unitário único de referência para logísticas radicalmente distintas — é consequência da modelagem da Administração, não fraude do licitante. No nosso caso específico, um item 3 agressivo tem **lastro em custo real** (disposição interna a 67 km — R1): desconto explicável por eficiência estrutural, não artificial.</w:t>
        <w:br/>
        <w:t>- **Vedado (jogo de planilha):** unitário sem correspondência com custo — item deprimido a preço vil compensado por item inflado que se sabe dominante na execução. Régua legal objetiva: o art. 6.º, inciso LVI, da Lei n.º 14.133/2021 define sobrepreço, em contratação por preços unitários, pelo excesso "**de apenas 1 (um) item**" — ou seja, o controle não olha o global: olha item a item. Unitário inflado no item que dominar a execução é sobrepreço autuável ainda que o global tenha sido o menor; e as figuras do art. 6.º, inciso LVII (superfaturamento por distorção de cronograma/cláusulas financeiras) fecham o cerco na execução. No polo oposto, unitário deprimido convida diligência de exequibilidade e desclassificação. **[PENDENTE: busca TCU/TCE via Lei na Mão antes de qualquer uso formal do conceito — chaves: "jogo de planilha"; "desbalanceamento" + "preços unitários"; "sobrepreço unitário" + "menor preço global"]**</w:t>
        <w:br/>
        <w:t>- **Marcador prático para a proposta:** cada unitário fecha com DRE própria positiva ou justificável por sinergia documentada; nenhum unitário fora da faixa dos referenciais do processo sem memória de custo que o explique; a alocação de margem entre 2 e 3 reflete a NOSSA curva de probabilidade da transição, documentada no estudo interno (que também serve de defesa).</w:t>
        <w:br/>
        <w:br/>
        <w:t>**Risco de exposição.** T1 (tese pública) ataca exatamente a soma dos excludentes; se acolhida — por nossa iniciativa ou de terceiro — o conserto provável (julgamento que neutralize a duplicidade, critério de aceitabilidade por item, ou adjudicação por item) **encolhe ou elimina a oportunidade**. Trad</w:t>
        <w:br/>
        <w:t>[...ver AN_bloco6.md]</w:t>
      </w:r>
    </w:p>
    <w:p>
      <w:pPr>
        <w:spacing w:before="160"/>
      </w:pPr>
      <w:r>
        <w:rPr>
          <w:rFonts w:ascii="Times New Roman" w:hAnsi="Times New Roman"/>
          <w:b/>
          <w:sz w:val="22"/>
        </w:rPr>
        <w:t>R4 (C-072) — Habilitação silente sobre acesso a aterro de terceiro e licenças</w:t>
      </w:r>
    </w:p>
    <w:p>
      <w:pPr>
        <w:jc w:val="both"/>
      </w:pPr>
      <w:r>
        <w:rPr>
          <w:rFonts w:ascii="Times New Roman" w:hAnsi="Times New Roman"/>
          <w:sz w:val="20"/>
        </w:rPr>
        <w:t>**Assimetria/vantagem.** O Anexo II (item 1.3 — Qualificação Técnica) não exige, na habilitação, comprovação de acesso a aterro licenciado para o item 3 nem regularidade ambiental do destino; a exigência só aparece na **execução** (5.5.20: autorização prévia da Administração + LO vigente + carta de anuência). Para o grupo, custo zero: a solução de destinação é própria. Para concorrente não verticalizado, a omissão permite entrar "no escuro" — mas também nos poupa de mobilizar documentos de terceiros e elimina um flanco de inabilitação.</w:t>
        <w:br/>
        <w:br/>
        <w:t>**Exploração lícita.** Essencialmente passiva: manter a documentação do 5.5.20 pronta (interna) e vencer no preço. Vantagem secundária: aventureiro sem destinação assegurada que vença terá dificuldade real na execução — e cada fragilidade dele é matéria de recurso ou de fiscalização.</w:t>
        <w:br/>
        <w:br/>
        <w:t>**Risco de exposição.** O reverso da omissão é que ela **facilita a entrada de propostas agressivas sem lastro** — nosso principal risco competitivo neste certame não é o rival verticalizado, é o aventureiro. Pedir publicamente a inclusão de exigência habilitatória de destinação seria pedir restrição — juridicamente delicado (art. 37, inciso XXI, da CF/1988: só exigências indispensáveis; art. 9.º, inciso I, da Lei n.º 14.133/2021) e reputacionalmente custoso (grupo dominante pedindo barreira). Provável indeferimento e exposição desnecessária.</w:t>
        <w:br/>
        <w:br/>
        <w:t>**Postura recomendada (opções).** (i) **Silêncio** (default). (ii) Se a área comercial quiser elevar o custo do aventureiro sem tocar na habilitação: esclarecimento dirigido sobre o **momento e a forma** de cumprimento do 5.5.20 ("a comprovação da LO e da carta de anuência do aterro receptor deve ser apresentada na assinatura do contrato / na emissão da OS / antes da primeira remessa?") — aperta o funil na largada da execução, terreno onde nossa prontidão é diferencial, sem criar exigência nova. (iii) Não pedir inclusão em habilitação. **Conversão futura:** se licitante sem solução de destinação vencer, o ponto converte-se em (a) pedido de diligência/recurso na aceitabilidade (exequibilidade da logística do item 3) e (b) acompanhamento cerrado da execução (descumprimento do 5.5.20 → sanção/rescisão).</w:t>
        <w:br/>
        <w:br/>
        <w:t>**Monitorar.** Quem disputa sem ativo de destinação na região; esclarecimentos de terceiros sobre o 5.5.20; a redação que a errata de T18-b der ao dispositivo (ver R7).</w:t>
        <w:br/>
        <w:br/>
        <w:t>---</w:t>
      </w:r>
    </w:p>
    <w:p>
      <w:pPr>
        <w:spacing w:before="160"/>
      </w:pPr>
      <w:r>
        <w:rPr>
          <w:rFonts w:ascii="Times New Roman" w:hAnsi="Times New Roman"/>
          <w:b/>
          <w:sz w:val="22"/>
        </w:rPr>
        <w:t>R5 (C-036) — Fontes extras de tonelada no item 2</w:t>
      </w:r>
    </w:p>
    <w:p>
      <w:pPr>
        <w:jc w:val="both"/>
      </w:pPr>
      <w:r>
        <w:rPr>
          <w:rFonts w:ascii="Times New Roman" w:hAnsi="Times New Roman"/>
          <w:sz w:val="20"/>
        </w:rPr>
        <w:t>**Assimetria/vantagem.** O TR obriga pesagem e identificação de "todo resíduo a ser depositado no aterro" (itens 5.5.1/5.5.2/5.9), mas **não define** se o aterro municipal receberá resíduos de outras fontes (varrição e serviços da Prefeitura, particulares autorizados) nem se essas toneladas remuneram o item 2. Quem conhece o fluxo real da unidade sabe se existe tonelagem faturável além das 12.480 t/ano da coleta domiciliar — receita invisível para estranhos.</w:t>
        <w:br/>
        <w:br/>
        <w:t>**Exploração lícita.** (i) Due diligence do fluxo real: visita técnica, observação, dados públicos (SNIS/SINISA, contratos municipais de varrição), aferição de quem hoje despeja na unidade. (ii) Se a tonelada extra for material e **se** a base de medição do item 2 for "tonelada pesada na portaria" (redação atual sugere, mas não garante), precificar o item 2 com diluição de custos fixos pela tonelagem total esperada — unitário mais competitivo sem sacrifício de margem.</w:t>
        <w:br/>
        <w:br/>
        <w:t>**Risco de exposição.** A mesma ambiguidade que cria a oportunidade cria o risco simétrico: a fiscalização pode sustentar, na execução, que só a tonelada da coleta domiciliar remunera o item 2 — e a receita extra evapora (glosa). Explorar a reserva sem conforto sobre a base de medição é apostar em interpretação. O instrumento que dá conforto — esclarecimento dirigido — **socializa a informação** (a resposta publicada avisa o mercado de que existe tonelada extra). Trade-off clássico informação × segurança.</w:t>
        <w:br/>
        <w:br/>
        <w:t>**Postura recomendada (opções).** (i) **Silêncio + precificação conservadora** (não contar com a tonelada extra; se vier, é upside) — preserva a assimetria e evita o risco de glosa por não ter sido precificada como receita necessária. (ii) **Esclarecimento dirigido** se a due diligence mostrar tonelagem extra material a ponto de decidir o certame: "Confirma-se que todas as toneladas recebidas e pesadas na portaria do aterro municipal, independentemente da origem (coleta domiciliar, varrição, serviços da Prefeitura, particulares autorizados), integram a base de medição e faturamento do item 2?" — resposta vinculante protege a receita, mas nivela o campo. (iii) Variante discreta: pergunta enquadrada como medição/contrato ("qual a base de medição do item 2?") sem enumerar fontes — menor sinalização, menor garantia. A escolha depende da materialidade apurada.</w:t>
        <w:br/>
        <w:br/>
        <w:t>**Monitorar.** Resultado da due diligence de fluxo (tonelagem de varrição e terceiros); perguntas de terceiros sobre medição do item 2 (se alguém perguntar primeiro, a assimetria acabou — reprecificar); na execução, posição da fiscalização sobre a base de faturamento; interface com T12 (ponto de pesagem/balança sob controle da contratada — a mesma balança que nos remunera é a que o controle externo vai auditar: rastreabilidade impecável desde o dia 1).</w:t>
        <w:br/>
        <w:br/>
        <w:t>---</w:t>
      </w:r>
    </w:p>
    <w:p>
      <w:pPr>
        <w:spacing w:before="160"/>
      </w:pPr>
      <w:r>
        <w:rPr>
          <w:rFonts w:ascii="Times New Roman" w:hAnsi="Times New Roman"/>
          <w:b/>
          <w:sz w:val="22"/>
        </w:rPr>
        <w:t>R6 (C-040, C-005 — dimensão reserva) — Mobilização exígua favorece quem já está na região</w:t>
      </w:r>
    </w:p>
    <w:p>
      <w:pPr>
        <w:jc w:val="both"/>
      </w:pPr>
      <w:r>
        <w:rPr>
          <w:rFonts w:ascii="Times New Roman" w:hAnsi="Times New Roman"/>
          <w:sz w:val="20"/>
        </w:rPr>
        <w:t>**Assimetria/vantagem.** Cláusula 9.1.5 da minuta: início das atividades em **30 dias** da OS com operação completa (frota adesivada com GPS, garagem, oficina, almoxarifado com 6 jogos de pneus, 0800, 80 contêineres, sede local). Cronograma anexo: assunção total no **Dia 07**, com pessoal contratado e com ASO até o Dia 04, frota vistoriada no Dia 05, testes de rota no Dia 06, SAC no Dia 01. Prazos desta ordem são barreira natural contra entrante sem estrutura regional — e favorecem tanto o incumbente local quanto quem tenha base operacional a distância de apoio (nossa unidade de São Carlos, 67 km).</w:t>
        <w:br/>
        <w:br/>
        <w:t>**Exploração lícita.** Plano de mobilização documentado e datado: pré-acordos de locação de garagem/pátio em Porto Ferreira, frota reserva alocável de São Carlos, recrutamento regional pré-mapeado, minuta de contrato com fornecedor de contêineres. Objetivo duplo: cumprir o prazo se vencermos e demonstrar exequibilidade se questionados. A exiguidade alheia não é problema nosso — é filtro.</w:t>
        <w:br/>
        <w:br/>
        <w:t>**Risco de exposição.** Três vetores. (i) T16 (tese pública) já cataloga a contradição 30 dias × Dia 07 — impugnável por qualquer licitante; se acolhida com dilatação de prazo (60-90 dias), a barreira cai. (ii) A contradição interna é também um risco NOSSO na execução: qual prazo vale? Multa por descumprir o Dia 07 mesmo dentro dos 30 dias? Deixá-la em pé ameaça qualquer vencedor — inclusive nós (interface com T11: KPIs com retenção direta). (iii) Exigências pontuais do pacote (Cartão Cidadão com senha — LGPD; domicílio bancário local) já estão em T16 e podem derrubar partes do pacote por arrasto.</w:t>
        <w:br/>
        <w:br/>
        <w:t>**Postura recomendada (opções).** (i) **Impugnação cirúrgica da contradição apenas**: pedir que prevaleça o prazo de 30 dias (com o cronograma do Dia 07 convertido em marco INTERNO a contar do início efetivo, ou expressamente subordinado aos 30 dias) — **sem pedir dilatação**. Resolve o risco sancionatório e preserva a exiguidade como barreira. (ii) Silêncio total — barreira máxima, risco sancionatório máximo; só faz sentido com conforto operacional pleno de cumprir o Dia 07. (iii) Se a validação operacional interna concluir que NÃO cumprimos 30 dias/Dia 07: aderir integralmente a T16 e pedir prazo realista. `[VALIDAÇÃO TÉCNICA: capacidade real de mobilização em 30 dias/Dia 07 com apoio de São Carlos — pergunta para a operação, não para o jurídico]`</w:t>
        <w:br/>
        <w:br/>
        <w:t>**Monitorar.** Impugnações de terceiros sobre mobilização (quem pede dilatação revela que não está pronto — informação competitiva); resposta da Administração; indefinição do termo inicial (C-035/C-033 — assinatura×OS sem prazo para emissão da OS) que interage com qualquer plano de mobilização; disponibilidade efetiva de frota/pessoal na janela provável da OS.</w:t>
        <w:br/>
        <w:br/>
        <w:t>---</w:t>
      </w:r>
    </w:p>
    <w:p>
      <w:pPr>
        <w:spacing w:before="160"/>
      </w:pPr>
      <w:r>
        <w:rPr>
          <w:rFonts w:ascii="Times New Roman" w:hAnsi="Times New Roman"/>
          <w:b/>
          <w:sz w:val="22"/>
        </w:rPr>
        <w:t>R7 (C-037) — Carta de anuência do aterro receptor emitida por concorrentes verticalizados</w:t>
      </w:r>
    </w:p>
    <w:p>
      <w:pPr>
        <w:jc w:val="both"/>
      </w:pPr>
      <w:r>
        <w:rPr>
          <w:rFonts w:ascii="Times New Roman" w:hAnsi="Times New Roman"/>
          <w:sz w:val="20"/>
        </w:rPr>
        <w:t>**Assimetria/vantagem.** O 5.5.20 exige, para o aterro externo do item 3, LO vigente + carta de anuência atestando capacidade para 40 t/dia. Os aterros de referência da própria Tabela de Quilometragem pertencem a grupos do setor (Solvi — São Carlos; Seleta — Casa Branca; Estre — Guatapará; Orizon — Paulínia). Concorrente não verticalizado dependerá de documento emitido por um rival — potencialmente por nós. O grupo não depende de ninguém.</w:t>
        <w:br/>
        <w:br/>
        <w:t>**Exploração lícita — LIMITE CRÍTICO.** A vantagem **passiva** (não depender de anuência alheia) é legítima e plena. A fronteira está na conduta **ativa**: recusar, retardar ou encarecer seletivamente anuência/gate fee a concorrente que procure o aterro de São Carlos no contexto deste certame é conduta de risco concorrencial alto — recusa de contratar / criação de dificuldade a rival por agente com posição relevante em infraestrutura regional escassa pode caracterizar infração à ordem econômica (art. 36 da Lei n.º 12.529/2011 — `[verificar incisos aplicáveis do § 3.º antes de qualquer uso formal]`), além de expor o grupo, no certame, à narrativa de fechamento de mercado. Providência recomendada ANTES da sessão: **política escrita e uniforme de resposta a pedidos de anuência/gate fee** (condições comerciais justificáveis e iguais para solicitantes equivalentes, resposta em prazo padrão, registro documental de tudo). Isso é simultaneamente defesa CADE, defesa reputacional e — se um dia formos nós a depender de anuência alheia noutro certame — o precedente que nos protege.</w:t>
        <w:br/>
        <w:br/>
        <w:t>**Risco de exposição.** (i) Terceiro pode impugnar o 5.5.20 alegando dependência estrutural de concorrentes; acolhimento provável viria como flexibilização (aceitar contrato de disposição, declaração própria, ou rol de destinos credenciados) — dilui a vantagem, não a elimina (a proximidade física permanece). (ii) O texto truncado do 5.5.20 será corrigido via T18-b (nós mesmos pediremos a errata): a Administração pode aproveitar a correção para **redesenhar a sistemática** — monitorar a redação da retificação; nosso pedido deve ser minimalista (reinserir "licença", nada mais), como já anotado no roteamento de T18. (iii) Se recusarmos anuência a alguém e isso vazar para o processo, a reserva vira passivo instantâneo — daí a política uniforme.</w:t>
        <w:br/>
        <w:br/>
        <w:t>**Postura recomendada (opções).** (i) **Silêncio** sobre a dependência estrutural; pedido de errata do 5.5.20 estritamente gramatical (já embutido em T18-b). (ii) Implantar imediatamente a política uniforme de anuência/gate fee no aterro de São Carlos, com registro. (iii) Se a Administração redesenhar o 5.5.20 na errata em direção restritiva a não verticalizados, NÃO comemorar nem reforçar publicamente — qualquer digital nossa numa restrição que só nós atendemos com facilidade é munição para terceiros e para o TCE. **Conversão futura:** não há cenário em que interesse ao grupo converter R7 em impugnação; o cenário de conversão é defensivo (responder a impugnação alheia contra o 5.5.20 com manifestação técni</w:t>
        <w:br/>
        <w:t>[...ver AN_bloco6.md]</w:t>
      </w:r>
    </w:p>
    <w:p/>
    <w:p>
      <w:pPr>
        <w:jc w:val="center"/>
      </w:pPr>
      <w:r>
        <w:rPr>
          <w:rFonts w:ascii="Times New Roman" w:hAnsi="Times New Roman"/>
          <w:i/>
          <w:sz w:val="16"/>
        </w:rPr>
        <w:t>Documento gerado automaticamente pelo pipeline Solvi (Fase 2 AN+R). Jurisprudência [VIT] pendente de verificação no inteiro teor. Pontos [VALIDAÇÃO TÉCNICA] dependem de confirmação de engenharia.</w:t>
      </w:r>
    </w:p>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