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Concessão RSU CONSAÚDE — Modelagem Econômico-Financeira</w:t>
      </w:r>
    </w:p>
    <w:p>
      <w:pPr>
        <w:spacing w:after="240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Briefing · Plano de Negócio Referencial (data-base janeiro/2026) · 08/10/2026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Visão geral</w:t>
      </w:r>
    </w:p>
    <w:p>
      <w:pPr>
        <w:keepNext/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O Plano de Negócio Referencial modela a concessão por 30 anos (2027 a 2056) pelo método do fluxo de caixa descontado. A tarifa foi calculada para que a taxa interna de retorno do projeto seja igual ao custo médio ponderado de capital (WACC), de 10,55% ao ano em termos reais. O modelo é referencial: o edital atribui a cada licitante a responsabilidade por seus próprios estudos.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72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Indicador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Prazo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anos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Investimentos (CAPEX)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R$ 403.109.222,91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Custos operacionais (OPEX)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R$ 1.648.994.024,39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Despesas pré-operacionais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R$ 16.223.878,06 (ressarcimento dos estudos ao FEP/CAIXA e remuneração da B3)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WACC (real)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10,55% ao ano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Fluxo de caixa do projeto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VPL igual a zero; TIR de 10,55% ao ano; payback simples de 12 anos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Fluxo de caixa do acionista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VPL de R$ 32,6 milhões; TIR de 16,93% ao ano; payback simples de 5 anos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Tarifa Base (lixo domiciliar)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R$ 3,1452 por m³ de água faturada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Tarifa do Ente Público (lixo público)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R$ 118,56 por tonelada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Tarifa média por imóvel</w:t>
            </w:r>
          </w:p>
        </w:tc>
        <w:tc>
          <w:tcPr>
            <w:tcW w:type="dxa" w:w="4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R$ 38,01 por mês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 Referencial, Tabela 49 e itens 1, 8.1 e 14.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Premissas gerais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Data-base de janeiro/2026 e horizonte de 30 anos, com início da operação em 2027.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Cobrança do lixo domiciliar direto ao usuário, por fatura específica, com base no consumo de água. O lixo público é faturado às prefeituras por tonelada.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Fator de Avaliação considerado sempre igual a 1,00, ou seja, nota máxima nos indicadores de desempenho.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Receitas acessórias (energia, biogás, CDR, crédito de carbono) não estimadas.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Incluídos os custos da agência reguladora (0,5% do faturamento, líquido de tributos), do agente financeiro e dos seguros e garantias.</w:t>
      </w:r>
    </w:p>
    <w:p>
      <w:pPr>
        <w:keepNext/>
        <w:spacing w:after="120" w:before="120" w:line="360"/>
        <w:jc w:val="both"/>
      </w:pPr>
      <w:r>
        <w:rPr>
          <w:rFonts w:ascii="Times New Roman" w:cs="Times New Roman" w:eastAsia="Times New Roman" w:hAnsi="Times New Roman"/>
        </w:rPr>
        <w:t xml:space="preserve">Indicadores macroeconômicos usados como referência: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2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2029</w:t>
            </w:r>
          </w:p>
        </w:tc>
      </w:tr>
      <w:tr>
        <w:trPr>
          <w:cantSplit/>
          <w:tblHeader w:val="false"/>
        </w:trPr>
        <w:tc>
          <w:tcPr>
            <w:tcW w:type="dxa" w:w="3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IPCA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5,12%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4,22%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3,80%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3,50%</w:t>
            </w:r>
          </w:p>
        </w:tc>
      </w:tr>
      <w:tr>
        <w:trPr>
          <w:cantSplit/>
          <w:tblHeader w:val="false"/>
        </w:trPr>
        <w:tc>
          <w:tcPr>
            <w:tcW w:type="dxa" w:w="3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Selic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14,00%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12,00%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10,50%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10,00%</w:t>
            </w:r>
          </w:p>
        </w:tc>
      </w:tr>
      <w:tr>
        <w:trPr>
          <w:cantSplit/>
          <w:tblHeader w:val="false"/>
        </w:trPr>
        <w:tc>
          <w:tcPr>
            <w:tcW w:type="dxa" w:w="3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5,50%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4,40%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4,40%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4,40%</w:t>
            </w:r>
          </w:p>
        </w:tc>
      </w:tr>
      <w:tr>
        <w:trPr>
          <w:cantSplit/>
          <w:tblHeader w:val="false"/>
        </w:trPr>
        <w:tc>
          <w:tcPr>
            <w:tcW w:type="dxa" w:w="3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IGP-M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5,42%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4,16%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3,97%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3,90%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 1 (Relatório de Mercado do Banco Central e projeções do Itaú para o INPC).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Tributos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O modelo simula os regimes de lucro presumido e lucro real, para permitir a escolha do mais vantajoso.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IRPJ e CSLL:</w:t>
      </w:r>
      <w:r>
        <w:rPr>
          <w:rFonts w:ascii="Times New Roman" w:cs="Times New Roman" w:eastAsia="Times New Roman" w:hAnsi="Times New Roman"/>
        </w:rPr>
        <w:t xml:space="preserve"> IRPJ de 15%, adicional de 10% sobre o lucro acima de R$ 20 mil por mês e CSLL de 9%. A amortização do ativo intangível é dedutível no lucro real.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PIS e COFINS:</w:t>
      </w:r>
      <w:r>
        <w:rPr>
          <w:rFonts w:ascii="Times New Roman" w:cs="Times New Roman" w:eastAsia="Times New Roman" w:hAnsi="Times New Roman"/>
        </w:rPr>
        <w:t xml:space="preserve"> 1,65% e 7,60% no lucro real, com aproveitamento de créditos; 0,65% e 3,00% no lucro presumido.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ISS:</w:t>
      </w:r>
      <w:r>
        <w:rPr>
          <w:rFonts w:ascii="Times New Roman" w:cs="Times New Roman" w:eastAsia="Times New Roman" w:hAnsi="Times New Roman"/>
        </w:rPr>
        <w:t xml:space="preserve"> de 2% a 5%, conforme o município. A etapa de coleta é tributada no município gerador, e a destinação final, no município do aterro.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Taxa de desconto (WACC)</w:t>
      </w:r>
    </w:p>
    <w:p>
      <w:pPr>
        <w:keepNext/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O custo do capital próprio foi calculado pelo CAPM, com acréscimo do risco-país. Beta e estrutura de capital vêm da base de Aswath Damodaran para o setor "Environmental &amp; Waste Services" (janeiro/2026).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2"/>
        <w:gridCol w:w="3000"/>
      </w:tblGrid>
      <w:tr>
        <w:trPr>
          <w:cantSplit/>
          <w:tblHeader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Retorno do ativo livre de risco (T-Bond de 10 anos)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2,76%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Beta desalavancado / realavancado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0,87 / 1,075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Retorno esperado do mercado (S&amp;P 500, 25 anos)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10,44%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Prêmio de risco de mercado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7,68%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Risco-país (CDS de 10 anos)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3,27%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Inflação americana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2,09%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Prime rate americana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6,75%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Alíquota de impostos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34,00%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Capital próprio / dívida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73,7% / 26,3%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 do capital próprio (real)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14,29%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 da dívida (real, após impostos)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6,62%</w:t>
            </w:r>
          </w:p>
        </w:tc>
      </w:tr>
      <w:tr>
        <w:trPr>
          <w:cantSplit/>
          <w:tblHeader w:val="false"/>
        </w:trPr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WACC (real)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10,55%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Tabelas 4 e 5.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Demanda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2"/>
        <w:gridCol w:w="2500"/>
        <w:gridCol w:w="2500"/>
      </w:tblGrid>
      <w:tr>
        <w:trPr>
          <w:cantSplit/>
          <w:tblHeader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2027 (ano 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2056 (ano 30)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População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452.092 hab.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482.542 hab.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Lixo domiciliar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127,9 mil t/ano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138,4 mil t/ano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de resíduos (domiciliar + público)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156,9 mil t/ano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169,8 mil t/ano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Economias com ligação de água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227.520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247.053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Volume de água faturado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26,5 milhões m³/ano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28,6 milhões m³/ano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Tabelas 6, 12, 14 e 18; Caderno de Encargos, anexo de demanda.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Imóveis rurais sem ligação de água:</w:t>
      </w:r>
      <w:r>
        <w:rPr>
          <w:rFonts w:ascii="Times New Roman" w:cs="Times New Roman" w:eastAsia="Times New Roman" w:hAnsi="Times New Roman"/>
        </w:rPr>
        <w:t xml:space="preserve"> 20.130 unidades, cobradas pela tarifa mínima de R$ 15,73 por mês, com receita bruta adicional de R$ 3,8 milhões por ano.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Categorias de tarifa reduzida:</w:t>
      </w:r>
      <w:r>
        <w:rPr>
          <w:rFonts w:ascii="Times New Roman" w:cs="Times New Roman" w:eastAsia="Times New Roman" w:hAnsi="Times New Roman"/>
        </w:rPr>
        <w:t xml:space="preserve"> 95.843 economias em 2027 (42,1% do total) nas categorias social e vulnerável.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Base de dados:</w:t>
      </w:r>
      <w:r>
        <w:rPr>
          <w:rFonts w:ascii="Times New Roman" w:cs="Times New Roman" w:eastAsia="Times New Roman" w:hAnsi="Times New Roman"/>
        </w:rPr>
        <w:t xml:space="preserve"> número de economias e volume faturado estimados com dados da SABESP e do SNIS, projetados pelo crescimento da população.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Investimentos (CAPEX)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2"/>
        <w:gridCol w:w="2000"/>
        <w:gridCol w:w="2000"/>
      </w:tblGrid>
      <w:tr>
        <w:trPr>
          <w:cantSplit/>
          <w:tblHeader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R$ milhões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% do total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Coleta (veículos, PEVs e unidades de triagem para catadores)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175,3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43,5%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Socioambiental (inclui R$ 46,9 milhões de licenciamento)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61,9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15,3%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Recuperação energética (biometanização e compostagem)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59,0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14,6%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Transbordo e transporte (inclui transporte de CDR)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42,8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10,6%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Triagem mecanizada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32,1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8,0%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Aterro (implantação e sistema de biogás)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30,6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7,6%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Infraestrutura da SPE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0,4%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403,1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Tabelas 20 a 25.</w:t>
      </w:r>
    </w:p>
    <w:p>
      <w:pPr>
        <w:keepNext/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Distribuição no tempo: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2"/>
        <w:gridCol w:w="2500"/>
        <w:gridCol w:w="2500"/>
      </w:tblGrid>
      <w:tr>
        <w:trPr>
          <w:cantSplit/>
          <w:tblHeader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Período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R$ milhões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% do total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Anos 1 a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116,8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29,0%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Anos 6 a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69,2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17,2%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Anos 11 a 15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85,8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21,3%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Anos 16 a 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45,8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11,3%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Anos 21 a 25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49,5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12,3%</w:t>
            </w:r>
          </w:p>
        </w:tc>
      </w:tr>
      <w:tr>
        <w:trPr>
          <w:cantSplit/>
          <w:tblHeader w:val="false"/>
        </w:trPr>
        <w:tc>
          <w:tcPr>
            <w:tcW w:type="dxa" w:w="4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Anos 26 a 30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36,0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8,9%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 26 (soma por período).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O ano 1 concentra R$ 61,9 milhões (15,3% do total), sobretudo a frota de coleta e o transbordo.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Veículos e equipamentos de coleta são repostos a cada 5 anos (anos 1, 6, 11, 16, 21 e 26).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Triagem mecanizada nos anos 3 e 4; biometanização nos anos 8, 9, 12 e 13; novo aterro implantado nos anos 2 a 4.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</w:rPr>
        <w:t xml:space="preserve">Os investimentos são registrados como ativo intangível e amortizados no prazo da concessão.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Custos operacionais (OPEX)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2"/>
        <w:gridCol w:w="2000"/>
        <w:gridCol w:w="2000"/>
      </w:tblGrid>
      <w:tr>
        <w:trPr>
          <w:cantSplit/>
          <w:tblHeader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R$ milhões em 30 anos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% do total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Coleta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452,3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27,4%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Gestão e governança (cobrança, regulação, seguros)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286,3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17,4%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Aterro (privado nos anos 1 a 4; próprio depois)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210,4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12,8%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Triagem mecanizada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182,3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11,1%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Repasses ao CONSAÚDE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179,3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10,9%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Administração e pessoal da SPE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141,2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8,6%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Recuperação energética (biometanização e compostagem)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105,1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6,4%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Transbordo e transporte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55,4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3,4%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Socioambiental (educação ambiental)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24,3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Outras (projetos, certificação, cadastro)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0,7%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1.649,0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 28.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Evolução anual:</w:t>
      </w:r>
      <w:r>
        <w:rPr>
          <w:rFonts w:ascii="Times New Roman" w:cs="Times New Roman" w:eastAsia="Times New Roman" w:hAnsi="Times New Roman"/>
        </w:rPr>
        <w:t xml:space="preserve"> R$ 78,7 milhões no ano 1; cerca de R$ 69 milhões nos anos 2 a 4; R$ 48,3 milhões no ano 5, quando o aterro próprio substitui os aterros privados; entre R$ 53 e 55 milhões do ano 14 em diante.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Cobrança:</w:t>
      </w:r>
      <w:r>
        <w:rPr>
          <w:rFonts w:ascii="Times New Roman" w:cs="Times New Roman" w:eastAsia="Times New Roman" w:hAnsi="Times New Roman"/>
        </w:rPr>
        <w:t xml:space="preserve"> registro e liquidação a R$ 2,01 por boleto pago; postagem a R$ 2,55; impressão a R$ 0,23; protesto e negativação a R$ 4,14; equipe própria de cobrança de 8 pessoas.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Repasses ao CONSAÚDE:</w:t>
      </w:r>
      <w:r>
        <w:rPr>
          <w:rFonts w:ascii="Times New Roman" w:cs="Times New Roman" w:eastAsia="Times New Roman" w:hAnsi="Times New Roman"/>
        </w:rPr>
        <w:t xml:space="preserve"> remuneração de 200 catadores a um salário mínimo com encargos (R$ 116,6 milhões em 30 anos), estrutura do poder concedente, manutenção e energia das unidades de triagem e galpão central.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Agência reguladora:</w:t>
      </w:r>
      <w:r>
        <w:rPr>
          <w:rFonts w:ascii="Times New Roman" w:cs="Times New Roman" w:eastAsia="Times New Roman" w:hAnsi="Times New Roman"/>
        </w:rPr>
        <w:t xml:space="preserve"> 0,5% do faturamento, líquido de tributos.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Receitas</w:t>
      </w:r>
    </w:p>
    <w:p>
      <w:pPr>
        <w:keepNext/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A Tarifa Base resulta da multiplicação do Coeficiente de Geração (3,3570 kg de lixo por m³ de água) pela receita requerida por quilo (R$ 0,9369/kg). A tarifa de cada imóvel é a Tarifa Base × consumo de água × fator de uso, com mínimo de 10 m³ por mês.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2"/>
        <w:gridCol w:w="1500"/>
        <w:gridCol w:w="2500"/>
        <w:gridCol w:w="2500"/>
      </w:tblGrid>
      <w:tr>
        <w:trPr>
          <w:cantSplit/>
          <w:tblHeader/>
        </w:trPr>
        <w:tc>
          <w:tcPr>
            <w:tcW w:type="dxa" w:w="2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Fator de uso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Tarifa mínima mensal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Média mensal no ano 1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Residencial social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R$ 15,73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R$ 18,49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Residencial vulnerável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R$ 15,73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R$ 20,83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Residencial comum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R$ 31,45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R$ 38,10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Comercial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R$ 62,90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R$ 99,92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Industrial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R$ 62,90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R$ 168,51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Pública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R$ 62,90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R$ 385,17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Tabelas 43 a 45.</w:t>
      </w:r>
    </w:p>
    <w:p>
      <w:pPr>
        <w:keepNext/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Receitas projetadas, já descontada a inadimplência: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2"/>
        <w:gridCol w:w="1900"/>
        <w:gridCol w:w="1900"/>
        <w:gridCol w:w="1900"/>
        <w:gridCol w:w="1600"/>
      </w:tblGrid>
      <w:tr>
        <w:trPr>
          <w:cantSplit/>
          <w:tblHeader/>
        </w:trPr>
        <w:tc>
          <w:tcPr>
            <w:tcW w:type="dxa" w:w="1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Ano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Lixo domiciliar (R$ mi)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Lixo público (R$ mi)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(R$ mi)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Inadimplência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84,4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87,8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18,7%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95,2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98,7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10,0%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98,8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102,3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8,3%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101,2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104,9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8,3%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102,5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106,2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8,3%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Tabelas 46 e 47.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Inadimplência:</w:t>
      </w:r>
      <w:r>
        <w:rPr>
          <w:rFonts w:ascii="Times New Roman" w:cs="Times New Roman" w:eastAsia="Times New Roman" w:hAnsi="Times New Roman"/>
        </w:rPr>
        <w:t xml:space="preserve"> começa em 18,7% e se estabiliza em 8,3% a partir do ano 10. A curva inicial vem do histórico de uma concessionária com cobrança direta; o patamar final, da pesquisa CNDL/SPC de 2024.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Receita não operacional:</w:t>
      </w:r>
      <w:r>
        <w:rPr>
          <w:rFonts w:ascii="Times New Roman" w:cs="Times New Roman" w:eastAsia="Times New Roman" w:hAnsi="Times New Roman"/>
        </w:rPr>
        <w:t xml:space="preserve"> venda dos caminhões ao fim de 5 anos de uso, com valor residual de 30% a 37% (Tabela FIPE).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Financiamento e capital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2"/>
        <w:gridCol w:w="4500"/>
      </w:tblGrid>
      <w:tr>
        <w:trPr>
          <w:cantSplit/>
          <w:tblHeader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Premissa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Linha de referência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Pró-Cidades (CAIXA), longo prazo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Juros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6,00% ao ano + TR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Carência e amortização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 meses de carência; 180 meses de pagamento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Taxas sobre o saldo devedor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Administração 2% ao ano; risco de crédito 1% ao ano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Cobertura do serviço da dívida (ICSD)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Mínimo exigido de 1,3; média projetada de 7,66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CAPEX financiável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R$ 229.074.340,37 (56,8% do CAPEX)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Capital de giro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Recebimento em 45 dias; salários em 30; fornecedores em 15; tributos em 30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Capital social da SPE (edital)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R$ 114 milhões, dos quais R$ 88 milhões integralizados antes da assinatura</w:t>
            </w:r>
          </w:p>
        </w:tc>
      </w:tr>
    </w:tbl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Plano de Negócio, Tabelas 41 e 42 e item 9.2; Edital, item 7.5.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A obtenção dos recursos, inclusive financiamentos, é responsabilidade da concessionária.</w:t>
      </w:r>
    </w:p>
    <w:p>
      <w:pPr>
        <w:pStyle w:val="Heading1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Reajuste e reequilíbrio no contrato</w:t>
      </w:r>
    </w:p>
    <w:p>
      <w:pPr>
        <w:keepNext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Reajuste anual pelo IPCA.</w:t>
      </w:r>
      <w:r>
        <w:rPr>
          <w:rFonts w:ascii="Times New Roman" w:cs="Times New Roman" w:eastAsia="Times New Roman" w:hAnsi="Times New Roman"/>
        </w:rPr>
        <w:t xml:space="preserve"> A tarifa reajustada é calculada pela fórmula: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Tarifa = [(TB × IPCA × FA) − CRA] × (1 + FI) × (CG¹ ÷ CG)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FA (Fator de Avaliação):</w:t>
      </w:r>
      <w:r>
        <w:rPr>
          <w:rFonts w:ascii="Times New Roman" w:cs="Times New Roman" w:eastAsia="Times New Roman" w:hAnsi="Times New Roman"/>
        </w:rPr>
        <w:t xml:space="preserve"> 1,00 com nota de 9,0 ou mais; 0,975 entre 8,0 e 8,9; 0,950 entre 7,0 e 7,9; 0,900 com 6,9 ou menos.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CRA (crédito de receita extraordinária):</w:t>
      </w:r>
      <w:r>
        <w:rPr>
          <w:rFonts w:ascii="Times New Roman" w:cs="Times New Roman" w:eastAsia="Times New Roman" w:hAnsi="Times New Roman"/>
        </w:rPr>
        <w:t xml:space="preserve"> a parcela de 5% (ou 15%) das receitas extras, dividida pelo volume de água faturado no ano anterior e descontada da tarifa.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FI (fator de inadimplência):</w:t>
      </w:r>
      <w:r>
        <w:rPr>
          <w:rFonts w:ascii="Times New Roman" w:cs="Times New Roman" w:eastAsia="Times New Roman" w:hAnsi="Times New Roman"/>
        </w:rPr>
        <w:t xml:space="preserve"> sem efeito dentro de uma faixa de 3,5% em torno da inadimplência estimada; fora dela, metade da diferença entre a inadimplência verificada e a estimada ajusta a tarifa, para mais ou para menos.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CG (Coeficiente de Geração):</w:t>
      </w:r>
      <w:r>
        <w:rPr>
          <w:rFonts w:ascii="Times New Roman" w:cs="Times New Roman" w:eastAsia="Times New Roman" w:hAnsi="Times New Roman"/>
        </w:rPr>
        <w:t xml:space="preserve"> revisto no fim do ano 2 e nas revisões ordinárias; variação menor que 3% não altera a tarifa.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Revisões.</w:t>
      </w:r>
      <w:r>
        <w:rPr>
          <w:rFonts w:ascii="Times New Roman" w:cs="Times New Roman" w:eastAsia="Times New Roman" w:hAnsi="Times New Roman"/>
        </w:rPr>
        <w:t xml:space="preserve"> A revisão ordinária ocorre a cada 5 anos e avalia o PIGIRS e o Coeficiente de Geração, sem revisar os riscos alocados. A revisão extraordinária pode ser pedida a qualquer tempo, com laudo técnico, e é analisada pela ARSESP em 60 dias, com decisão final do CONSAÚDE.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Reequilíbrio.</w:t>
      </w:r>
      <w:r>
        <w:rPr>
          <w:rFonts w:ascii="Times New Roman" w:cs="Times New Roman" w:eastAsia="Times New Roman" w:hAnsi="Times New Roman"/>
        </w:rPr>
        <w:t xml:space="preserve"> É calculado pelo fluxo de caixa marginal, de forma que o valor presente líquido do evento seja zero. A taxa de desconto real é (1 + 3,874%) × (1 + taxa real da NTN-B) − 1. A recomposição pode ser feita por tarifa, prazo, encargos, indicadores, investimentos assumidos pelo CONSAÚDE ou indenização. Benefícios fiscais obtidos pela concessionária, como o REIDI, revertem para a redução da Tarifa Base.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Compartilhamentos previstos na matriz de riscos.</w:t>
      </w:r>
      <w:r>
        <w:rPr>
          <w:rFonts w:ascii="Times New Roman" w:cs="Times New Roman" w:eastAsia="Times New Roman" w:hAnsi="Times New Roman"/>
        </w:rPr>
        <w:t xml:space="preserve"> Tarifa social: variação maior que 5 pontos percentuais em torno dos 42,12% projetados dá direito a reequilíbrio para qualquer das partes. Coeficiente de Geração: variação acima de 3% na revisão ajusta a Tarifa Base.</w:t>
      </w:r>
    </w:p>
    <w:p>
      <w:pPr>
        <w:spacing w:after="160" w:before="6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Fontes: Contrato, itens 19 a 21; Anexo 4, item 5; Anexo 6; Anexo 7, itens 46, 47 e 53.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2026-10-08T20:23:17.728Z</dcterms:created>
  <dcterms:modified xsi:type="dcterms:W3CDTF">2026-10-08T20:23:17.728Z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