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spacing w:before="240" w:after="120"/>
        <w:jc w:val="left"/>
      </w:pPr>
      <w:r>
        <w:rPr>
          <w:rFonts w:ascii="Times New Roman" w:hAnsi="Times New Roman" w:cs="Times New Roman" w:eastAsia="Times New Roman"/>
        </w:rPr>
        <w:t xml:space="preserve">Concessão RSU CONSAÚDE — Briefing para o roadshow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b/>
        </w:rPr>
        <w:t xml:space="preserve">[USO INTERNO]</w:t>
      </w:r>
      <w:r>
        <w:rPr>
          <w:rFonts w:ascii="Times New Roman" w:hAnsi="Times New Roman" w:cs="Times New Roman" w:eastAsia="Times New Roman"/>
        </w:rPr>
        <w:t xml:space="preserve"> · </w:t>
      </w:r>
      <w:r>
        <w:rPr>
          <w:rFonts w:ascii="Times New Roman" w:hAnsi="Times New Roman" w:cs="Times New Roman" w:eastAsia="Times New Roman"/>
        </w:rPr>
        <w:t>08/10/2026</w:t>
      </w:r>
      <w:r>
        <w:rPr>
          <w:rFonts w:ascii="Times New Roman" w:hAnsi="Times New Roman" w:cs="Times New Roman" w:eastAsia="Times New Roman"/>
        </w:rPr>
        <w:t xml:space="preserve"> · </w:t>
      </w:r>
      <w:r>
        <w:rPr>
          <w:rFonts w:ascii="Times New Roman" w:hAnsi="Times New Roman" w:cs="Times New Roman" w:eastAsia="Times New Roman"/>
        </w:rPr>
        <w:t>Matheus Martins</w:t>
      </w:r>
    </w:p>
    <w:p>
      <w:pPr>
        <w:pStyle w:val="Heading2"/>
        <w:spacing w:before="240" w:after="120"/>
        <w:jc w:val="left"/>
      </w:pPr>
      <w:r>
        <w:rPr>
          <w:rFonts w:ascii="Times New Roman" w:hAnsi="Times New Roman" w:cs="Times New Roman" w:eastAsia="Times New Roman"/>
        </w:rPr>
        <w:t xml:space="preserve">Mensagem principal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É uma concessão comum de 30 anos para coleta, tratamento e disposição final do lixo domiciliar de 16 municípios do Vale do Ribeira e Litoral Sul. Prevê R$ 403,1 milhões de investimento e julgamento por menor tarifa. O certame está em consulta pública até 24/10/2026; o edital ainda não foi publicado.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Três pontos pedem preparo para o roadshow:</w:t>
      </w:r>
    </w:p>
    <w:p>
      <w:pPr>
        <w:pStyle w:val="ListParagraph"/>
        <w:numPr>
          <w:ilvl w:val="0"/>
          <w:numId w:val="2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b/>
        </w:rPr>
        <w:t xml:space="preserve">Rota tecnológica.</w:t>
      </w:r>
      <w:r>
        <w:rPr>
          <w:rFonts w:ascii="Times New Roman" w:hAnsi="Times New Roman" w:cs="Times New Roman" w:eastAsia="Times New Roman"/>
        </w:rPr>
        <w:t xml:space="preserve"> O edital deixa a tecnologia livre, mas a meta de desvio do aterro deixa 20 pontos percentuais sem rota definida a partir de 2040. O modelo de referência depende de CDR (combustível derivado de resíduo) entregue a uma única cimenteira, sem contrato nos autos.</w:t>
      </w:r>
    </w:p>
    <w:p>
      <w:pPr>
        <w:pStyle w:val="ListParagraph"/>
        <w:numPr>
          <w:ilvl w:val="0"/>
          <w:numId w:val="2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b/>
        </w:rPr>
        <w:t xml:space="preserve">Proxy tarifário.</w:t>
      </w:r>
      <w:r>
        <w:rPr>
          <w:rFonts w:ascii="Times New Roman" w:hAnsi="Times New Roman" w:cs="Times New Roman" w:eastAsia="Times New Roman"/>
        </w:rPr>
        <w:t xml:space="preserve"> A tarifa é calculada pelo consumo de água, mas não há instrumento com a SABESP que garanta esses dados por 30 anos. A falta deles não está na matriz de riscos e, por isso, cai na concessionária.</w:t>
      </w:r>
    </w:p>
    <w:p>
      <w:pPr>
        <w:pStyle w:val="ListParagraph"/>
        <w:numPr>
          <w:ilvl w:val="0"/>
          <w:numId w:val="2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b/>
        </w:rPr>
        <w:t xml:space="preserve">Barreiras de entrada.</w:t>
      </w:r>
      <w:r>
        <w:rPr>
          <w:rFonts w:ascii="Times New Roman" w:hAnsi="Times New Roman" w:cs="Times New Roman" w:eastAsia="Times New Roman"/>
        </w:rPr>
        <w:t xml:space="preserve"> Quem pode competir é definido por:</w:t>
      </w:r>
    </w:p>
    <w:p>
      <w:pPr>
        <w:pStyle w:val="ListParagraph"/>
        <w:numPr>
          <w:ilvl w:val="1"/>
          <w:numId w:val="3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patrimônio líquido de R$ 40,3 milhões;</w:t>
      </w:r>
    </w:p>
    <w:p>
      <w:pPr>
        <w:pStyle w:val="ListParagraph"/>
        <w:numPr>
          <w:ilvl w:val="1"/>
          <w:numId w:val="3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R$ 201,6 milhões de experiência em investimento;</w:t>
      </w:r>
    </w:p>
    <w:p>
      <w:pPr>
        <w:pStyle w:val="ListParagraph"/>
        <w:numPr>
          <w:ilvl w:val="1"/>
          <w:numId w:val="3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atestados de coleta e de operação de aterro;</w:t>
      </w:r>
    </w:p>
    <w:p>
      <w:pPr>
        <w:pStyle w:val="ListParagraph"/>
        <w:numPr>
          <w:ilvl w:val="1"/>
          <w:numId w:val="3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R$ 88 milhões de capital integralizado antes da assinatura.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Pelo edital, só esclarecimentos formais por escrito vinculam a administração (item 5.3). O que for relevante no roadshow precisa virar contribuição escrita à consulta pública até 24/10.</w:t>
      </w:r>
    </w:p>
    <w:p>
      <w:pPr>
        <w:pStyle w:val="Heading2"/>
        <w:spacing w:before="240" w:after="120"/>
        <w:jc w:val="left"/>
      </w:pPr>
      <w:r>
        <w:rPr>
          <w:rFonts w:ascii="Times New Roman" w:hAnsi="Times New Roman" w:cs="Times New Roman" w:eastAsia="Times New Roman"/>
        </w:rPr>
        <w:t xml:space="preserve">O projeto em uma página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80"/>
        <w:gridCol w:w="4680"/>
      </w:tblGrid>
      <w:tr>
        <w:trPr>
          <w:tblHeader/>
          <w:cantSplit/>
        </w:trPr>
        <w:tc>
          <w:tcPr>
            <w:tcW w:w="4680" w:type="dxa"/>
            <w:shd w:val="clear" w:color="auto" w:fill="D9D9D9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Item</w:t>
            </w:r>
          </w:p>
        </w:tc>
        <w:tc>
          <w:tcPr>
            <w:tcW w:w="4680" w:type="dxa"/>
            <w:shd w:val="clear" w:color="auto" w:fill="D9D9D9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Dado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Poder concedente</w:t>
            </w:r>
          </w:p>
        </w:tc>
        <w:tc>
          <w:tcPr>
            <w:tcW w:w="468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CONSAÚDE (consórcio público), Pariquera-Açu/SP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Municípios</w:t>
            </w:r>
          </w:p>
        </w:tc>
        <w:tc>
          <w:tcPr>
            <w:tcW w:w="468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16: Barra do Turvo, Cajati, Cananéia, Eldorado, Iguape, Itanhaém, Itariri, Jacupiranga, Juquiá, Miracatu, Mongaguá, Pariquera-Açu, Pedro de Toledo, Registro, Sete Barras e Tapiraí. Itanhaém e Mongaguá também integram a Região Metropolitana da Baixada Santista e somam 55% do lixo domiciliar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População e lixo</w:t>
            </w:r>
          </w:p>
        </w:tc>
        <w:tc>
          <w:tcPr>
            <w:tcW w:w="468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452 mil habitantes; 127,9 mil t/ano de lixo domiciliar no ano 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Regime</w:t>
            </w:r>
          </w:p>
        </w:tc>
        <w:tc>
          <w:tcPr>
            <w:tcW w:w="468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Concessão comum (Lei n.º 8.987/1995), remunerada por tarifa, sem contraprestação pública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Escopo</w:t>
            </w:r>
          </w:p>
        </w:tc>
        <w:tc>
          <w:tcPr>
            <w:tcW w:w="468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Coleta comum e seletiva, transbordo, tratamento a partir do ano 5 e disposição final do lixo domiciliar; só a disposição final do lixo público. Varrição, capina e poda ficam de fora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Prazo</w:t>
            </w:r>
          </w:p>
        </w:tc>
        <w:tc>
          <w:tcPr>
            <w:tcW w:w="468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30 anos a partir da Ordem de Serviço, após 180 dias de pré-operação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Investimento e custo</w:t>
            </w:r>
          </w:p>
        </w:tc>
        <w:tc>
          <w:tcPr>
            <w:tcW w:w="468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CAPEX de R$ 403,1 milhões (é o valor estimado do contrato); OPEX de R$ 1,65 bilhão em 30 anos; WACC de 10,55% ao ano real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Julgamento</w:t>
            </w:r>
          </w:p>
        </w:tc>
        <w:tc>
          <w:tcPr>
            <w:tcW w:w="468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Menor multiplicador K (≤ 1,0000) sobre a tarifa base de R$ 3,1452 por m³ de água e a tarifa dos municípios de R$ 118,56/t. Sem lances; só a habilitação da 1ª colocada é aberta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Cobrança</w:t>
            </w:r>
          </w:p>
        </w:tc>
        <w:tc>
          <w:tcPr>
            <w:tcW w:w="468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Fatura própria da concessionária; inadimplência prevista de 18,7% no ano 1, caindo a 8,3%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Regulação e sessão</w:t>
            </w:r>
          </w:p>
        </w:tc>
        <w:tc>
          <w:tcPr>
            <w:tcW w:w="468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ARSESP (convênio ainda não juntado); sessão na B3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Calendário</w:t>
            </w:r>
          </w:p>
        </w:tc>
        <w:tc>
          <w:tcPr>
            <w:tcW w:w="468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Consulta pública de 25/09 a 24/10/2026; audiência pública em 08/10; datas do edital ainda em branco</w:t>
            </w:r>
          </w:p>
        </w:tc>
      </w:tr>
    </w:tbl>
    <w:p>
      <w:pPr>
        <w:pStyle w:val="Heading2"/>
        <w:spacing w:before="240" w:after="120"/>
        <w:jc w:val="left"/>
      </w:pPr>
      <w:r>
        <w:rPr>
          <w:rFonts w:ascii="Times New Roman" w:hAnsi="Times New Roman" w:cs="Times New Roman" w:eastAsia="Times New Roman"/>
        </w:rPr>
        <w:t xml:space="preserve">Habilitação: o que pesa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As exigências financeiras estão no teto legal, e as técnicas pedem operação real de coleta e de aterro.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w="3120" w:type="dxa"/>
            <w:shd w:val="clear" w:color="auto" w:fill="D9D9D9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Exigência</w:t>
            </w:r>
          </w:p>
        </w:tc>
        <w:tc>
          <w:tcPr>
            <w:tcW w:w="3120" w:type="dxa"/>
            <w:shd w:val="clear" w:color="auto" w:fill="D9D9D9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Valor ou regra</w:t>
            </w:r>
          </w:p>
        </w:tc>
        <w:tc>
          <w:tcPr>
            <w:tcW w:w="3120" w:type="dxa"/>
            <w:shd w:val="clear" w:color="auto" w:fill="D9D9D9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Item do edital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Patrimônio líquido mínimo</w:t>
            </w:r>
          </w:p>
        </w:tc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R$ 40,3 milhões (10% do valor estimado); R$ 52,4 milhões para consórcio (+30%). Sem índices contábeis</w:t>
            </w:r>
          </w:p>
        </w:tc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15.4.1, a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Experiência em investimento</w:t>
            </w:r>
          </w:p>
        </w:tc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R$ 201,6 milhões (50% do CAPEX) em qualquer projeto de infraestrutura; um atestado precisa ter pelo menos R$ 100,8 milhões</w:t>
            </w:r>
          </w:p>
        </w:tc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15.3.1, a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Operação de coleta e de aterro</w:t>
            </w:r>
          </w:p>
        </w:tc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2 anos contínuos, com 50% da massa anual estimada: cerca de 64 mil t/ano de coleta; de 64 a 85 mil t/ano de aterro, conforme a base</w:t>
            </w:r>
          </w:p>
        </w:tc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15.3.1, c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Atestado de terceiro</w:t>
            </w:r>
          </w:p>
        </w:tc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Aceito o de subcontratada especialista, com compromisso irrevogável por 30 anos</w:t>
            </w:r>
          </w:p>
        </w:tc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15.3.1, d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Consórcio</w:t>
            </w:r>
          </w:p>
        </w:tc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Quem apresenta os atestados precisa ter pelo menos 20% de participação</w:t>
            </w:r>
          </w:p>
        </w:tc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6.2, g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Garantia de proposta</w:t>
            </w:r>
          </w:p>
        </w:tc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R$ 4,03 milhões (1%)</w:t>
            </w:r>
          </w:p>
        </w:tc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17.1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Antes da assinatura</w:t>
            </w:r>
          </w:p>
        </w:tc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R$ 88 milhões de capital integralizado na SPE; garantia de execução de R$ 20,2 milhões; R$ 15,7 milhões ao FEP/CAIXA e R$ 0,56 milhão à B3</w:t>
            </w:r>
          </w:p>
        </w:tc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7.5.1, 23.2, 24.1</w:t>
            </w:r>
          </w:p>
        </w:tc>
      </w:tr>
    </w:tbl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Pontos identificados (classificação preliminar, sem juízo de força):</w:t>
      </w:r>
    </w:p>
    <w:p>
      <w:pPr>
        <w:pStyle w:val="ListParagraph"/>
        <w:numPr>
          <w:ilvl w:val="0"/>
          <w:numId w:val="4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b/>
        </w:rPr>
        <w:t xml:space="preserve">Base da massa indefinida.</w:t>
      </w:r>
      <w:r>
        <w:rPr>
          <w:rFonts w:ascii="Times New Roman" w:hAnsi="Times New Roman" w:cs="Times New Roman" w:eastAsia="Times New Roman"/>
        </w:rPr>
        <w:t xml:space="preserve"> Não se diz se conta o ano 1 ou o 30, nem se é só lixo domiciliar ou também o público. DEPENDE DE FATO (art. 67, §§ 1.º e 2.º, da Lei n.º 14.133/2021).</w:t>
      </w:r>
    </w:p>
    <w:p>
      <w:pPr>
        <w:pStyle w:val="ListParagraph"/>
        <w:numPr>
          <w:ilvl w:val="0"/>
          <w:numId w:val="4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b/>
        </w:rPr>
        <w:t xml:space="preserve">"2 anos contínuos"</w:t>
      </w:r>
      <w:r>
        <w:rPr>
          <w:rFonts w:ascii="Times New Roman" w:hAnsi="Times New Roman" w:cs="Times New Roman" w:eastAsia="Times New Roman"/>
        </w:rPr>
        <w:t xml:space="preserve"> contra "períodos sucessivos ou não" da lei. IRREGULAR, a confirmar (art. 67, § 5.º).</w:t>
      </w:r>
    </w:p>
    <w:p>
      <w:pPr>
        <w:pStyle w:val="ListParagraph"/>
        <w:numPr>
          <w:ilvl w:val="0"/>
          <w:numId w:val="4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b/>
        </w:rPr>
        <w:t xml:space="preserve">Atestados de consórcio anterior</w:t>
      </w:r>
      <w:r>
        <w:rPr>
          <w:rFonts w:ascii="Times New Roman" w:hAnsi="Times New Roman" w:cs="Times New Roman" w:eastAsia="Times New Roman"/>
        </w:rPr>
        <w:t xml:space="preserve"> com regras contraditórias: "aqui licitante" (6.2) contra "naquele consórcio" (15.3.1). IRREGULAR (art. 67, § 10).</w:t>
      </w:r>
    </w:p>
    <w:p>
      <w:pPr>
        <w:pStyle w:val="ListParagraph"/>
        <w:numPr>
          <w:ilvl w:val="0"/>
          <w:numId w:val="4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b/>
        </w:rPr>
        <w:t xml:space="preserve">Soma do patrimônio das consorciadas</w:t>
      </w:r>
      <w:r>
        <w:rPr>
          <w:rFonts w:ascii="Times New Roman" w:hAnsi="Times New Roman" w:cs="Times New Roman" w:eastAsia="Times New Roman"/>
        </w:rPr>
        <w:t xml:space="preserve"> não prevista. DEPENDE DE FATO (art. 15, III).</w:t>
      </w:r>
    </w:p>
    <w:p>
      <w:pPr>
        <w:pStyle w:val="ListParagraph"/>
        <w:numPr>
          <w:ilvl w:val="0"/>
          <w:numId w:val="4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b/>
        </w:rPr>
        <w:t xml:space="preserve">Subcontratada especialista</w:t>
      </w:r>
      <w:r>
        <w:rPr>
          <w:rFonts w:ascii="Times New Roman" w:hAnsi="Times New Roman" w:cs="Times New Roman" w:eastAsia="Times New Roman"/>
        </w:rPr>
        <w:t xml:space="preserve"> vale até para a experiência em investimento, sem o limite de 25% do objeto. IRREGULAR, a confirmar (art. 67, § 9.º).</w:t>
      </w:r>
    </w:p>
    <w:p>
      <w:pPr>
        <w:pStyle w:val="Heading2"/>
        <w:spacing w:before="240" w:after="120"/>
        <w:jc w:val="left"/>
      </w:pPr>
      <w:r>
        <w:rPr>
          <w:rFonts w:ascii="Times New Roman" w:hAnsi="Times New Roman" w:cs="Times New Roman" w:eastAsia="Times New Roman"/>
        </w:rPr>
        <w:t xml:space="preserve">Rota tecnológica e valorização energética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O edital não exige valorização energética, mas a meta de desvio do aterro a torna necessária na prática, porque reciclagem e orgânicos não bastam.</w:t>
      </w:r>
    </w:p>
    <w:p>
      <w:pPr>
        <w:keepNext/>
        <w:spacing w:line="360" w:lineRule="auto" w:after="120"/>
        <w:jc w:val="center"/>
      </w:pPr>
      <w:r>
        <w:rPr>
          <w:rFonts w:ascii="Times New Roman" w:hAnsi="Times New Roman" w:cs="Times New Roman" w:eastAsia="Times New Roman"/>
        </w:rPr>
        <w:drawing>
          <wp:inline distT="0" distB="0" distL="0" distR="0">
            <wp:extent cx="5760000" cy="2665713"/>
            <wp:docPr id="1" name="image1" descr="Anexo 4, Tabela 8 (Nota Técnica Conjunta 001/2024) · lacuna = meta − recicláveis − orgânico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nexo 4, Tabela 8 (Nota Técnica Conjunta 001/2024) · lacuna = meta − recicláveis − orgânico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6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Anexo 4, Tabela 8 (Nota Técnica Conjunta 001/2024) · lacuna = meta − recicláveis − orgânicos</w:t>
      </w:r>
    </w:p>
    <w:p>
      <w:pPr>
        <w:pStyle w:val="ListParagraph"/>
        <w:numPr>
          <w:ilvl w:val="0"/>
          <w:numId w:val="5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b/>
        </w:rPr>
        <w:t xml:space="preserve">O que os documentos exigem:</w:t>
      </w:r>
    </w:p>
    <w:p>
      <w:pPr>
        <w:pStyle w:val="ListParagraph"/>
        <w:numPr>
          <w:ilvl w:val="1"/>
          <w:numId w:val="6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tecnologia livre ("a concessionária deverá propor o modelo tecnológico", Caderno, 3.3);</w:t>
      </w:r>
    </w:p>
    <w:p>
      <w:pPr>
        <w:pStyle w:val="ListParagraph"/>
        <w:numPr>
          <w:ilvl w:val="1"/>
          <w:numId w:val="6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unidade de tratamento em 48 meses da Ordem de Serviço;</w:t>
      </w:r>
    </w:p>
    <w:p>
      <w:pPr>
        <w:pStyle w:val="ListParagraph"/>
        <w:numPr>
          <w:ilvl w:val="1"/>
          <w:numId w:val="6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aderência ao PIGIRS (Contrato, 38.4);</w:t>
      </w:r>
    </w:p>
    <w:p>
      <w:pPr>
        <w:pStyle w:val="ListParagraph"/>
        <w:numPr>
          <w:ilvl w:val="1"/>
          <w:numId w:val="6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o limite da PNRS: recuperação energética só com viabilidade técnica e ambiental comprovada e monitoramento de emissões aprovado (art. 9.º, § 1.º, da Lei n.º 12.305/2010).</w:t>
      </w:r>
    </w:p>
    <w:p>
      <w:pPr>
        <w:pStyle w:val="ListParagraph"/>
        <w:numPr>
          <w:ilvl w:val="0"/>
          <w:numId w:val="5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b/>
        </w:rPr>
        <w:t xml:space="preserve">Rota de referência (não vinculante):</w:t>
      </w:r>
      <w:r>
        <w:rPr>
          <w:rFonts w:ascii="Times New Roman" w:hAnsi="Times New Roman" w:cs="Times New Roman" w:eastAsia="Times New Roman"/>
        </w:rPr>
        <w:t xml:space="preserve"> triagem mecanizada a partir do ano 5; compostagem; biometanização só nos anos 10 e 14; CDR para coprocessamento numa cimenteira em Cajati; rejeitos em aterro próprio com biogás.</w:t>
      </w:r>
    </w:p>
    <w:p>
      <w:pPr>
        <w:pStyle w:val="ListParagraph"/>
        <w:numPr>
          <w:ilvl w:val="0"/>
          <w:numId w:val="5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b/>
        </w:rPr>
        <w:t xml:space="preserve">O que falta nos autos:</w:t>
      </w:r>
      <w:r>
        <w:rPr>
          <w:rFonts w:ascii="Times New Roman" w:hAnsi="Times New Roman" w:cs="Times New Roman" w:eastAsia="Times New Roman"/>
        </w:rPr>
        <w:t xml:space="preserve"> preço, contrato ou carta da cimenteira; balanço de massa da rota. A receita de energia e de CDR é zero no modelo.</w:t>
      </w:r>
    </w:p>
    <w:p>
      <w:pPr>
        <w:pStyle w:val="ListParagraph"/>
        <w:numPr>
          <w:ilvl w:val="0"/>
          <w:numId w:val="5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b/>
        </w:rPr>
        <w:t xml:space="preserve">PIGIRS:</w:t>
      </w:r>
      <w:r>
        <w:rPr>
          <w:rFonts w:ascii="Times New Roman" w:hAnsi="Times New Roman" w:cs="Times New Roman" w:eastAsia="Times New Roman"/>
        </w:rPr>
        <w:t xml:space="preserve"> avalia triagem, biometanização, gaseificação e incineração. Não trata de CDR.</w:t>
      </w:r>
    </w:p>
    <w:p>
      <w:pPr>
        <w:pStyle w:val="ListParagraph"/>
        <w:numPr>
          <w:ilvl w:val="0"/>
          <w:numId w:val="5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b/>
        </w:rPr>
        <w:t xml:space="preserve">Riscos:</w:t>
      </w:r>
      <w:r>
        <w:rPr>
          <w:rFonts w:ascii="Times New Roman" w:hAnsi="Times New Roman" w:cs="Times New Roman" w:eastAsia="Times New Roman"/>
        </w:rPr>
        <w:t xml:space="preserve"> tecnologia, composição do lixo e receitas extras são da concessionária, sem reequilíbrio (Anexo 7, itens 29, 30 e 51).</w:t>
      </w:r>
    </w:p>
    <w:p>
      <w:pPr>
        <w:pStyle w:val="ListParagraph"/>
        <w:numPr>
          <w:ilvl w:val="0"/>
          <w:numId w:val="5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b/>
        </w:rPr>
        <w:t xml:space="preserve">Peso na tarifa:</w:t>
      </w:r>
      <w:r>
        <w:rPr>
          <w:rFonts w:ascii="Times New Roman" w:hAnsi="Times New Roman" w:cs="Times New Roman" w:eastAsia="Times New Roman"/>
        </w:rPr>
        <w:t xml:space="preserve"> descumprir a meta de desvio aplica fator 0,975 no reajuste; descumprir as três metas de desvio, 0,90.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Pontos identificados (preliminares, sem juízo de força):</w:t>
      </w:r>
    </w:p>
    <w:p>
      <w:pPr>
        <w:pStyle w:val="ListParagraph"/>
        <w:numPr>
          <w:ilvl w:val="0"/>
          <w:numId w:val="7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b/>
        </w:rPr>
        <w:t xml:space="preserve">Cronograma em conflito:</w:t>
      </w:r>
      <w:r>
        <w:rPr>
          <w:rFonts w:ascii="Times New Roman" w:hAnsi="Times New Roman" w:cs="Times New Roman" w:eastAsia="Times New Roman"/>
        </w:rPr>
        <w:t xml:space="preserve"> 48 meses no Caderno contra biometanização nos anos 10 e 14 no Plano. IRREGULAR.</w:t>
      </w:r>
    </w:p>
    <w:p>
      <w:pPr>
        <w:pStyle w:val="ListParagraph"/>
        <w:numPr>
          <w:ilvl w:val="0"/>
          <w:numId w:val="7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b/>
        </w:rPr>
        <w:t xml:space="preserve">Receita de energia:</w:t>
      </w:r>
      <w:r>
        <w:rPr>
          <w:rFonts w:ascii="Times New Roman" w:hAnsi="Times New Roman" w:cs="Times New Roman" w:eastAsia="Times New Roman"/>
        </w:rPr>
        <w:t xml:space="preserve"> prevista na premissa (Plano, 4.3), mas zero no fluxo de caixa. IRREGULAR.</w:t>
      </w:r>
    </w:p>
    <w:p>
      <w:pPr>
        <w:pStyle w:val="ListParagraph"/>
        <w:numPr>
          <w:ilvl w:val="0"/>
          <w:numId w:val="7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b/>
        </w:rPr>
        <w:t xml:space="preserve">CDR fora do PIGIRS</w:t>
      </w:r>
      <w:r>
        <w:rPr>
          <w:rFonts w:ascii="Times New Roman" w:hAnsi="Times New Roman" w:cs="Times New Roman" w:eastAsia="Times New Roman"/>
        </w:rPr>
        <w:t xml:space="preserve">, embora o contrato exija aderência. DEPENDE DE FATO.</w:t>
      </w:r>
    </w:p>
    <w:p>
      <w:pPr>
        <w:pStyle w:val="ListParagraph"/>
        <w:numPr>
          <w:ilvl w:val="0"/>
          <w:numId w:val="7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b/>
        </w:rPr>
        <w:t xml:space="preserve">Metas com base temporal mista</w:t>
      </w:r>
      <w:r>
        <w:rPr>
          <w:rFonts w:ascii="Times New Roman" w:hAnsi="Times New Roman" w:cs="Times New Roman" w:eastAsia="Times New Roman"/>
        </w:rPr>
        <w:t xml:space="preserve"> (ano de contrato e ano do calendário). DEPENDE DE FATO.</w:t>
      </w:r>
    </w:p>
    <w:p>
      <w:pPr>
        <w:pStyle w:val="ListParagraph"/>
        <w:numPr>
          <w:ilvl w:val="0"/>
          <w:numId w:val="7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b/>
        </w:rPr>
        <w:t xml:space="preserve">Licenciamento:</w:t>
      </w:r>
      <w:r>
        <w:rPr>
          <w:rFonts w:ascii="Times New Roman" w:hAnsi="Times New Roman" w:cs="Times New Roman" w:eastAsia="Times New Roman"/>
        </w:rPr>
        <w:t xml:space="preserve"> o anexo ambiental não tem diretriz para coprocessamento, e a resolução CONAMA aplicável está a confirmar. DEPENDE DE FATO </w:t>
      </w:r>
      <w:r>
        <w:rPr>
          <w:rFonts w:ascii="Times New Roman" w:hAnsi="Times New Roman" w:cs="Times New Roman" w:eastAsia="Times New Roman"/>
          <w:b/>
        </w:rPr>
        <w:t xml:space="preserve">[VALIDAÇÃO TÉCNICA]</w:t>
      </w:r>
      <w:r>
        <w:rPr>
          <w:rFonts w:ascii="Times New Roman" w:hAnsi="Times New Roman" w:cs="Times New Roman" w:eastAsia="Times New Roman"/>
        </w:rPr>
        <w:t xml:space="preserve">.</w:t>
      </w:r>
    </w:p>
    <w:p>
      <w:pPr>
        <w:pStyle w:val="Heading2"/>
        <w:spacing w:before="240" w:after="120"/>
        <w:jc w:val="left"/>
      </w:pPr>
      <w:r>
        <w:rPr>
          <w:rFonts w:ascii="Times New Roman" w:hAnsi="Times New Roman" w:cs="Times New Roman" w:eastAsia="Times New Roman"/>
        </w:rPr>
        <w:t xml:space="preserve">Proxy tarifário e integração com a SABESP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Toda a receita depende de dados de consumo que só a SABESP tem, e não há nos autos nenhum instrumento com ela.</w:t>
      </w:r>
    </w:p>
    <w:p>
      <w:pPr>
        <w:pStyle w:val="ListParagraph"/>
        <w:numPr>
          <w:ilvl w:val="0"/>
          <w:numId w:val="8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b/>
        </w:rPr>
        <w:t xml:space="preserve">Prestadora:</w:t>
      </w:r>
      <w:r>
        <w:rPr>
          <w:rFonts w:ascii="Times New Roman" w:hAnsi="Times New Roman" w:cs="Times New Roman" w:eastAsia="Times New Roman"/>
        </w:rPr>
        <w:t xml:space="preserve"> SABESP nos 16 municípios, pela minuta do PIGIRS (Tabela 42, com dados SNIS-2023, de antes da desestatização). Edital e contrato não a nomeiam.</w:t>
      </w:r>
    </w:p>
    <w:p>
      <w:pPr>
        <w:pStyle w:val="ListParagraph"/>
        <w:numPr>
          <w:ilvl w:val="0"/>
          <w:numId w:val="8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b/>
        </w:rPr>
        <w:t xml:space="preserve">Cofaturamento:</w:t>
      </w:r>
      <w:r>
        <w:rPr>
          <w:rFonts w:ascii="Times New Roman" w:hAnsi="Times New Roman" w:cs="Times New Roman" w:eastAsia="Times New Roman"/>
        </w:rPr>
        <w:t xml:space="preserve"> foi tentado e não saiu (Plano de Negócio, item 4.3). O contrato só prevê um convênio facultativo, a cargo da concessionária; o CONSAÚDE se compromete apenas com "melhores esforços" (Contrato, 7.4.3 e 7.4.4). A lei exige "anuência da prestadora" (art. 35, § 1.º, da Lei n.º 11.445/2007).</w:t>
      </w:r>
    </w:p>
    <w:p>
      <w:pPr>
        <w:pStyle w:val="ListParagraph"/>
        <w:numPr>
          <w:ilvl w:val="0"/>
          <w:numId w:val="8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b/>
        </w:rPr>
        <w:t xml:space="preserve">Cálculo da tarifa:</w:t>
      </w:r>
      <w:r>
        <w:rPr>
          <w:rFonts w:ascii="Times New Roman" w:hAnsi="Times New Roman" w:cs="Times New Roman" w:eastAsia="Times New Roman"/>
        </w:rPr>
        <w:t xml:space="preserve"> consumo médio do ano anterior × tarifa base × fator de uso, com mínimo de 10 m³/mês. A categoria de cada usuário segue o cadastro da prestadora de água, e 42% das economias pagam fator 0,5 (social ou vulnerável).</w:t>
      </w:r>
    </w:p>
    <w:p>
      <w:pPr>
        <w:pStyle w:val="ListParagraph"/>
        <w:numPr>
          <w:ilvl w:val="0"/>
          <w:numId w:val="8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b/>
        </w:rPr>
        <w:t xml:space="preserve">Litoral:</w:t>
      </w:r>
      <w:r>
        <w:rPr>
          <w:rFonts w:ascii="Times New Roman" w:hAnsi="Times New Roman" w:cs="Times New Roman" w:eastAsia="Times New Roman"/>
        </w:rPr>
        <w:t xml:space="preserve"> Itanhaém e Mongaguá têm 61% das economias e consumo médio abaixo do mínimo (8,8 e 7,9 m³/mês). Ali o proxy vira, na prática, cobrança fixa </w:t>
      </w:r>
      <w:r>
        <w:rPr>
          <w:rFonts w:ascii="Times New Roman" w:hAnsi="Times New Roman" w:cs="Times New Roman" w:eastAsia="Times New Roman"/>
          <w:b/>
        </w:rPr>
        <w:t xml:space="preserve">[VALIDAÇÃO TÉCNICA]</w:t>
      </w:r>
      <w:r>
        <w:rPr>
          <w:rFonts w:ascii="Times New Roman" w:hAnsi="Times New Roman" w:cs="Times New Roman" w:eastAsia="Times New Roman"/>
        </w:rP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w="3120" w:type="dxa"/>
            <w:shd w:val="clear" w:color="auto" w:fill="D9D9D9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#</w:t>
            </w:r>
          </w:p>
        </w:tc>
        <w:tc>
          <w:tcPr>
            <w:tcW w:w="3120" w:type="dxa"/>
            <w:shd w:val="clear" w:color="auto" w:fill="D9D9D9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Ponto</w:t>
            </w:r>
          </w:p>
        </w:tc>
        <w:tc>
          <w:tcPr>
            <w:tcW w:w="3120" w:type="dxa"/>
            <w:shd w:val="clear" w:color="auto" w:fill="D9D9D9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Classificação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1</w:t>
            </w:r>
          </w:p>
        </w:tc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Os dados de consumo por 30 anos são obrigação do CONSAÚDE (Contrato, 13, XV, ii), mas a SABESP não está vinculada a nenhum instrumento nos autos</w:t>
            </w:r>
          </w:p>
        </w:tc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DEPENDE DE FATO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2</w:t>
            </w:r>
          </w:p>
        </w:tc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Pela matriz, só o cadastro inicial é risco público (item 36). Risco não listado é da concessionária (Edital, 28.2.3)</w:t>
            </w:r>
          </w:p>
        </w:tc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IRREGULAR (contradição entre obrigação e risco)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3</w:t>
            </w:r>
          </w:p>
        </w:tc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A tarifa social não tem critério, e o contrato remete aos subitens 7.2.2, 7.2.5 e 7.2.6, que não existem</w:t>
            </w:r>
          </w:p>
        </w:tc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IRREGULAR (omissão e erro material)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4</w:t>
            </w:r>
          </w:p>
        </w:tc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Periodicidade do coeficiente de geração: anual no Anexo 6; no ano 2 e depois a cada 5 anos no contrato</w:t>
            </w:r>
          </w:p>
        </w:tc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IRREGULAR (contradição)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5</w:t>
            </w:r>
          </w:p>
        </w:tc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O coeficiente de 3,3570 kg/m³ não fecha com os números publicados, que dão 4,82 kg/m³</w:t>
            </w:r>
          </w:p>
        </w:tc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DEPENDE DE FATO [VALIDAÇÃO TÉCNICA]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6</w:t>
            </w:r>
          </w:p>
        </w:tc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Não há instrumento de compartilhamento de dados pessoais (art. 26, § 1.º, IV, da LGPD)</w:t>
            </w:r>
          </w:p>
        </w:tc>
        <w:tc>
          <w:tcPr>
            <w:tcW w:w="312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DEPENDE DE FATO</w:t>
            </w:r>
          </w:p>
        </w:tc>
      </w:tr>
    </w:tbl>
    <w:p>
      <w:pPr>
        <w:pStyle w:val="Heading2"/>
        <w:spacing w:before="240" w:after="120"/>
        <w:jc w:val="left"/>
      </w:pPr>
      <w:r>
        <w:rPr>
          <w:rFonts w:ascii="Times New Roman" w:hAnsi="Times New Roman" w:cs="Times New Roman" w:eastAsia="Times New Roman"/>
        </w:rPr>
        <w:t xml:space="preserve">Perguntas para levar ao roadshow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São perguntas neutras: pedem esclarecimento sem revelar posição comercial. Na apresentação, falar em "a licitante" e não citar o grupo. As marcadas com ⚠ dependem de decisão comercial antes de serem feitas (ver Reservas).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b/>
        </w:rPr>
        <w:t xml:space="preserve">Rota tecnológica e metas</w:t>
      </w:r>
    </w:p>
    <w:p>
      <w:pPr>
        <w:pStyle w:val="ListParagraph"/>
        <w:numPr>
          <w:ilvl w:val="0"/>
          <w:numId w:val="9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A meta de 51% de desvio do aterro (indicador ID2.3) inclui recuperação energética? Que rota o poder concedente considera para os cerca de 20 pontos além de recicláveis e orgânicos?</w:t>
      </w:r>
    </w:p>
    <w:p>
      <w:pPr>
        <w:pStyle w:val="ListParagraph"/>
        <w:numPr>
          <w:ilvl w:val="0"/>
          <w:numId w:val="9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O Relatório de Estudo de Engenharia, com o balanço de massa da rota de referência, será publicado?</w:t>
      </w:r>
    </w:p>
    <w:p>
      <w:pPr>
        <w:pStyle w:val="ListParagraph"/>
        <w:numPr>
          <w:ilvl w:val="0"/>
          <w:numId w:val="9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Para as metas, vale o prazo do Caderno (tratamento em 48 meses) ou o cronograma do Plano (biometanização nos anos 10 e 14)?</w:t>
      </w:r>
    </w:p>
    <w:p>
      <w:pPr>
        <w:pStyle w:val="ListParagraph"/>
        <w:numPr>
          <w:ilvl w:val="0"/>
          <w:numId w:val="9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Na tabela de metas, "2036" e "2040" são anos do calendário ou do contrato? Qual meta vale nos anos intermediários?</w:t>
      </w:r>
    </w:p>
    <w:p>
      <w:pPr>
        <w:pStyle w:val="ListParagraph"/>
        <w:numPr>
          <w:ilvl w:val="0"/>
          <w:numId w:val="9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A versão final do PIGIRS vai admitir CDR e coprocessamento como rota de tratamento?</w:t>
      </w:r>
    </w:p>
    <w:p>
      <w:pPr>
        <w:pStyle w:val="ListParagraph"/>
        <w:numPr>
          <w:ilvl w:val="0"/>
          <w:numId w:val="9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⚠ Há tratativa ou carta de intenção com a cimenteira de Cajati para receber o CDR? Em que condições?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b/>
        </w:rPr>
        <w:t xml:space="preserve">Proxy tarifário e SABESP</w:t>
      </w:r>
    </w:p>
    <w:p>
      <w:pPr>
        <w:pStyle w:val="ListParagraph"/>
        <w:numPr>
          <w:ilvl w:val="0"/>
          <w:numId w:val="10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Que instrumento garantirá o envio contínuo, pela SABESP, do consumo por ligação durante os 30 anos?</w:t>
      </w:r>
    </w:p>
    <w:p>
      <w:pPr>
        <w:pStyle w:val="ListParagraph"/>
        <w:numPr>
          <w:ilvl w:val="0"/>
          <w:numId w:val="10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Se a SABESP deixar de fornecer esses dados depois do cadastro inicial, quem arca com o risco?</w:t>
      </w:r>
    </w:p>
    <w:p>
      <w:pPr>
        <w:pStyle w:val="ListParagraph"/>
        <w:numPr>
          <w:ilvl w:val="0"/>
          <w:numId w:val="10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Quais são os critérios da tarifa social e da vulnerável, e de que cadastro saem? Onde estão os subitens 7.2.2, 7.2.5 e 7.2.6 do contrato?</w:t>
      </w:r>
    </w:p>
    <w:p>
      <w:pPr>
        <w:pStyle w:val="ListParagraph"/>
        <w:numPr>
          <w:ilvl w:val="0"/>
          <w:numId w:val="10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Qual é a memória de cálculo do coeficiente de geração de 3,3570 kg/m³?</w:t>
      </w:r>
    </w:p>
    <w:p>
      <w:pPr>
        <w:pStyle w:val="ListParagraph"/>
        <w:numPr>
          <w:ilvl w:val="0"/>
          <w:numId w:val="10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A SABESP foi consultada sobre cofaturamento depois da desestatização?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b/>
        </w:rPr>
        <w:t xml:space="preserve">Habilitação e documentos</w:t>
      </w:r>
    </w:p>
    <w:p>
      <w:pPr>
        <w:pStyle w:val="ListParagraph"/>
        <w:numPr>
          <w:ilvl w:val="0"/>
          <w:numId w:val="11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Qual ano e qual tipo de resíduo são a base da "massa anual estimada" para os atestados de coleta e de aterro?</w:t>
      </w:r>
    </w:p>
    <w:p>
      <w:pPr>
        <w:pStyle w:val="ListParagraph"/>
        <w:numPr>
          <w:ilvl w:val="0"/>
          <w:numId w:val="11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Em consórcio, os patrimônios líquidos das consorciadas se somam para chegar aos R$ 52,4 milhões?</w:t>
      </w:r>
    </w:p>
    <w:p>
      <w:pPr>
        <w:pStyle w:val="ListParagraph"/>
        <w:numPr>
          <w:ilvl w:val="0"/>
          <w:numId w:val="11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Para atestados de consórcio anterior, vale a participação naquele consórcio ou no atual?</w:t>
      </w:r>
    </w:p>
    <w:p>
      <w:pPr>
        <w:pStyle w:val="ListParagraph"/>
        <w:numPr>
          <w:ilvl w:val="0"/>
          <w:numId w:val="11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Quais municípios aderiram à disposição final do lixo público?</w:t>
      </w:r>
    </w:p>
    <w:p>
      <w:pPr>
        <w:pStyle w:val="ListParagraph"/>
        <w:numPr>
          <w:ilvl w:val="0"/>
          <w:numId w:val="11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Por que Eldorado não aparece na tabela de unidades de triagem do Caderno?</w:t>
      </w:r>
    </w:p>
    <w:p>
      <w:pPr>
        <w:pStyle w:val="ListParagraph"/>
        <w:numPr>
          <w:ilvl w:val="0"/>
          <w:numId w:val="11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Quando sairão o convênio com a ARSESP e o manual da B3?</w:t>
      </w:r>
    </w:p>
    <w:p>
      <w:pPr>
        <w:pStyle w:val="Heading2"/>
        <w:spacing w:before="240" w:after="120"/>
        <w:jc w:val="left"/>
      </w:pPr>
      <w:r>
        <w:rPr>
          <w:rFonts w:ascii="Times New Roman" w:hAnsi="Times New Roman" w:cs="Times New Roman" w:eastAsia="Times New Roman"/>
        </w:rPr>
        <w:t xml:space="preserve">Reservas: o que não levar ao roadshow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b/>
        </w:rPr>
        <w:t xml:space="preserve">[RESERVA — NÃO LEVAR AO ROADSHOW NEM PROTOCOLAR]</w:t>
      </w:r>
      <w:r>
        <w:rPr>
          <w:rFonts w:ascii="Times New Roman" w:hAnsi="Times New Roman" w:cs="Times New Roman" w:eastAsia="Times New Roman"/>
        </w:rPr>
        <w:t xml:space="preserve"> São pontos que podem favorecer o grupo. Levantar qualquer um deles é decisão da gerência, não da equipe em campo.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w="2340" w:type="dxa"/>
            <w:shd w:val="clear" w:color="auto" w:fill="D9D9D9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#</w:t>
            </w:r>
          </w:p>
        </w:tc>
        <w:tc>
          <w:tcPr>
            <w:tcW w:w="2340" w:type="dxa"/>
            <w:shd w:val="clear" w:color="auto" w:fill="D9D9D9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Ponto</w:t>
            </w:r>
          </w:p>
        </w:tc>
        <w:tc>
          <w:tcPr>
            <w:tcW w:w="2340" w:type="dxa"/>
            <w:shd w:val="clear" w:color="auto" w:fill="D9D9D9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Por que reservar</w:t>
            </w:r>
          </w:p>
        </w:tc>
        <w:tc>
          <w:tcPr>
            <w:tcW w:w="2340" w:type="dxa"/>
            <w:shd w:val="clear" w:color="auto" w:fill="D9D9D9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Roteamento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R1</w:t>
            </w:r>
          </w:p>
        </w:tc>
        <w:tc>
          <w:tcPr>
            <w:tcW w:w="234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Atestados de aterro (50% da massa, 2 anos contínuos) e R$ 201,6 milhões em investimento</w:t>
            </w:r>
          </w:p>
        </w:tc>
        <w:tc>
          <w:tcPr>
            <w:tcW w:w="234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Restringem o universo de concorrentes. Questionar o "2 anos contínuos" ajuda quem não cumpre</w:t>
            </w:r>
          </w:p>
        </w:tc>
        <w:tc>
          <w:tcPr>
            <w:tcW w:w="234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DECISÃO COMERCIAL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R2</w:t>
            </w:r>
          </w:p>
        </w:tc>
        <w:tc>
          <w:tcPr>
            <w:tcW w:w="234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Atestado de subcontratada especialista</w:t>
            </w:r>
          </w:p>
        </w:tc>
        <w:tc>
          <w:tcPr>
            <w:tcW w:w="234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Abre a disputa para investidores sem operação própria; o mesmo mecanismo pode servir ao grupo como subcontratado</w:t>
            </w:r>
          </w:p>
        </w:tc>
        <w:tc>
          <w:tcPr>
            <w:tcW w:w="234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DECISÃO COMERCIAL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R3</w:t>
            </w:r>
          </w:p>
        </w:tc>
        <w:tc>
          <w:tcPr>
            <w:tcW w:w="234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R$ 88 milhões de capital antes da assinatura e aterro operando na Ordem de Serviço</w:t>
            </w:r>
          </w:p>
        </w:tc>
        <w:tc>
          <w:tcPr>
            <w:tcW w:w="234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Pesam mais para quem não tem caixa nem aterro na região</w:t>
            </w:r>
          </w:p>
        </w:tc>
        <w:tc>
          <w:tcPr>
            <w:tcW w:w="234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DECISÃO COMERCIAL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R4</w:t>
            </w:r>
          </w:p>
        </w:tc>
        <w:tc>
          <w:tcPr>
            <w:tcW w:w="234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Tarifa-teto calculada com receita zero de energia, biogás, CDR e carbono; 95% dessas receitas ficam com a concessionária</w:t>
            </w:r>
          </w:p>
        </w:tc>
        <w:tc>
          <w:tcPr>
            <w:tcW w:w="234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Margem não precificada, ou espaço para ofertar K menor</w:t>
            </w:r>
          </w:p>
        </w:tc>
        <w:tc>
          <w:tcPr>
            <w:tcW w:w="234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RESERVA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R5</w:t>
            </w:r>
          </w:p>
        </w:tc>
        <w:tc>
          <w:tcPr>
            <w:tcW w:w="234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O indicador ID2.3 diz "igual ou inferior à meta", o oposto do que a fórmula mede</w:t>
            </w:r>
          </w:p>
        </w:tc>
        <w:tc>
          <w:tcPr>
            <w:tcW w:w="234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Lido literalmente, favorece a concessionária; perguntar tende a corrigir para o lado mais exigente</w:t>
            </w:r>
          </w:p>
        </w:tc>
        <w:tc>
          <w:tcPr>
            <w:tcW w:w="234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RESERVA (alternativa: esclarecimento)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R6</w:t>
            </w:r>
          </w:p>
        </w:tc>
        <w:tc>
          <w:tcPr>
            <w:tcW w:w="234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Dependência de uma única cimenteira para o CDR</w:t>
            </w:r>
          </w:p>
        </w:tc>
        <w:tc>
          <w:tcPr>
            <w:tcW w:w="234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Favorece quem já tem acordo com ela ou tecnologia térmica própria. Por isso a pergunta 6 depende desta decisão</w:t>
            </w:r>
          </w:p>
        </w:tc>
        <w:tc>
          <w:tcPr>
            <w:tcW w:w="234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DECISÃO COMERCIAL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R7</w:t>
            </w:r>
          </w:p>
        </w:tc>
        <w:tc>
          <w:tcPr>
            <w:tcW w:w="234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Fatura própria e cobrança direta</w:t>
            </w:r>
          </w:p>
        </w:tc>
        <w:tc>
          <w:tcPr>
            <w:tcW w:w="234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Favorecem quem já opera cobrança direta de lixo ou tem relação com a SABESP</w:t>
            </w:r>
          </w:p>
        </w:tc>
        <w:tc>
          <w:tcPr>
            <w:tcW w:w="2340" w:type="dxa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DECISÃO COMERCIAL</w:t>
            </w:r>
          </w:p>
        </w:tc>
      </w:tr>
    </w:tbl>
    <w:p>
      <w:pPr>
        <w:pStyle w:val="Heading2"/>
        <w:spacing w:before="240" w:after="120"/>
        <w:jc w:val="left"/>
      </w:pPr>
      <w:r>
        <w:rPr>
          <w:rFonts w:ascii="Times New Roman" w:hAnsi="Times New Roman" w:cs="Times New Roman" w:eastAsia="Times New Roman"/>
        </w:rPr>
        <w:t xml:space="preserve">Próximos passos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O prazo que governa tudo é o fim da consulta pública, em </w:t>
      </w:r>
      <w:r>
        <w:rPr>
          <w:rFonts w:ascii="Times New Roman" w:hAnsi="Times New Roman" w:cs="Times New Roman" w:eastAsia="Times New Roman"/>
        </w:rPr>
        <w:t>24/10/2026</w:t>
      </w:r>
      <w:r>
        <w:rPr>
          <w:rFonts w:ascii="Times New Roman" w:hAnsi="Times New Roman" w:cs="Times New Roman" w:eastAsia="Times New Roman"/>
        </w:rPr>
        <w:t xml:space="preserve">.</w:t>
      </w:r>
    </w:p>
    <w:p>
      <w:pPr>
        <w:pStyle w:val="ListParagraph"/>
        <w:numPr>
          <w:ilvl w:val="0"/>
          <w:numId w:val="12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☐ Gerência decide as reservas R1 a R7 e libera, ou não, a pergunta 6, antes do roadshow</w:t>
      </w:r>
    </w:p>
    <w:p>
      <w:pPr>
        <w:pStyle w:val="ListParagraph"/>
        <w:numPr>
          <w:ilvl w:val="0"/>
          <w:numId w:val="12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☐ Registrar por escrito as respostas dadas no roadshow</w:t>
      </w:r>
    </w:p>
    <w:p>
      <w:pPr>
        <w:pStyle w:val="ListParagraph"/>
        <w:numPr>
          <w:ilvl w:val="0"/>
          <w:numId w:val="12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☐ Selecionar os pontos que viram contribuição à consulta pública e redigi-las</w:t>
      </w:r>
    </w:p>
    <w:p>
      <w:pPr>
        <w:pStyle w:val="ListParagraph"/>
        <w:numPr>
          <w:ilvl w:val="0"/>
          <w:numId w:val="12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☐ Pedir ao CONSAÚDE: Estudo de Engenharia, Nota Técnica Conjunta 001/2024, PIGIRS final, tratativas com a SABESP e com a cimenteira, memória do coeficiente de geração, convênio ARSESP e manual da B3</w:t>
      </w:r>
    </w:p>
    <w:p>
      <w:pPr>
        <w:pStyle w:val="ListParagraph"/>
        <w:numPr>
          <w:ilvl w:val="0"/>
          <w:numId w:val="12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☐ Engenharia validar: se a meta de 51% é atingível com CDR, a capacidade das unidades de triagem e o efeito do consumo mínimo no litoral</w:t>
      </w:r>
    </w:p>
    <w:p>
      <w:pPr>
        <w:pStyle w:val="ListParagraph"/>
        <w:numPr>
          <w:ilvl w:val="0"/>
          <w:numId w:val="12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☐ Verificar os contratos da SABESP com os 16 municípios após a desestatização (cláusulas de dados e de cobrança de terceiros)</w:t>
      </w:r>
    </w:p>
    <w:p>
      <w:pPr>
        <w:pStyle w:val="ListParagraph"/>
        <w:numPr>
          <w:ilvl w:val="0"/>
          <w:numId w:val="12"/>
        </w:num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☐ Pesquisar jurisprudência (TCE-SP e TCU) só para os pontos selecionados, quando o edital for publicado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</w:rPr>
        <w:t xml:space="preserve">Base: memos internos 02 a 05 em </w:t>
      </w:r>
      <w:r>
        <w:rPr>
          <w:rStyle w:val="CodeChar"/>
        </w:rPr>
        <w:t xml:space="preserve">concessoes/consaude-conc-2026/output/</w:t>
      </w:r>
      <w:r>
        <w:rPr>
          <w:rFonts w:ascii="Times New Roman" w:hAnsi="Times New Roman" w:cs="Times New Roman" w:eastAsia="Times New Roman"/>
        </w:rPr>
        <w:t xml:space="preserve"> e documentos do certame em </w:t>
      </w:r>
      <w:r>
        <w:rPr>
          <w:rStyle w:val="CodeChar"/>
        </w:rPr>
        <w:t xml:space="preserve">docs/</w:t>
      </w:r>
      <w:r>
        <w:rPr>
          <w:rFonts w:ascii="Times New Roman" w:hAnsi="Times New Roman" w:cs="Times New Roman" w:eastAsia="Times New Roman"/>
        </w:rPr>
        <w:t xml:space="preserve">. Nenhuma jurisprudência foi pesquisada para este briefing.</w:t>
      </w:r>
    </w:p>
    <w:sectPr>
      <w:pgSz w:w="11906" w:h="16838"/>
      <w:pgMar w:top="1417" w:right="1417" w:bottom="1417" w:left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7"/>
    </w:lvlOverride>
  </w:num>
  <w:num w:numId="11">
    <w:abstractNumId w:val="1"/>
    <w:lvlOverride w:ilvl="0">
      <w:startOverride w:val="12"/>
    </w:lvlOverride>
  </w:num>
  <w:num w:numId="1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rPr>
      <w:rFonts w:ascii="Times New Roman" w:hAnsi="Times New Roman" w:cs="Times New Roman" w:eastAsia="Times New Roman"/>
      <w:sz w:val="2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Times New Roman" w:hAnsi="Times New Roman" w:cs="Times New Roman" w:eastAsia="Times New Roman"/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rFonts w:ascii="Times New Roman" w:hAnsi="Times New Roman" w:cs="Times New Roman" w:eastAsia="Times New Roman"/>
      <w:b/>
      <w:sz w:val="28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rFonts w:ascii="Times New Roman" w:hAnsi="Times New Roman" w:cs="Times New Roman" w:eastAsia="Times New Roman"/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Times New Roman" w:hAnsi="Times New Roman" w:cs="Times New Roman" w:eastAsia="Times New Roman"/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Times New Roman" w:hAnsi="Times New Roman" w:cs="Times New Roman" w:eastAsia="Times New Roman"/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Times New Roman" w:hAnsi="Times New Roman" w:cs="Times New Roman" w:eastAsia="Times New Roman"/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rFonts w:ascii="Times New Roman" w:hAnsi="Times New Roman" w:cs="Times New Roman" w:eastAsia="Times New Roman"/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rFonts w:ascii="Times New Roman" w:hAnsi="Times New Roman" w:cs="Times New Roman" w:eastAsia="Times New Roman"/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  <w:rPr>
      <w:rFonts w:ascii="Times New Roman" w:hAnsi="Times New Roman" w:cs="Times New Roman" w:eastAsia="Times New Roman"/>
    </w:rPr>
  </w:style>
  <w:style w:type="character" w:styleId="Hyperlink">
    <w:name w:val="Hyperlink"/>
    <w:rPr>
      <w:rFonts w:ascii="Times New Roman" w:hAnsi="Times New Roman" w:cs="Times New Roman" w:eastAsia="Times New Roman"/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rFonts w:ascii="Times New Roman" w:hAnsi="Times New Roman" w:cs="Times New Roman" w:eastAsia="Times New Roman"/>
      <w:sz w:val="20"/>
      <w:szCs w:val="20"/>
    </w:rPr>
  </w:style>
  <w:style w:type="character" w:styleId="CommentReference">
    <w:name w:val="annotation reference"/>
    <w:rPr>
      <w:rFonts w:ascii="Times New Roman" w:hAnsi="Times New Roman" w:cs="Times New Roman" w:eastAsia="Times New Roman"/>
      <w:sz w:val="16"/>
      <w:szCs w:val="16"/>
    </w:rPr>
  </w:style>
  <w:style w:type="table" w:default="1" w:styleId="TableNormal">
    <w:name w:val="Normal Table"/>
    <w:rPr>
      <w:rFonts w:ascii="Times New Roman" w:hAnsi="Times New Roman" w:cs="Times New Roman" w:eastAsia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Pr>
      <w:rFonts w:ascii="Times New Roman" w:hAnsi="Times New Roman" w:cs="Times New Roman"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Concessão RSU CONSAÚDE — Briefing para o roadshow</dc:title>
  <dc:description>Claude Docs node/922cd20b-8a54@9 docx-w6</dc:description>
  <cp:revision>9</cp:revision>
</cp:coreProperties>
</file>