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26164b6ad42ccf4889c2b4d2dfb757b9b0db235"/>
    <w:p>
      <w:pPr>
        <w:pStyle w:val="Heading1"/>
      </w:pPr>
      <w:r>
        <w:t xml:space="preserve">[USO INTERNO] Consórcio AMSA (Maciço de Baturité/CE) — estrutura jurídica do modelo de destinação final regional</w:t>
      </w:r>
    </w:p>
    <w:p>
      <w:pPr>
        <w:pStyle w:val="FirstParagraph"/>
      </w:pPr>
      <w:r>
        <w:rPr>
          <w:bCs/>
          <w:b/>
        </w:rPr>
        <w:t xml:space="preserve">Memo interno</w:t>
      </w:r>
      <w:r>
        <w:t xml:space="preserve"> </w:t>
      </w:r>
      <w:r>
        <w:t xml:space="preserve">· 8 de setembro de 2026</w:t>
      </w:r>
    </w:p>
    <w:p>
      <w:pPr>
        <w:pStyle w:val="BodyText"/>
      </w:pPr>
      <w:r>
        <w:rPr>
          <w:bCs/>
          <w:b/>
        </w:rPr>
        <w:t xml:space="preserve">Assunto:</w:t>
      </w:r>
      <w:r>
        <w:t xml:space="preserve"> </w:t>
      </w:r>
      <w:r>
        <w:t xml:space="preserve">estrutura jurídica do modelo em que o Consórcio AMSA contrata, em nome próprio, uma única unidade de destinação final para os resíduos sólidos urbanos de todos os consorciados. O custeio vem da cota mensal do contrato de rateio, que passa a compreender uma franquia de destinação igual para todos, e da cota extra cobrada de cada município pelo volume que exceder a franquia. A relação com cada município se dá por contrato de programa.</w:t>
      </w:r>
    </w:p>
    <w:p>
      <w:pPr>
        <w:pStyle w:val="BodyText"/>
      </w:pPr>
      <w:r>
        <w:rPr>
          <w:bCs/>
          <w:b/>
        </w:rPr>
        <w:t xml:space="preserve">Escopo:</w:t>
      </w:r>
      <w:r>
        <w:t xml:space="preserve"> </w:t>
      </w:r>
      <w:r>
        <w:t xml:space="preserve">partes, instrumentos, objeto de cada vínculo e mecânica de funcionamento. Valores, quantidades e percentuais ficam para a precificação. A unidade de destinação é referida como</w:t>
      </w:r>
      <w:r>
        <w:t xml:space="preserve"> </w:t>
      </w:r>
      <w:r>
        <w:t xml:space="preserve">“</w:t>
      </w:r>
      <w:r>
        <w:t xml:space="preserve">a unidade contratada</w:t>
      </w:r>
      <w:r>
        <w:t xml:space="preserve">”</w:t>
      </w:r>
      <w:r>
        <w:t xml:space="preserve">.</w:t>
      </w:r>
    </w:p>
    <w:p>
      <w:r>
        <w:pict>
          <v:rect style="width:0;height:1.5pt" o:hralign="center" o:hrstd="t" o:hr="t"/>
        </w:pict>
      </w:r>
    </w:p>
    <w:bookmarkStart w:id="20" w:name="objeto"/>
    <w:p>
      <w:pPr>
        <w:pStyle w:val="Heading2"/>
      </w:pPr>
      <w:r>
        <w:t xml:space="preserve">1. Objeto</w:t>
      </w:r>
    </w:p>
    <w:p>
      <w:pPr>
        <w:pStyle w:val="FirstParagraph"/>
      </w:pPr>
      <w:r>
        <w:t xml:space="preserve">Descrever a arquitetura jurídica completa do modelo: as premissas, os instrumentos que o compõem, o que cada um regula, como a franquia e a cota extra funcionam, e o que cada ente deve fazer para implantá-lo.</w:t>
      </w:r>
    </w:p>
    <w:bookmarkEnd w:id="20"/>
    <w:bookmarkStart w:id="21" w:name="premissas"/>
    <w:p>
      <w:pPr>
        <w:pStyle w:val="Heading2"/>
      </w:pPr>
      <w:r>
        <w:t xml:space="preserve">2. Premissas</w:t>
      </w:r>
    </w:p>
    <w:p>
      <w:pPr>
        <w:pStyle w:val="FirstParagraph"/>
      </w:pPr>
      <w:r>
        <w:t xml:space="preserve">2.1. A AMSA é associação pública de natureza autárquica, integrante da administração indireta de todos os consorciados (art. 1.º, § 1.º, e art. 6.º, § 1.º, da Lei n.º 11.107/2005; cláusula 4.ª do Contrato de Consórcio), sujeita às normas de direito público em licitações, contratos, prestação de contas e execução orçamentária (art. 6.º, § 2.º, e art. 9.º da mesma lei).</w:t>
      </w:r>
    </w:p>
    <w:p>
      <w:pPr>
        <w:pStyle w:val="BodyText"/>
      </w:pPr>
      <w:r>
        <w:t xml:space="preserve">2.2. Os municípios autorizaram a gestão associada dos serviços de limpeza urbana e manejo de resíduos sólidos (art. 241 da Constituição Federal; cláusula 8.ª), transferindo ao Consórcio o exercício das competências de planejamento (cláusula 10.ª) e à entidade reguladora as de regulação e fiscalização (cláusula 11.ª), na forma do art. 4.º, inciso XI, da Lei n.º 11.107/2005 e do art. 8.º, § 1.º, da Lei n.º 11.445/2007. A titularidade permanece com cada município (art. 8.º, inciso I, da Lei n.º 11.445/2007; art. 10 da Lei n.º 12.305/2010), que continua responsável pela coleta e pelo transporte dos seus resíduos até a unidade contratada.</w:t>
      </w:r>
    </w:p>
    <w:p>
      <w:pPr>
        <w:pStyle w:val="BodyText"/>
      </w:pPr>
      <w:r>
        <w:t xml:space="preserve">2.3. O planejamento regional integrado, elaborado e homologado pelo Consórcio, vincula os consorciados quanto à localização de instalações, opções tecnológicas, entes reguladores e modalidades de prestação (cláusula 8.ª, § 1.º; Anexo II, arts. 3.º e 4.º). Entre as modalidades admitidas está a prestação por contrato de programa em que o Consórcio figura como prestador (cláusula 8.ª, § 3.º, alínea</w:t>
      </w:r>
      <w:r>
        <w:t xml:space="preserve"> </w:t>
      </w:r>
      <w:r>
        <w:t xml:space="preserve">“</w:t>
      </w:r>
      <w:r>
        <w:t xml:space="preserve">b</w:t>
      </w:r>
      <w:r>
        <w:t xml:space="preserve">”</w:t>
      </w:r>
      <w:r>
        <w:t xml:space="preserve">; cláusulas 7.ª, inciso II, e 50.ª, inciso I), executando o serviço</w:t>
      </w:r>
      <w:r>
        <w:t xml:space="preserve"> </w:t>
      </w:r>
      <w:r>
        <w:t xml:space="preserve">“</w:t>
      </w:r>
      <w:r>
        <w:t xml:space="preserve">por meios próprios ou sob sua gestão administrativa ou contratual</w:t>
      </w:r>
      <w:r>
        <w:t xml:space="preserve">”</w:t>
      </w:r>
      <w:r>
        <w:t xml:space="preserve">.</w:t>
      </w:r>
    </w:p>
    <w:p>
      <w:pPr>
        <w:pStyle w:val="BodyText"/>
      </w:pPr>
      <w:r>
        <w:t xml:space="preserve">2.4. Os consorciados só entregam recursos ao Consórcio por contrato de rateio ou por contrato de prestação de serviços a valores de mercado (art. 8.º da Lei n.º 11.107/2005; cláusula 53.ª). Serviço prestado pelo Consórcio a um ente determinado é contratado e custeado por esse ente,</w:t>
      </w:r>
      <w:r>
        <w:t xml:space="preserve"> </w:t>
      </w:r>
      <w:r>
        <w:t xml:space="preserve">“</w:t>
      </w:r>
      <w:r>
        <w:t xml:space="preserve">de forma a impedir que sejam eles custeados pelos demais</w:t>
      </w:r>
      <w:r>
        <w:t xml:space="preserve">”</w:t>
      </w:r>
      <w:r>
        <w:t xml:space="preserve"> </w:t>
      </w:r>
      <w:r>
        <w:t xml:space="preserve">(art. 18, parágrafo único, do Decreto n.º 6.017/2007). A contratação do Consórcio pelo consorciado dispensa licitação (art. 2.º, § 1.º, inciso III, da Lei n.º 11.107/2005; art. 18, caput, do Decreto n.º 6.017/2007).</w:t>
      </w:r>
    </w:p>
    <w:p>
      <w:pPr>
        <w:pStyle w:val="BodyText"/>
      </w:pPr>
      <w:r>
        <w:t xml:space="preserve">2.5. A solução regional atende à ordem de prioridade e ao prazo da Política Nacional de Resíduos Sólidos (arts. 9.º e 54, inciso IV, da Lei n.º 12.305/2010) e à prioridade legal das soluções consorciadas (art. 18, § 1.º, inciso I, da mesma lei; art. 11, parágrafo único, da Lei Estadual n.º 16.032/2016</w:t>
      </w:r>
      <w:r>
        <w:t xml:space="preserve"> </w:t>
      </w:r>
      <w:r>
        <w:rPr>
          <w:rStyle w:val="VerbatimChar"/>
        </w:rPr>
        <w:t xml:space="preserve">[VIT]</w:t>
      </w:r>
      <w:r>
        <w:t xml:space="preserve">).</w:t>
      </w:r>
    </w:p>
    <w:bookmarkEnd w:id="21"/>
    <w:bookmarkStart w:id="29" w:name="estrutura"/>
    <w:p>
      <w:pPr>
        <w:pStyle w:val="Heading2"/>
      </w:pPr>
      <w:r>
        <w:t xml:space="preserve">3. Estrutura</w:t>
      </w:r>
    </w:p>
    <w:bookmarkStart w:id="22" w:name="X53da658c013d3875ec82d6a2e6500271be763b0"/>
    <w:p>
      <w:pPr>
        <w:pStyle w:val="Heading3"/>
      </w:pPr>
      <w:r>
        <w:t xml:space="preserve">3.1. Contrato entre a AMSA e a unidade contratada</w:t>
      </w:r>
    </w:p>
    <w:p>
      <w:pPr>
        <w:numPr>
          <w:ilvl w:val="0"/>
          <w:numId w:val="1001"/>
        </w:numPr>
        <w:pStyle w:val="Compact"/>
      </w:pPr>
      <w:r>
        <w:rPr>
          <w:bCs/>
          <w:b/>
        </w:rPr>
        <w:t xml:space="preserve">Partes e objeto.</w:t>
      </w:r>
      <w:r>
        <w:t xml:space="preserve"> </w:t>
      </w:r>
      <w:r>
        <w:t xml:space="preserve">A AMSA, em nome próprio e na condição de prestadora dos contratos de programa (cláusula 50.ª, inciso I), contrata unidade licenciada para o recebimento, o tratamento e a destinação final dos resíduos sólidos urbanos dos municípios consorciados, transportados por eles até a unidade.</w:t>
      </w:r>
    </w:p>
    <w:p>
      <w:pPr>
        <w:numPr>
          <w:ilvl w:val="0"/>
          <w:numId w:val="1001"/>
        </w:numPr>
        <w:pStyle w:val="Compact"/>
      </w:pPr>
      <w:r>
        <w:rPr>
          <w:bCs/>
          <w:b/>
        </w:rPr>
        <w:t xml:space="preserve">Forma de contratação.</w:t>
      </w:r>
      <w:r>
        <w:t xml:space="preserve"> </w:t>
      </w:r>
      <w:r>
        <w:t xml:space="preserve">Lei n.º 14.133/2021, a partir do estudo técnico preliminar (art. 18). A forma depende dos fatos apurados: havendo pluralidade de unidades aptas na área de viabilidade definida pelo plano regional, licitação ou credenciamento em condições padronizadas e preço fixado pelo Consórcio (art. 74, inciso IV, e art. 79, inciso I); havendo uma só, inexigibilidade por inviabilidade de competição (art. 74, caput e § 1.º), com a instrução do art. 72 e a justificativa de preço do art. 23, § 4.º.</w:t>
      </w:r>
    </w:p>
    <w:p>
      <w:pPr>
        <w:numPr>
          <w:ilvl w:val="0"/>
          <w:numId w:val="1001"/>
        </w:numPr>
        <w:pStyle w:val="Compact"/>
      </w:pPr>
      <w:r>
        <w:rPr>
          <w:bCs/>
          <w:b/>
        </w:rPr>
        <w:t xml:space="preserve">Regime.</w:t>
      </w:r>
      <w:r>
        <w:t xml:space="preserve"> </w:t>
      </w:r>
      <w:r>
        <w:t xml:space="preserve">Preço unitário por tonelada efetivamente recebida (art. 6.º, inciso XXVIII). Quantidade estimada igual à soma das franquias mensais mais o excedente previsto</w:t>
      </w:r>
      <w:r>
        <w:t xml:space="preserve"> </w:t>
      </w:r>
      <w:r>
        <w:rPr>
          <w:rStyle w:val="VerbatimChar"/>
        </w:rPr>
        <w:t xml:space="preserve">[VALIDAÇÃO TÉCNICA]</w:t>
      </w:r>
      <w:r>
        <w:t xml:space="preserve">. Critérios e periodicidade da medição, prazo de liquidação e pagamento, data-base e periodicidade do reajuste (art. 92, incisos V e VI). Acréscimos e supressões nos limites do art. 125. Serviço contínuo, prorrogável até o limite decenal (arts. 106 e 107). Divulgação no Portal Nacional de Contratações Públicas como condição de eficácia (art. 94).</w:t>
      </w:r>
    </w:p>
    <w:p>
      <w:pPr>
        <w:numPr>
          <w:ilvl w:val="0"/>
          <w:numId w:val="1001"/>
        </w:numPr>
        <w:pStyle w:val="Compact"/>
      </w:pPr>
      <w:r>
        <w:rPr>
          <w:bCs/>
          <w:b/>
        </w:rPr>
        <w:t xml:space="preserve">Medição.</w:t>
      </w:r>
      <w:r>
        <w:t xml:space="preserve"> </w:t>
      </w:r>
      <w:r>
        <w:t xml:space="preserve">A unidade pesa e registra cada carga com município de origem, data, hora e peso, e emite relatório mensal por município. Parâmetros: art. 28 da Norma de Referência n.º 7/2024 da ANA (Resolução ANA n.º 187/2024), que impõe esse registro nas unidades de transbordo, e art. 23, inciso V, da Lei n.º 11.445/2007, que atribui ao regulador as normas de medição, faturamento e cobrança.</w:t>
      </w:r>
    </w:p>
    <w:p>
      <w:pPr>
        <w:numPr>
          <w:ilvl w:val="0"/>
          <w:numId w:val="1001"/>
        </w:numPr>
        <w:pStyle w:val="Compact"/>
      </w:pPr>
      <w:r>
        <w:rPr>
          <w:bCs/>
          <w:b/>
        </w:rPr>
        <w:t xml:space="preserve">Garantias.</w:t>
      </w:r>
      <w:r>
        <w:t xml:space="preserve"> </w:t>
      </w:r>
      <w:r>
        <w:t xml:space="preserve">Garantia contratual prestada pela unidade (art. 96) e conta garantidora constituída pelo Consórcio, descrita no item 3.6.</w:t>
      </w:r>
    </w:p>
    <w:p>
      <w:pPr>
        <w:numPr>
          <w:ilvl w:val="0"/>
          <w:numId w:val="1001"/>
        </w:numPr>
        <w:pStyle w:val="Compact"/>
      </w:pPr>
      <w:r>
        <w:rPr>
          <w:bCs/>
          <w:b/>
        </w:rPr>
        <w:t xml:space="preserve">Vínculo.</w:t>
      </w:r>
      <w:r>
        <w:t xml:space="preserve"> </w:t>
      </w:r>
      <w:r>
        <w:t xml:space="preserve">A unidade contratada tem um único credor pelo serviço e um único devedor pelo preço: a AMSA. Não há relação contratual entre a unidade e os municípios.</w:t>
      </w:r>
    </w:p>
    <w:bookmarkEnd w:id="22"/>
    <w:bookmarkStart w:id="23" w:name="X219685e3b9d5596be11e3d73e33a3804055806a"/>
    <w:p>
      <w:pPr>
        <w:pStyle w:val="Heading3"/>
      </w:pPr>
      <w:r>
        <w:t xml:space="preserve">3.2. Contrato de programa entre cada município e a AMSA</w:t>
      </w:r>
    </w:p>
    <w:p>
      <w:pPr>
        <w:numPr>
          <w:ilvl w:val="0"/>
          <w:numId w:val="1002"/>
        </w:numPr>
        <w:pStyle w:val="Compact"/>
      </w:pPr>
      <w:r>
        <w:rPr>
          <w:bCs/>
          <w:b/>
        </w:rPr>
        <w:t xml:space="preserve">Exigência.</w:t>
      </w:r>
      <w:r>
        <w:t xml:space="preserve"> </w:t>
      </w:r>
      <w:r>
        <w:t xml:space="preserve">As obrigações que cada município constitui para com o Consórcio, em gestão associada com prestação de serviço, devem ser reguladas por contrato de programa,</w:t>
      </w:r>
      <w:r>
        <w:t xml:space="preserve"> </w:t>
      </w:r>
      <w:r>
        <w:t xml:space="preserve">“</w:t>
      </w:r>
      <w:r>
        <w:t xml:space="preserve">como condição de sua validade</w:t>
      </w:r>
      <w:r>
        <w:t xml:space="preserve">”</w:t>
      </w:r>
      <w:r>
        <w:t xml:space="preserve"> </w:t>
      </w:r>
      <w:r>
        <w:t xml:space="preserve">(art. 13, caput, da Lei n.º 11.107/2005; art. 30 do Decreto n.º 6.017/2007).</w:t>
      </w:r>
    </w:p>
    <w:p>
      <w:pPr>
        <w:numPr>
          <w:ilvl w:val="0"/>
          <w:numId w:val="1002"/>
        </w:numPr>
        <w:pStyle w:val="Compact"/>
      </w:pPr>
      <w:r>
        <w:rPr>
          <w:bCs/>
          <w:b/>
        </w:rPr>
        <w:t xml:space="preserve">Forma.</w:t>
      </w:r>
      <w:r>
        <w:t xml:space="preserve"> </w:t>
      </w:r>
      <w:r>
        <w:t xml:space="preserve">Dispensa de licitação (art. 75, inciso XI, da Lei n.º 14.133/2021; art. 2.º, § 1.º, inciso III, da Lei n.º 11.107/2005; cláusula 50.ª, § 1.º). Minuta única aprovada pela Assembleia Geral (cláusula 18.ª, inciso VIII, alínea</w:t>
      </w:r>
      <w:r>
        <w:t xml:space="preserve"> </w:t>
      </w:r>
      <w:r>
        <w:t xml:space="preserve">“</w:t>
      </w:r>
      <w:r>
        <w:t xml:space="preserve">b</w:t>
      </w:r>
      <w:r>
        <w:t xml:space="preserve">”</w:t>
      </w:r>
      <w:r>
        <w:t xml:space="preserve">), com parecer prévio do regulador (cláusula 11.ª, § 1.º, alínea</w:t>
      </w:r>
      <w:r>
        <w:t xml:space="preserve"> </w:t>
      </w:r>
      <w:r>
        <w:t xml:space="preserve">“</w:t>
      </w:r>
      <w:r>
        <w:t xml:space="preserve">b</w:t>
      </w:r>
      <w:r>
        <w:t xml:space="preserve">”</w:t>
      </w:r>
      <w:r>
        <w:t xml:space="preserve">).</w:t>
      </w:r>
    </w:p>
    <w:p>
      <w:pPr>
        <w:numPr>
          <w:ilvl w:val="0"/>
          <w:numId w:val="1002"/>
        </w:numPr>
        <w:pStyle w:val="Compact"/>
      </w:pPr>
      <w:r>
        <w:rPr>
          <w:bCs/>
          <w:b/>
        </w:rPr>
        <w:t xml:space="preserve">Condições de validade e cláusulas necessárias.</w:t>
      </w:r>
      <w:r>
        <w:t xml:space="preserve"> </w:t>
      </w:r>
      <w:r>
        <w:t xml:space="preserve">Plano vigente, estudo de viabilidade, entidade reguladora designada e consulta pública sobre a minuta (art. 11 da Lei n.º 11.445/2007; cláusula 49.ª, § 3.º). Cláusulas do art. 33 do Decreto n.º 6.017/2007 e da cláusula 49.ª, § 4.º. Observância da legislação de concessões e da regulação quanto ao cálculo de preços públicos (art. 13, § 1.º, inciso I, da Lei n.º 11.107/2005). É nula cláusula que atribua ao Consórcio o planejamento, a regulação ou a fiscalização do serviço que ele próprio presta (art. 13, § 3.º).</w:t>
      </w:r>
    </w:p>
    <w:p>
      <w:pPr>
        <w:numPr>
          <w:ilvl w:val="0"/>
          <w:numId w:val="1002"/>
        </w:numPr>
        <w:pStyle w:val="Compact"/>
      </w:pPr>
      <w:r>
        <w:rPr>
          <w:bCs/>
          <w:b/>
        </w:rPr>
        <w:t xml:space="preserve">Conteúdo.</w:t>
      </w:r>
      <w:r>
        <w:t xml:space="preserve"> </w:t>
      </w:r>
      <w:r>
        <w:t xml:space="preserve">Objeto: prestação, pela AMSA, do serviço de destinação final ao município, por meio do contrato do item 3.1, dentro da franquia e acima dela. Franquia mensal do município. Preço unitário da cota extra e sua indexação. Forma de apuração e documento de cobrança. Prazo de pagamento. Procedimento de programação de volumes acima da franquia junto à unidade contratada.</w:t>
      </w:r>
    </w:p>
    <w:p>
      <w:pPr>
        <w:numPr>
          <w:ilvl w:val="0"/>
          <w:numId w:val="1002"/>
        </w:numPr>
        <w:pStyle w:val="Compact"/>
      </w:pPr>
      <w:r>
        <w:rPr>
          <w:bCs/>
          <w:b/>
        </w:rPr>
        <w:t xml:space="preserve">Vigência.</w:t>
      </w:r>
      <w:r>
        <w:t xml:space="preserve"> </w:t>
      </w:r>
      <w:r>
        <w:t xml:space="preserve">O contrato de programa continua vigente se o município se retirar do Consórcio ou se o Consórcio for extinto (art. 13, § 4.º, da Lei n.º 11.107/2005; cláusula 50.ª, § 6.º).</w:t>
      </w:r>
    </w:p>
    <w:bookmarkEnd w:id="23"/>
    <w:bookmarkStart w:id="24" w:name="Xe222f81e026d8f4244543167f0d2ad86803864e"/>
    <w:p>
      <w:pPr>
        <w:pStyle w:val="Heading3"/>
      </w:pPr>
      <w:r>
        <w:t xml:space="preserve">3.3. Contrato de rateio com duas destinações e franquia</w:t>
      </w:r>
    </w:p>
    <w:p>
      <w:pPr>
        <w:numPr>
          <w:ilvl w:val="0"/>
          <w:numId w:val="1003"/>
        </w:numPr>
        <w:pStyle w:val="Compact"/>
      </w:pPr>
      <w:r>
        <w:rPr>
          <w:bCs/>
          <w:b/>
        </w:rPr>
        <w:t xml:space="preserve">Natureza.</w:t>
      </w:r>
      <w:r>
        <w:t xml:space="preserve"> </w:t>
      </w:r>
      <w:r>
        <w:t xml:space="preserve">Instrumento anual pelo qual os consorciados entregam recursos para as despesas do Consórcio, limitado às dotações que o suportam (art. 8.º, caput e § 1.º, da Lei n.º 11.107/2005; arts. 13 e 16 do Decreto n.º 6.017/2007), aprovado pela Assembleia Geral com previsão dos aportes no orçamento do Consórcio (cláusula 18.ª, inciso VII).</w:t>
      </w:r>
    </w:p>
    <w:p>
      <w:pPr>
        <w:numPr>
          <w:ilvl w:val="0"/>
          <w:numId w:val="1003"/>
        </w:numPr>
        <w:pStyle w:val="Compact"/>
      </w:pPr>
      <w:r>
        <w:rPr>
          <w:bCs/>
          <w:b/>
        </w:rPr>
        <w:t xml:space="preserve">Duas destinações.</w:t>
      </w:r>
      <w:r>
        <w:t xml:space="preserve"> </w:t>
      </w:r>
      <w:r>
        <w:t xml:space="preserve">O rateio discrimina: (i) a cota administrativa, idêntica para todos, para a organização e o funcionamento do Consórcio; e (ii) o programa regional de destinação final, que custeia o contrato do item 3.1 até a franquia de cada município. A discriminação atende à vedação de aplicação de recursos de rateio em despesas genéricas (art. 8.º, § 2.º, da Lei n.º 11.107/2005; art. 15 do Decreto n.º 6.017/2007). O programa regional consta do plano regional integrado (Anexo II, arts. 3.º e 4.º).</w:t>
      </w:r>
    </w:p>
    <w:p>
      <w:pPr>
        <w:numPr>
          <w:ilvl w:val="0"/>
          <w:numId w:val="1003"/>
        </w:numPr>
        <w:pStyle w:val="Compact"/>
      </w:pPr>
      <w:r>
        <w:rPr>
          <w:bCs/>
          <w:b/>
        </w:rPr>
        <w:t xml:space="preserve">Franquia.</w:t>
      </w:r>
      <w:r>
        <w:t xml:space="preserve"> </w:t>
      </w:r>
      <w:r>
        <w:t xml:space="preserve">Quantidade mensal de toneladas por município, igual para todos, resultante da divisão da parcela (ii) pelo preço por tonelada do contrato do item 3.1. A franquia não utilizada por um município não se transfere a outro. O tratamento do saldo é fixado no próprio contrato de rateio.</w:t>
      </w:r>
    </w:p>
    <w:bookmarkEnd w:id="24"/>
    <w:bookmarkStart w:id="25" w:name="cota-extra"/>
    <w:p>
      <w:pPr>
        <w:pStyle w:val="Heading3"/>
      </w:pPr>
      <w:r>
        <w:t xml:space="preserve">3.4. Cota extra</w:t>
      </w:r>
    </w:p>
    <w:p>
      <w:pPr>
        <w:numPr>
          <w:ilvl w:val="0"/>
          <w:numId w:val="1004"/>
        </w:numPr>
        <w:pStyle w:val="Compact"/>
      </w:pPr>
      <w:r>
        <w:rPr>
          <w:bCs/>
          <w:b/>
        </w:rPr>
        <w:t xml:space="preserve">Definição.</w:t>
      </w:r>
      <w:r>
        <w:t xml:space="preserve"> </w:t>
      </w:r>
      <w:r>
        <w:t xml:space="preserve">Quantidade que um município destina, em determinado mês, acima da franquia fixada no seu contrato de programa. Natureza: remuneração por serviço prestado pelo Consórcio a um ente determinado (art. 18, parágrafo único, do Decreto n.º 6.017/2007; cláusula 53.ª, inciso I). Não é rateio e não transita pelo contrato de rateio.</w:t>
      </w:r>
    </w:p>
    <w:p>
      <w:pPr>
        <w:numPr>
          <w:ilvl w:val="0"/>
          <w:numId w:val="1004"/>
        </w:numPr>
        <w:pStyle w:val="Compact"/>
      </w:pPr>
      <w:r>
        <w:rPr>
          <w:bCs/>
          <w:b/>
        </w:rPr>
        <w:t xml:space="preserve">Apuração.</w:t>
      </w:r>
      <w:r>
        <w:t xml:space="preserve"> </w:t>
      </w:r>
      <w:r>
        <w:t xml:space="preserve">A unidade pesa e registra cada carga por município de origem e emite relatório mensal por município. O fiscal do contrato designado pela AMSA atesta o relatório (art. 117 da Lei n.º 14.133/2021). A AMSA apura, para cada município, o volume até a franquia, custeado pelo programa regional do rateio, e o volume excedente, que é a cota extra. A apuração é mensal e individual, sem compensação de volumes entre municípios.</w:t>
      </w:r>
    </w:p>
    <w:p>
      <w:pPr>
        <w:numPr>
          <w:ilvl w:val="0"/>
          <w:numId w:val="1004"/>
        </w:numPr>
        <w:pStyle w:val="Compact"/>
      </w:pPr>
      <w:r>
        <w:rPr>
          <w:bCs/>
          <w:b/>
        </w:rPr>
        <w:t xml:space="preserve">Preço.</w:t>
      </w:r>
      <w:r>
        <w:t xml:space="preserve"> </w:t>
      </w:r>
      <w:r>
        <w:t xml:space="preserve">Fixado no contrato de programa por referência ao preço por tonelada do contrato do item 3.1, com o mesmo critério de reajuste. A inclusão de parcela de custos indiretos do Consórcio é matéria de precificação. O preço e seus reajustes são submetidos ao regulador (art. 13, § 1.º, inciso I, da Lei n.º 11.107/2005; art. 22, inciso IV, e art. 23, inciso IV, da Lei n.º 11.445/2007; cláusula 11.ª, inciso III). Como a cota administrativa já é custeada pelo rateio, o preço da cota extra não pode incluir novamente custos administrativos ou gerenciais (art. 29, caput, da Lei n.º 11.445/2007).</w:t>
      </w:r>
    </w:p>
    <w:p>
      <w:pPr>
        <w:numPr>
          <w:ilvl w:val="0"/>
          <w:numId w:val="1004"/>
        </w:numPr>
        <w:pStyle w:val="Compact"/>
      </w:pPr>
      <w:r>
        <w:rPr>
          <w:bCs/>
          <w:b/>
        </w:rPr>
        <w:t xml:space="preserve">Cobrança e pagamento.</w:t>
      </w:r>
      <w:r>
        <w:t xml:space="preserve"> </w:t>
      </w:r>
      <w:r>
        <w:t xml:space="preserve">A AMSA emite ao município, mensalmente, o documento de cobrança da cota extra, acompanhado do relatório de pesagem atestado. O município liquida a despesa com base no contrato de programa, na nota de empenho e no relatório (arts. 62 e 63 da Lei n.º 4.320/1964) e paga no prazo do contrato de programa, com dotação própria consignada para esse contrato. Por ser despesa de montante variável, o empenho é feito por estimativa (art. 60, § 2.º, da Lei n.º 4.320/1964).</w:t>
      </w:r>
    </w:p>
    <w:p>
      <w:pPr>
        <w:numPr>
          <w:ilvl w:val="0"/>
          <w:numId w:val="1004"/>
        </w:numPr>
        <w:pStyle w:val="Compact"/>
      </w:pPr>
      <w:r>
        <w:rPr>
          <w:bCs/>
          <w:b/>
        </w:rPr>
        <w:t xml:space="preserve">Pagamento à unidade.</w:t>
      </w:r>
      <w:r>
        <w:t xml:space="preserve"> </w:t>
      </w:r>
      <w:r>
        <w:t xml:space="preserve">A AMSA paga à unidade contratada uma única fatura mensal, correspondente ao total pesado, franquias e cotas extras de todos os municípios, no prazo e na forma do contrato do item 3.1.</w:t>
      </w:r>
    </w:p>
    <w:p>
      <w:pPr>
        <w:numPr>
          <w:ilvl w:val="0"/>
          <w:numId w:val="1004"/>
        </w:numPr>
        <w:pStyle w:val="Compact"/>
      </w:pPr>
      <w:r>
        <w:rPr>
          <w:bCs/>
          <w:b/>
        </w:rPr>
        <w:t xml:space="preserve">Outros municípios.</w:t>
      </w:r>
      <w:r>
        <w:t xml:space="preserve"> </w:t>
      </w:r>
      <w:r>
        <w:t xml:space="preserve">A mesma regra vale para qualquer consorciado que ultrapasse a franquia, sem novo contrato. A quantidade contratada com a unidade deve comportar os excedentes, dentro dos limites do art. 125 da Lei n.º 14.133/2021 ou por termo aditivo</w:t>
      </w:r>
      <w:r>
        <w:t xml:space="preserve"> </w:t>
      </w:r>
      <w:r>
        <w:rPr>
          <w:rStyle w:val="VerbatimChar"/>
        </w:rPr>
        <w:t xml:space="preserve">[VALIDAÇÃO TÉCNICA]</w:t>
      </w:r>
      <w:r>
        <w:t xml:space="preserve">.</w:t>
      </w:r>
    </w:p>
    <w:bookmarkEnd w:id="25"/>
    <w:bookmarkStart w:id="26" w:name="fundo-regional-e-contas-por-município"/>
    <w:p>
      <w:pPr>
        <w:pStyle w:val="Heading3"/>
      </w:pPr>
      <w:r>
        <w:t xml:space="preserve">3.5. Fundo Regional e contas por município</w:t>
      </w:r>
    </w:p>
    <w:p>
      <w:pPr>
        <w:numPr>
          <w:ilvl w:val="0"/>
          <w:numId w:val="1005"/>
        </w:numPr>
        <w:pStyle w:val="Compact"/>
      </w:pPr>
      <w:r>
        <w:t xml:space="preserve">O Fundo Regional de Financiamento do Manejo Diferenciado de Resíduos Sólidos foi criado pela cláusula 7.ª, § 11, e é regulamentado por resolução da Assembleia Geral. O art. 49 do Estatuto determina que ele receba, em contas específicas, os recursos dos fundos municipais de meio ambiente, a remuneração de contratos de programa e as demais receitas que enumera.</w:t>
      </w:r>
    </w:p>
    <w:p>
      <w:pPr>
        <w:numPr>
          <w:ilvl w:val="0"/>
          <w:numId w:val="1005"/>
        </w:numPr>
        <w:pStyle w:val="Compact"/>
      </w:pPr>
      <w:r>
        <w:t xml:space="preserve">A cota do rateio é depositada em conta em nome do Consórcio, específica para cada município e à disposição dele, movimentada pelo Consórcio somente mediante determinação do município, inclusive para efetivar pagamento ao próprio Consórcio (Anexo III, art. 10, §§ 2.º e 3.º). A autorização anual de movimentação passa a contemplar as duas destinações do item 3.3. O saldo de cada conta pertence ao município que o formou e não se comunica com as contas dos demais.</w:t>
      </w:r>
    </w:p>
    <w:p>
      <w:pPr>
        <w:numPr>
          <w:ilvl w:val="0"/>
          <w:numId w:val="1005"/>
        </w:numPr>
        <w:pStyle w:val="Compact"/>
      </w:pPr>
      <w:r>
        <w:t xml:space="preserve">A resolução do Fundo Regional deve dispor sobre as contas por município, a ordem de débitos e o tratamento dos saldos ao encerramento do exercício.</w:t>
      </w:r>
    </w:p>
    <w:bookmarkEnd w:id="26"/>
    <w:bookmarkStart w:id="27" w:name="garantias"/>
    <w:p>
      <w:pPr>
        <w:pStyle w:val="Heading3"/>
      </w:pPr>
      <w:r>
        <w:t xml:space="preserve">3.6. Garantias</w:t>
      </w:r>
    </w:p>
    <w:p>
      <w:pPr>
        <w:numPr>
          <w:ilvl w:val="0"/>
          <w:numId w:val="1006"/>
        </w:numPr>
        <w:pStyle w:val="Compact"/>
      </w:pPr>
      <w:r>
        <w:t xml:space="preserve">A unidade contratada presta garantia contratual (art. 96 da Lei n.º 14.133/2021).</w:t>
      </w:r>
    </w:p>
    <w:p>
      <w:pPr>
        <w:numPr>
          <w:ilvl w:val="0"/>
          <w:numId w:val="1006"/>
        </w:numPr>
        <w:pStyle w:val="Compact"/>
      </w:pPr>
      <w:r>
        <w:t xml:space="preserve">O Consórcio constitui conta garantidora vinculada ao contrato do item 3.1, administrada por instituição financeira com poderes exclusivos de movimentação, provisionada com recursos do Consórcio em percentual do valor do contrato a definir na precificação, e liberada à unidade contratada na hipótese prevista no contrato. A conta garantidora não se confunde com as contas por município do item 3.5.</w:t>
      </w:r>
    </w:p>
    <w:bookmarkEnd w:id="27"/>
    <w:bookmarkStart w:id="28" w:name="regulação-e-fiscalização"/>
    <w:p>
      <w:pPr>
        <w:pStyle w:val="Heading3"/>
      </w:pPr>
      <w:r>
        <w:t xml:space="preserve">3.7. Regulação e fiscalização</w:t>
      </w:r>
    </w:p>
    <w:p>
      <w:pPr>
        <w:numPr>
          <w:ilvl w:val="0"/>
          <w:numId w:val="1007"/>
        </w:numPr>
        <w:pStyle w:val="Compact"/>
      </w:pPr>
      <w:r>
        <w:t xml:space="preserve">A entidade reguladora é designada pelo Consórcio ou delegada à Agência Reguladora do Estado do Ceará (cláusula 8.ª, § 2.º; cláusula 11.ª).</w:t>
      </w:r>
    </w:p>
    <w:p>
      <w:pPr>
        <w:numPr>
          <w:ilvl w:val="0"/>
          <w:numId w:val="1007"/>
        </w:numPr>
        <w:pStyle w:val="Compact"/>
      </w:pPr>
      <w:r>
        <w:t xml:space="preserve">Compete-lhe homologar o estudo de custos, o preço por tonelada e os reajustes (cláusula 11.ª, inciso III; art. 13, § 1.º, inciso I, da Lei n.º 11.107/2005; art. 22, inciso IV, e art. 23, incisos IV e V, da Lei n.º 11.445/2007), opinar sobre as minutas e fiscalizar a prestação. A fiscalização do regulador não se confunde com a gestão dos contratos, que cabe à AMSA e aos municípios (art. 69, § 1.º, da Norma de Referência n.º 7/2024 da ANA). O serviço observa o princípio da continuidade (art. 70 da mesma norma).</w:t>
      </w:r>
    </w:p>
    <w:bookmarkEnd w:id="28"/>
    <w:bookmarkEnd w:id="29"/>
    <w:bookmarkStart w:id="30" w:name="fluxo-obrigacional"/>
    <w:p>
      <w:pPr>
        <w:pStyle w:val="Heading2"/>
      </w:pPr>
      <w:r>
        <w:t xml:space="preserve">4. Fluxo obrigacional</w:t>
      </w:r>
    </w:p>
    <w:p>
      <w:pPr>
        <w:pStyle w:val="FirstParagraph"/>
      </w:pPr>
      <w:r>
        <w:t xml:space="preserve">A unidade contratada deve o serviço à AMSA e é credora apenas dela. A AMSA deve o serviço a cada município, por força do contrato de programa, e é credora de cada um pela cota de rateio e pela cota extra. Cada município deve à AMSA a cota de rateio, por transferência, e a cota extra, por pagamento contratual, e é titular do saldo da própria conta no Fundo Regional. O regulador não é parte, mas homologa o preço. O Tribunal de Contas do Estado fiscaliza o Consórcio e cada contrato de rateio e de programa (art. 9.º, parágrafo único, da Lei n.º 11.107/2005; cláusula 54.ª).</w:t>
      </w:r>
    </w:p>
    <w:bookmarkEnd w:id="30"/>
    <w:bookmarkStart w:id="31" w:name="atos-de-implementação-por-ente"/>
    <w:p>
      <w:pPr>
        <w:pStyle w:val="Heading2"/>
      </w:pPr>
      <w:r>
        <w:t xml:space="preserve">5. Atos de implementação, por ente</w:t>
      </w:r>
    </w:p>
    <w:p>
      <w:pPr>
        <w:numPr>
          <w:ilvl w:val="0"/>
          <w:numId w:val="1008"/>
        </w:numPr>
        <w:pStyle w:val="Compact"/>
      </w:pPr>
      <w:r>
        <w:rPr>
          <w:bCs/>
          <w:b/>
        </w:rPr>
        <w:t xml:space="preserve">Assembleia Geral da AMSA.</w:t>
      </w:r>
      <w:r>
        <w:t xml:space="preserve"> </w:t>
      </w:r>
      <w:r>
        <w:t xml:space="preserve">Convocação com a antecedência da cláusula 15.ª, § 1.º, e pauta expressa. Aprovação do plano regional integrado, da resolução do Fundo Regional com as contas por município, do contrato de rateio com as duas destinações e da minuta única do contrato de programa (cláusula 18.ª, incisos VII e VIII). Designação ou confirmação da entidade reguladora.</w:t>
      </w:r>
    </w:p>
    <w:p>
      <w:pPr>
        <w:numPr>
          <w:ilvl w:val="0"/>
          <w:numId w:val="1008"/>
        </w:numPr>
        <w:pStyle w:val="Compact"/>
      </w:pPr>
      <w:r>
        <w:rPr>
          <w:bCs/>
          <w:b/>
        </w:rPr>
        <w:t xml:space="preserve">Entidade reguladora.</w:t>
      </w:r>
      <w:r>
        <w:t xml:space="preserve"> </w:t>
      </w:r>
      <w:r>
        <w:t xml:space="preserve">Parecer sobre as minutas, homologação do estudo de custos e do preço por tonelada, fiscalização da prestação.</w:t>
      </w:r>
    </w:p>
    <w:p>
      <w:pPr>
        <w:numPr>
          <w:ilvl w:val="0"/>
          <w:numId w:val="1008"/>
        </w:numPr>
        <w:pStyle w:val="Compact"/>
      </w:pPr>
      <w:r>
        <w:rPr>
          <w:bCs/>
          <w:b/>
        </w:rPr>
        <w:t xml:space="preserve">AMSA.</w:t>
      </w:r>
      <w:r>
        <w:t xml:space="preserve"> </w:t>
      </w:r>
      <w:r>
        <w:t xml:space="preserve">Estudo técnico preliminar com quantidades apuradas por pesagem</w:t>
      </w:r>
      <w:r>
        <w:t xml:space="preserve"> </w:t>
      </w:r>
      <w:r>
        <w:rPr>
          <w:rStyle w:val="VerbatimChar"/>
        </w:rPr>
        <w:t xml:space="preserve">[VALIDAÇÃO TÉCNICA]</w:t>
      </w:r>
      <w:r>
        <w:t xml:space="preserve">, definição da forma de contratação e do preço de referência. Consulta pública sobre a minuta do contrato de programa. Contratação da unidade e divulgação no Portal Nacional de Contratações Públicas. Contratação do agente garantidor e provisionamento da conta garantidora. Celebração dos contratos de programa. Designação do fiscal do contrato. Início da medição, dos extratos mensais e da cobrança da cota extra.</w:t>
      </w:r>
    </w:p>
    <w:p>
      <w:pPr>
        <w:numPr>
          <w:ilvl w:val="0"/>
          <w:numId w:val="1008"/>
        </w:numPr>
        <w:pStyle w:val="Compact"/>
      </w:pPr>
      <w:r>
        <w:rPr>
          <w:bCs/>
          <w:b/>
        </w:rPr>
        <w:t xml:space="preserve">Municípios.</w:t>
      </w:r>
      <w:r>
        <w:t xml:space="preserve"> </w:t>
      </w:r>
      <w:r>
        <w:t xml:space="preserve">Dotações na lei orçamentária para o contrato de rateio e para o contrato de programa (art. 8.º, § 1.º, da Lei n.º 11.107/2005; art. 16 do Decreto n.º 6.017/2007). Assinatura do contrato de programa e renovação anual da autorização de movimentação da conta específica. Coleta e transporte até a unidade. Pagamento mensal da cota extra.</w:t>
      </w:r>
    </w:p>
    <w:p>
      <w:pPr>
        <w:numPr>
          <w:ilvl w:val="0"/>
          <w:numId w:val="1008"/>
        </w:numPr>
        <w:pStyle w:val="Compact"/>
      </w:pPr>
      <w:r>
        <w:rPr>
          <w:bCs/>
          <w:b/>
        </w:rPr>
        <w:t xml:space="preserve">Unidade contratada.</w:t>
      </w:r>
      <w:r>
        <w:t xml:space="preserve"> </w:t>
      </w:r>
      <w:r>
        <w:t xml:space="preserve">Pesagem e registro das cargas por município, relatório mensal, fatura única à AMSA, garantia contratual.</w:t>
      </w:r>
    </w:p>
    <w:bookmarkEnd w:id="31"/>
    <w:bookmarkStart w:id="32" w:name="matérias-reservadas-à-precificação"/>
    <w:p>
      <w:pPr>
        <w:pStyle w:val="Heading2"/>
      </w:pPr>
      <w:r>
        <w:t xml:space="preserve">6. Matérias reservadas à precificação</w:t>
      </w:r>
    </w:p>
    <w:p>
      <w:pPr>
        <w:pStyle w:val="FirstParagraph"/>
      </w:pPr>
      <w:r>
        <w:t xml:space="preserve">Cota administrativa. Preço por tonelada e índice de reajuste. Franquia resultante. Parcela de custos indiretos no preço da cota extra. Prazo de pagamento da cota extra. Tratamento dos saldos das contas por município ao encerramento do exercício. Percentual da conta garantidora. Distância máxima da unidade ou exigência de transbordo. Capacidade mínima exigida.</w:t>
      </w:r>
    </w:p>
    <w:bookmarkEnd w:id="32"/>
    <w:bookmarkStart w:id="33" w:name="fundamentação-consolidada"/>
    <w:p>
      <w:pPr>
        <w:pStyle w:val="Heading2"/>
      </w:pPr>
      <w:r>
        <w:t xml:space="preserve">7. Fundamentação consolidada</w:t>
      </w:r>
    </w:p>
    <w:p>
      <w:pPr>
        <w:numPr>
          <w:ilvl w:val="0"/>
          <w:numId w:val="1009"/>
        </w:numPr>
        <w:pStyle w:val="Compact"/>
      </w:pPr>
      <w:r>
        <w:t xml:space="preserve">Constituição Federal: art. 241.</w:t>
      </w:r>
    </w:p>
    <w:p>
      <w:pPr>
        <w:numPr>
          <w:ilvl w:val="0"/>
          <w:numId w:val="1009"/>
        </w:numPr>
        <w:pStyle w:val="Compact"/>
      </w:pPr>
      <w:r>
        <w:t xml:space="preserve">Lei n.º 11.107/2005: art. 1.º, § 1.º; art. 2.º, § 1.º, inciso III; art. 4.º, inciso XI; art. 6.º, §§ 1.º e 2.º; art. 8.º, caput e §§ 1.º e 2.º; art. 9.º; art. 13, caput, § 1.º, inciso I, §§ 3.º e 4.º.</w:t>
      </w:r>
    </w:p>
    <w:p>
      <w:pPr>
        <w:numPr>
          <w:ilvl w:val="0"/>
          <w:numId w:val="1009"/>
        </w:numPr>
        <w:pStyle w:val="Compact"/>
      </w:pPr>
      <w:r>
        <w:t xml:space="preserve">Decreto n.º 6.017/2007: arts. 13, 15, 16, 18, 30 e 33.</w:t>
      </w:r>
    </w:p>
    <w:p>
      <w:pPr>
        <w:numPr>
          <w:ilvl w:val="0"/>
          <w:numId w:val="1009"/>
        </w:numPr>
        <w:pStyle w:val="Compact"/>
      </w:pPr>
      <w:r>
        <w:t xml:space="preserve">Lei n.º 14.133/2021: art. 6.º, inciso XXVIII; arts. 18, 23, 72, 74, 75, inciso XI, 79, inciso I, 92, incisos V e VI, 94, 96, 106, 107, 117 e 125.</w:t>
      </w:r>
    </w:p>
    <w:p>
      <w:pPr>
        <w:numPr>
          <w:ilvl w:val="0"/>
          <w:numId w:val="1009"/>
        </w:numPr>
        <w:pStyle w:val="Compact"/>
      </w:pPr>
      <w:r>
        <w:t xml:space="preserve">Lei n.º 11.445/2007: art. 8.º, inciso I e § 1.º; art. 11; art. 22, inciso IV; art. 23, incisos IV e V; art. 29, caput.</w:t>
      </w:r>
    </w:p>
    <w:p>
      <w:pPr>
        <w:numPr>
          <w:ilvl w:val="0"/>
          <w:numId w:val="1009"/>
        </w:numPr>
        <w:pStyle w:val="Compact"/>
      </w:pPr>
      <w:r>
        <w:t xml:space="preserve">Lei n.º 12.305/2010: arts. 9.º, 10, 18, § 1.º, inciso I, e 54, inciso IV.</w:t>
      </w:r>
    </w:p>
    <w:p>
      <w:pPr>
        <w:numPr>
          <w:ilvl w:val="0"/>
          <w:numId w:val="1009"/>
        </w:numPr>
        <w:pStyle w:val="Compact"/>
      </w:pPr>
      <w:r>
        <w:t xml:space="preserve">Lei n.º 4.320/1964: art. 60, § 2.º; arts. 62 e 63.</w:t>
      </w:r>
    </w:p>
    <w:p>
      <w:pPr>
        <w:numPr>
          <w:ilvl w:val="0"/>
          <w:numId w:val="1009"/>
        </w:numPr>
        <w:pStyle w:val="Compact"/>
      </w:pPr>
      <w:r>
        <w:t xml:space="preserve">Resolução ANA n.º 187/2024 (Norma de Referência n.º 7/2024): arts. 28, 69 e 70.</w:t>
      </w:r>
    </w:p>
    <w:p>
      <w:pPr>
        <w:numPr>
          <w:ilvl w:val="0"/>
          <w:numId w:val="1009"/>
        </w:numPr>
        <w:pStyle w:val="Compact"/>
      </w:pPr>
      <w:r>
        <w:t xml:space="preserve">Lei Estadual n.º 16.032/2016: art. 11, parágrafo único</w:t>
      </w:r>
      <w:r>
        <w:t xml:space="preserve"> </w:t>
      </w:r>
      <w:r>
        <w:rPr>
          <w:rStyle w:val="VerbatimChar"/>
        </w:rPr>
        <w:t xml:space="preserve">[VIT]</w:t>
      </w:r>
      <w:r>
        <w:t xml:space="preserve">.</w:t>
      </w:r>
    </w:p>
    <w:p>
      <w:pPr>
        <w:numPr>
          <w:ilvl w:val="0"/>
          <w:numId w:val="1009"/>
        </w:numPr>
        <w:pStyle w:val="Compact"/>
      </w:pPr>
      <w:r>
        <w:t xml:space="preserve">Contrato de Consórcio da AMSA (versão de 5/04/2018): cláusulas 4.ª, 7.ª, 8.ª, 10.ª, 11.ª, 15.ª, 18.ª, 49.ª, 50.ª, 53.ª e 54.ª; Anexo II, arts. 3.º e 4.º; Anexo III, art. 10.</w:t>
      </w:r>
    </w:p>
    <w:p>
      <w:pPr>
        <w:numPr>
          <w:ilvl w:val="0"/>
          <w:numId w:val="1009"/>
        </w:numPr>
        <w:pStyle w:val="Compact"/>
      </w:pPr>
      <w:r>
        <w:t xml:space="preserve">Estatuto da AMSA (2026): art. 49.</w:t>
      </w:r>
    </w:p>
    <w:p>
      <w:pPr>
        <w:pStyle w:val="FirstParagraph"/>
      </w:pPr>
      <w:r>
        <w:t xml:space="preserve">Flags:</w:t>
      </w:r>
      <w:r>
        <w:t xml:space="preserve"> </w:t>
      </w:r>
      <w:r>
        <w:rPr>
          <w:rStyle w:val="VerbatimChar"/>
        </w:rPr>
        <w:t xml:space="preserve">[VALIDAÇÃO TÉCNICA]</w:t>
      </w:r>
      <w:r>
        <w:t xml:space="preserve"> </w:t>
      </w:r>
      <w:r>
        <w:t xml:space="preserve">nas estimativas de quantidade e na capacidade da unidade (itens 3.1, 3.4 e 5);</w:t>
      </w:r>
      <w:r>
        <w:t xml:space="preserve"> </w:t>
      </w:r>
      <w:r>
        <w:rPr>
          <w:rStyle w:val="VerbatimChar"/>
        </w:rPr>
        <w:t xml:space="preserve">[VIT]</w:t>
      </w:r>
      <w:r>
        <w:t xml:space="preserve"> </w:t>
      </w:r>
      <w:r>
        <w:t xml:space="preserve">na Lei Estadual n.º 16.032/2016, consultada por resumo. Não há citação jurisprudencial neste memo.</w:t>
      </w:r>
    </w:p>
    <w:bookmarkEnd w:id="33"/>
    <w:bookmarkEnd w:id="34"/>
    <w:sectPr>
      <w:pgSz w:w="11906" w:h="16838"/>
      <w:pgMar w:top="1417" w:right="1417" w:bottom="1417" w:left="1417"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20" w:before="0" w:line="360" w:lineRule="auto"/>
        <w:jc w:val="both"/>
      </w:pPr>
    </w:pPrDefault>
  </w:docDefaults>
  <w:latentStyles w:count="276" w:defLockedState="0" w:defQFormat="0" w:defSemiHidden="0" w:defUIPriority="0" w:defUnhideWhenUsed="0"/>
  <w:style w:default="1" w:styleId="Normal" w:type="paragraph">
    <w:pPr>
      <w:spacing w:after="120" w:before="0" w:line="360" w:lineRule="auto"/>
      <w:jc w:val="both"/>
    </w:pPr>
    <w:name w:val="Normal"/>
    <w:qFormat/>
  </w:style>
  <w:style w:styleId="BodyText" w:type="paragraph">
    <w:name w:val="Body Text"/>
    <w:basedOn w:val="Normal"/>
    <w:link w:val="BodyTextChar"/>
    <w:pPr>
      <w:spacing w:after="120" w:before="0" w:line="360" w:lineRule="auto"/>
      <w:jc w:val="both"/>
    </w:pPr>
    <w:qFormat/>
  </w:style>
  <w:style w:customStyle="1" w:styleId="FirstParagraph" w:type="paragraph">
    <w:pPr>
      <w:spacing w:after="120" w:before="0" w:line="360" w:lineRule="auto"/>
      <w:jc w:val="both"/>
    </w:pPr>
    <w:name w:val="First Paragraph"/>
    <w:basedOn w:val="BodyText"/>
    <w:next w:val="BodyText"/>
    <w:qFormat/>
  </w:style>
  <w:style w:customStyle="1" w:styleId="Compact" w:type="paragraph">
    <w:name w:val="Compact"/>
    <w:basedOn w:val="BodyText"/>
    <w:qFormat/>
    <w:pPr>
      <w:spacing w:after="60" w:before="0" w:line="276" w:lineRule="auto"/>
      <w:jc w:val="both"/>
    </w:pPr>
  </w:style>
  <w:style w:styleId="Title" w:type="paragraph">
    <w:name w:val="Title"/>
    <w:basedOn w:val="Normal"/>
    <w:next w:val="BodyText"/>
    <w:qFormat/>
    <w:pPr>
      <w:spacing w:after="120" w:before="0" w:line="276" w:lineRule="auto"/>
      <w:jc w:val="left"/>
      <w:keepNext/>
      <w:keepLines/>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spacing w:after="120" w:before="240" w:line="276" w:lineRule="auto"/>
      <w:jc w:val="left"/>
      <w:keepNext/>
      <w:keepLines/>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uiPriority w:val="9"/>
    <w:unhideWhenUsed/>
    <w:qFormat/>
    <w:pPr>
      <w:spacing w:after="120" w:before="240" w:line="276" w:lineRule="auto"/>
      <w:jc w:val="left"/>
      <w:keepNext/>
      <w:keepLines/>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uiPriority w:val="9"/>
    <w:unhideWhenUsed/>
    <w:qFormat/>
    <w:pPr>
      <w:spacing w:after="120" w:before="200" w:line="276" w:lineRule="auto"/>
      <w:jc w:val="left"/>
      <w:keepNext/>
      <w:keepLines/>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spacing w:after="120" w:before="160" w:line="276" w:lineRule="auto"/>
      <w:jc w:val="left"/>
      <w:keepNext/>
      <w:keepLines/>
      <w:outlineLvl w:val="3"/>
    </w:pPr>
    <w:rPr>
      <w:b/>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2026-09-08T15:45:10Z</dcterms:created>
  <dcterms:modified xsi:type="dcterms:W3CDTF">2026-09-08T15:45:10Z</dcterms:modified>
</cp:coreProperties>
</file>

<file path=docProps/custom.xml><?xml version="1.0" encoding="utf-8"?>
<Properties xmlns="http://schemas.openxmlformats.org/officeDocument/2006/custom-properties" xmlns:vt="http://schemas.openxmlformats.org/officeDocument/2006/docPropsVTypes"/>
</file>