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Concessão RSU CONSAÚDE — Briefing</w:t>
      </w:r>
    </w:p>
    <w:p>
      <w:pPr>
        <w:spacing w:after="240"/>
      </w:pPr>
      <w:r>
        <w:rPr>
          <w:rFonts w:ascii="Times New Roman" w:cs="Times New Roman" w:eastAsia="Times New Roman" w:hAnsi="Times New Roman"/>
          <w:color w:val="555555"/>
          <w:sz w:val="22"/>
          <w:szCs w:val="22"/>
        </w:rPr>
        <w:t xml:space="preserve">Edital de Concorrência nº [•]/2026, minuta em consulta pública · 08/10/2026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O projeto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Concessão comum, por 30 anos, dos serviços de coleta, transporte, transbordo, tratamento e disposição final do lixo domiciliar de 16 municípios do Vale do Ribeira e Litoral Sul, além da disposição final do lixo público dos municípios que aderirem. O poder concedente é o CONSAÚDE, consórcio público com sede em Pariquera-Açu/SP.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2"/>
      </w:tblGrid>
      <w:tr>
        <w:trPr>
          <w:cantSplit/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Informação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Municípios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Barra do Turvo, Cajati, Cananéia, Eldorado, Iguape, Itanhaém, Itariri, Jacupiranga, Juquiá, Miracatu, Mongaguá, Pariquera-Açu, Pedro de Toledo, Registro, Sete Barras e Tapiraí. Itanhaém e Mongaguá também integram a Região Metropolitana da Baixada Santista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População e geração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452 mil habitantes em 2027; 127,9 mil t/ano de lixo domiciliar e 29,0 mil t/ano de lixo público no ano 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Regime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Concessão comum (Lei n.º 8.987/1995), remunerada por tarifa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Fora do escopo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Varrição, capina e poda. Do lixo público, entra só a disposição final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Prazo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 anos a partir da Ordem de Serviço; prorrogação de até 5 anos apenas como forma de reequilíbrio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Valor estimado do contrato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R$ 403.109.222,91, igual ao CAPEX total (data-base janeiro/2026)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Custos operacionais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R$ 1,65 bilhão em 30 anos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Regulação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ARSESP, mediante convênio de regulação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Situação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Consulta pública de 25/09 a 24/10/2026; audiência pública em 08/10/2026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Fases do contrato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4772"/>
      </w:tblGrid>
      <w:tr>
        <w:trPr>
          <w:cantSplit/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Fase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Período</w:t>
            </w:r>
          </w:p>
        </w:tc>
        <w:tc>
          <w:tcPr>
            <w:tcW w:type="dxa" w:w="4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 que acontece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Fase 1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 assinatura à Ordem de Serviço (até 180 dias)</w:t>
            </w:r>
          </w:p>
        </w:tc>
        <w:tc>
          <w:tcPr>
            <w:tcW w:type="dxa" w:w="4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Pré-operação, sem cobrança. Entrega de planos, cadastro de usuários e seguros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Fase 2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 Ordem de Serviço ao fim do ano 4</w:t>
            </w:r>
          </w:p>
        </w:tc>
        <w:tc>
          <w:tcPr>
            <w:tcW w:type="dxa" w:w="4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Operação plena e cobrança das tarifas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Fase 3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 ano 5 ao fim do contrato</w:t>
            </w:r>
          </w:p>
        </w:tc>
        <w:tc>
          <w:tcPr>
            <w:tcW w:type="dxa" w:w="4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Partida das tecnologias de tratamento, com disposição final em aterro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Fase 4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Últimos 24 meses</w:t>
            </w:r>
          </w:p>
        </w:tc>
        <w:tc>
          <w:tcPr>
            <w:tcW w:type="dxa" w:w="4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Desmobilização e entrega dos bens reversíveis</w:t>
            </w:r>
          </w:p>
        </w:tc>
      </w:tr>
    </w:tbl>
    <w:p>
      <w:pPr>
        <w:spacing w:after="120" w:before="120" w:line="360"/>
        <w:jc w:val="both"/>
      </w:pPr>
      <w:r>
        <w:rPr>
          <w:rFonts w:ascii="Times New Roman" w:cs="Times New Roman" w:eastAsia="Times New Roman" w:hAnsi="Times New Roman"/>
        </w:rPr>
        <w:t xml:space="preserve">A Ordem de Serviço depende de o aterro indicado pela concessionária, próprio ou de terceiro, estar implantado, licenciado e com vida útil de pelo menos 12 meses (Contrato, 5.4).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Remuneração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Tarifa Base (lixo domiciliar):</w:t>
      </w:r>
      <w:r>
        <w:rPr>
          <w:rFonts w:ascii="Times New Roman" w:cs="Times New Roman" w:eastAsia="Times New Roman" w:hAnsi="Times New Roman"/>
        </w:rPr>
        <w:t xml:space="preserve"> R$ 3,1452 por m³ de água faturada, cobrada diretamente do usuário em fatura própria. A tarifa de cada imóvel é a tarifa base × consumo de água × fator de uso, com mínimo de 10 m³/mês.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Fatores de uso:</w:t>
      </w:r>
      <w:r>
        <w:rPr>
          <w:rFonts w:ascii="Times New Roman" w:cs="Times New Roman" w:eastAsia="Times New Roman" w:hAnsi="Times New Roman"/>
        </w:rPr>
        <w:t xml:space="preserve"> social 0,5; residencial 1,0; comercial, industrial e público 2,0; rural sem ligação de água 0,5.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Consumo:</w:t>
      </w:r>
      <w:r>
        <w:rPr>
          <w:rFonts w:ascii="Times New Roman" w:cs="Times New Roman" w:eastAsia="Times New Roman" w:hAnsi="Times New Roman"/>
        </w:rPr>
        <w:t xml:space="preserve"> média do ano anterior. A categoria do imóvel segue o cadastro da prestadora de água, que é a SABESP nos 16 municípios, segundo o PIGIRS. A cobrança junto com a conta de água é facultativa e depende de convênio com a prestadora.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Tarifa do Ente Público (lixo público):</w:t>
      </w:r>
      <w:r>
        <w:rPr>
          <w:rFonts w:ascii="Times New Roman" w:cs="Times New Roman" w:eastAsia="Times New Roman" w:hAnsi="Times New Roman"/>
        </w:rPr>
        <w:t xml:space="preserve"> R$ 118,56 por tonelada, paga pelos municípios.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Receitas extraordinárias:</w:t>
      </w:r>
      <w:r>
        <w:rPr>
          <w:rFonts w:ascii="Times New Roman" w:cs="Times New Roman" w:eastAsia="Times New Roman" w:hAnsi="Times New Roman"/>
        </w:rPr>
        <w:t xml:space="preserve"> biogás, energia, composto, crédito de carbono e subprodutos já estão autorizados. 5% da receita bruta vai para a redução da tarifa (15% no caso de disposição de lixo de outros municípios).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Reajuste:</w:t>
      </w:r>
      <w:r>
        <w:rPr>
          <w:rFonts w:ascii="Times New Roman" w:cs="Times New Roman" w:eastAsia="Times New Roman" w:hAnsi="Times New Roman"/>
        </w:rPr>
        <w:t xml:space="preserve"> anual, pelo IPCA, com um Fator de Avaliação ligado a 10 indicadores de desempenho.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Repasses ao CONSAÚDE:</w:t>
      </w:r>
      <w:r>
        <w:rPr>
          <w:rFonts w:ascii="Times New Roman" w:cs="Times New Roman" w:eastAsia="Times New Roman" w:hAnsi="Times New Roman"/>
        </w:rPr>
        <w:t xml:space="preserve"> valores anuais para programas de catadores e fortalecimento institucional, pagos com recursos da tarifa.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A licitação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Modalidade:</w:t>
      </w:r>
      <w:r>
        <w:rPr>
          <w:rFonts w:ascii="Times New Roman" w:cs="Times New Roman" w:eastAsia="Times New Roman" w:hAnsi="Times New Roman"/>
        </w:rPr>
        <w:t xml:space="preserve"> concorrência, com sessão na B3. As licitantes são representadas por corretora credenciada.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Critério:</w:t>
      </w:r>
      <w:r>
        <w:rPr>
          <w:rFonts w:ascii="Times New Roman" w:cs="Times New Roman" w:eastAsia="Times New Roman" w:hAnsi="Times New Roman"/>
        </w:rPr>
        <w:t xml:space="preserve"> menor tarifa, pela oferta do multiplicador K (máximo de 1,0000, com 4 casas decimais), aplicado à Tarifa Base e à Tarifa do Ente Público. Não há lances; o desempate segue o art. 60 da Lei n.º 14.133/2021 e, depois, sorteio.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Envelopes:</w:t>
      </w:r>
      <w:r>
        <w:rPr>
          <w:rFonts w:ascii="Times New Roman" w:cs="Times New Roman" w:eastAsia="Times New Roman" w:hAnsi="Times New Roman"/>
        </w:rPr>
        <w:t xml:space="preserve"> 1 – garantia da proposta; 2 – proposta; 3 – habilitação. Com a inversão de fases, só o envelope 3 da primeira colocada é aberto.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Garantia de proposta:</w:t>
      </w:r>
      <w:r>
        <w:rPr>
          <w:rFonts w:ascii="Times New Roman" w:cs="Times New Roman" w:eastAsia="Times New Roman" w:hAnsi="Times New Roman"/>
        </w:rPr>
        <w:t xml:space="preserve"> R$ 4.031.092,23 (1% do valor estimado), com prazo de 12 meses. Modalidades: caução, títulos públicos, seguro-garantia, fiança bancária ou título de capitalização.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Validade da proposta:</w:t>
      </w:r>
      <w:r>
        <w:rPr>
          <w:rFonts w:ascii="Times New Roman" w:cs="Times New Roman" w:eastAsia="Times New Roman" w:hAnsi="Times New Roman"/>
        </w:rPr>
        <w:t xml:space="preserve"> 12 meses.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Esclarecimentos e impugnações:</w:t>
      </w:r>
      <w:r>
        <w:rPr>
          <w:rFonts w:ascii="Times New Roman" w:cs="Times New Roman" w:eastAsia="Times New Roman" w:hAnsi="Times New Roman"/>
        </w:rPr>
        <w:t xml:space="preserve"> até 3 dias úteis antes da entrega dos envelopes.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Recursos:</w:t>
      </w:r>
      <w:r>
        <w:rPr>
          <w:rFonts w:ascii="Times New Roman" w:cs="Times New Roman" w:eastAsia="Times New Roman" w:hAnsi="Times New Roman"/>
        </w:rPr>
        <w:t xml:space="preserve"> fase única, depois do resultado final, em 3 dias úteis.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 Habilitação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2"/>
      </w:tblGrid>
      <w:tr>
        <w:trPr>
          <w:cantSplit/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Tipo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Exigência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Jurídica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Atos constitutivos, com regras próprias para estrangeiras, instituições financeiras, entidades de previdência complementar e fundos de investimento. Declarações do Apêndice 3, incluindo a de ciência sobre Itanhaém e Mongaguá na região metropolitana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Fiscal e trabalhista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CNPJ, inscrições estadual e municipal, certidões federal, estadual e municipal, FGTS e CNDT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Técnica – investimento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Participação em empreendimento de infraestrutura, de qualquer setor, com investimento de pelo menos R$ 201,6 milhões (50% do CAPEX). Atestados podem ser somados se um deles tiver pelo menos R$ 100,8 milhões. Com recursos de terceiros, financiamento de prazo superior a 5 anos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Técnica – operação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Atestados de 2 anos contínuos de coleta e transporte de lixo domiciliar e de operação de aterro sanitário licenciado, cada um com pelo menos 50% da massa anual estimada no Caderno de Encargos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Técnica – visita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Atestado de visita técnica ou declaração de não realização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Técnica – subcontratada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São aceitos atestados de subcontratada especialista, com compromisso irrevogável durante toda a concessão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Econômico-financeira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Patrimônio líquido mínimo de R$ 40,3 milhões (R$ 52,4 milhões para consórcio); balanços dos 2 últimos exercícios; certidão de falência e recuperação; declaração de capacidade financeira</w:t>
            </w:r>
          </w:p>
        </w:tc>
      </w:tr>
    </w:tbl>
    <w:p>
      <w:pPr>
        <w:spacing w:after="120" w:before="12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Consórcio:</w:t>
      </w:r>
      <w:r>
        <w:rPr>
          <w:rFonts w:ascii="Times New Roman" w:cs="Times New Roman" w:eastAsia="Times New Roman" w:hAnsi="Times New Roman"/>
        </w:rPr>
        <w:t xml:space="preserve"> é admitido. A empresa que apresenta os atestados técnicos precisa ter pelo menos 20% de participação; em consórcio com estrangeiras, a liderança é de empresa brasileira; uma empresa não pode participar de mais de um consórcio.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6. Condições para assinar o contrato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2"/>
      </w:tblGrid>
      <w:tr>
        <w:trPr>
          <w:cantSplit/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Exigência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SPE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Sociedade por ações, com objeto exclusivo e sede em município do CONSAÚDE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Capital social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R$ 114 milhões: R$ 88 milhões integralizados antes da assinatura, R$ 7 milhões em até 36 meses e R$ 19 milhões em até 48 meses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Ressarcimentos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R$ 15.666.098,61 ao FEP/CAIXA pelos estudos (corrigido pela Selic) e R$ 557.779,45 à B3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Garantia de execução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R$ 20.155.461,15 (5%) nos anos 1 a 10 e R$ 10.077.730,57 (2,5%) nos anos 11 a 30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Prazo para assinar</w:t>
            </w:r>
          </w:p>
        </w:tc>
        <w:tc>
          <w:tcPr>
            <w:tcW w:type="dxa" w:w="64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 dias após a convocação, prorrogável uma vez</w:t>
            </w:r>
          </w:p>
        </w:tc>
      </w:tr>
    </w:tbl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7. Rota tecnológica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7.1 O que o edital exige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O edital não fixa a tecnologia de tratamento. A concessionária propõe o modelo tecnológico e responde por projeto, áreas, licenças e operação, desde que cumpra as metas de desvio do aterro e demonstre aderência ao PIGIRS (Caderno de Encargos, item 3.3).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</w:rPr>
        <w:t xml:space="preserve">Unidade de tratamento implantada em até 48 meses da Ordem de Serviço, com operação a partir do ano 5.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</w:rPr>
        <w:t xml:space="preserve">Rota tecnológica aderente ao PIGIRS, demonstrada no Plano de Trabalho e no Plano de Investimentos (Contrato, 38.4).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Disposição final:</w:t>
      </w:r>
      <w:r>
        <w:rPr>
          <w:rFonts w:ascii="Times New Roman" w:cs="Times New Roman" w:eastAsia="Times New Roman" w:hAnsi="Times New Roman"/>
        </w:rPr>
        <w:t xml:space="preserve"> em aterro próprio ou de terceiro licenciado, isoladamente ou em sequência (Contrato, 15.1).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Prazo do aterro:</w:t>
      </w:r>
      <w:r>
        <w:rPr>
          <w:rFonts w:ascii="Times New Roman" w:cs="Times New Roman" w:eastAsia="Times New Roman" w:hAnsi="Times New Roman"/>
        </w:rPr>
        <w:t xml:space="preserve"> até a Ordem de Serviço, que ocorre no máximo 180 dias após a assinatura, o aterro indicado, próprio ou de terceiro, deve estar implantado, em operação, licenciado e com vida útil de pelo menos 12 meses (Contrato, 5.4). Logo após a Ordem de Serviço, deve haver ao menos uma solução de disposição final disponível (Caderno de Encargos, Tabela 7).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Aterro próprio:</w:t>
      </w:r>
      <w:r>
        <w:rPr>
          <w:rFonts w:ascii="Times New Roman" w:cs="Times New Roman" w:eastAsia="Times New Roman" w:hAnsi="Times New Roman"/>
        </w:rPr>
        <w:t xml:space="preserve"> o licenciamento, o projeto, a compra da área e a implantação começam logo após a assinatura (Contrato, 15.1.1). O contrato remete os prazos de projeto e obra ao cronograma do Caderno de Encargos, que não traz prazo específico para o aterro próprio. No modelo de referência, a disposição é feita em aterros privados nos anos 1 a 4, o aterro próprio é implantado nos anos 2 a 4 e opera a partir do ano 5.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Fim do contrato:</w:t>
      </w:r>
      <w:r>
        <w:rPr>
          <w:rFonts w:ascii="Times New Roman" w:cs="Times New Roman" w:eastAsia="Times New Roman" w:hAnsi="Times New Roman"/>
        </w:rPr>
        <w:t xml:space="preserve"> o aterro não é bem reversível e, ao término, deve estar licenciado e ter vida útil remanescente de pelo menos 5 anos (Contrato, 15.7).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</w:rPr>
        <w:t xml:space="preserve">No aterro próprio, a captação e o tratamento do biogás são obrigatórios; o aproveitamento energético é facultativo.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</w:rPr>
        <w:t xml:space="preserve">Base legal: a ordem de prioridade da PNRS e a recuperação energética condicionada à viabilidade técnica e ambiental e ao monitoramento de emissões (art. 9.º, caput e § 1.º, da Lei n.º 12.305/2010).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7.2 Metas de desvio do aterro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A partir do ano 5, três indicadores medem quanto do lixo domiciliar deixa de ir para o aterro. Cada um pesa 15% na nota anual de desempenho, que entra no reajuste da tarifa.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000"/>
        <w:gridCol w:w="1900"/>
        <w:gridCol w:w="1972"/>
      </w:tblGrid>
      <w:tr>
        <w:trPr>
          <w:cantSplit/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Marco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Recicláveis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Orgânicos (tratamento biológico)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Desvio total do aterro</w:t>
            </w:r>
          </w:p>
        </w:tc>
        <w:tc>
          <w:tcPr>
            <w:tcW w:type="dxa" w:w="19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Parcela por outras rotas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Ano 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9,7%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10,8%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32,6%</w:t>
            </w:r>
          </w:p>
        </w:tc>
        <w:tc>
          <w:tcPr>
            <w:tcW w:type="dxa" w:w="19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12,1 p.p.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2036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11,3%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14,4%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41,8%</w:t>
            </w:r>
          </w:p>
        </w:tc>
        <w:tc>
          <w:tcPr>
            <w:tcW w:type="dxa" w:w="19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16,1 p.p.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2040 a 2055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12,9%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18,1%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51,0%</w:t>
            </w:r>
          </w:p>
        </w:tc>
        <w:tc>
          <w:tcPr>
            <w:tcW w:type="dxa" w:w="19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20,0 p.p.</w:t>
            </w:r>
          </w:p>
        </w:tc>
      </w:tr>
    </w:tbl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Fonte: Anexo 4, Tabela 8 (Nota Técnica Conjunta 001/2024). Última coluna: desvio total menos recicláveis e orgânicos.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O Plano de Negócio aponta a recuperação energética (biogás, CDR e biometanização) como componente necessário para alcançar essas metas (item 4.2).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7.3 A rota do modelo de referência</w:t>
      </w:r>
    </w:p>
    <w:p>
      <w:pPr>
        <w:keepNext/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O Plano de Negócio apresenta uma rota de referência, que não vincula a concessionária: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Fonte: Plano de Negócio Referencial, itens 4.2 e 6.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Anos 1 a 4:</w:t>
      </w:r>
      <w:r>
        <w:rPr>
          <w:rFonts w:ascii="Times New Roman" w:cs="Times New Roman" w:eastAsia="Times New Roman" w:hAnsi="Times New Roman"/>
        </w:rPr>
        <w:t xml:space="preserve"> coleta, transbordo em Itariri e Pariquera-Açu e destinação em aterros sanitários privados licenciados.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A partir do ano 5:</w:t>
      </w:r>
      <w:r>
        <w:rPr>
          <w:rFonts w:ascii="Times New Roman" w:cs="Times New Roman" w:eastAsia="Times New Roman" w:hAnsi="Times New Roman"/>
        </w:rPr>
        <w:t xml:space="preserve"> duas unidades de triagem mecanizada separam recicláveis, orgânicos, CDR e rejeitos.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Orgânicos:</w:t>
      </w:r>
      <w:r>
        <w:rPr>
          <w:rFonts w:ascii="Times New Roman" w:cs="Times New Roman" w:eastAsia="Times New Roman" w:hAnsi="Times New Roman"/>
        </w:rPr>
        <w:t xml:space="preserve"> compostagem a partir do ano 5 e biometanização (110 t/dia e 60 t/dia) a partir dos anos 10 e 14.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CDR (combustível derivado de resíduo):</w:t>
      </w:r>
      <w:r>
        <w:rPr>
          <w:rFonts w:ascii="Times New Roman" w:cs="Times New Roman" w:eastAsia="Times New Roman" w:hAnsi="Times New Roman"/>
        </w:rPr>
        <w:t xml:space="preserve"> produzido nas unidades de triagem e destinado a coprocessamento em cimenteira localizada em Cajati.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Rejeitos:</w:t>
      </w:r>
      <w:r>
        <w:rPr>
          <w:rFonts w:ascii="Times New Roman" w:cs="Times New Roman" w:eastAsia="Times New Roman" w:hAnsi="Times New Roman"/>
        </w:rPr>
        <w:t xml:space="preserve"> novo aterro sanitário próprio, com captação de biogás.</w:t>
      </w:r>
    </w:p>
    <w:p>
      <w:pPr>
        <w:spacing w:after="6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2"/>
        <w:gridCol w:w="2250"/>
        <w:gridCol w:w="2250"/>
      </w:tblGrid>
      <w:tr>
        <w:trPr>
          <w:cantSplit/>
          <w:tblHeader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Componente da rota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CAPEX (R$ milhões)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OPEX em 30 anos (R$ milhões)</w:t>
            </w:r>
          </w:p>
        </w:tc>
      </w:tr>
      <w:tr>
        <w:trPr>
          <w:cantSplit/>
          <w:tblHeader w:val="false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Triagem mecanizada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32,1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182,3</w:t>
            </w:r>
          </w:p>
        </w:tc>
      </w:tr>
      <w:tr>
        <w:trPr>
          <w:cantSplit/>
          <w:tblHeader w:val="false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Biometanização e compostagem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59,0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105,1</w:t>
            </w:r>
          </w:p>
        </w:tc>
      </w:tr>
      <w:tr>
        <w:trPr>
          <w:cantSplit/>
          <w:tblHeader w:val="false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Transporte de CDR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8,3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2,5</w:t>
            </w:r>
          </w:p>
        </w:tc>
      </w:tr>
      <w:tr>
        <w:trPr>
          <w:cantSplit/>
          <w:tblHeader w:val="false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Aterro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30,6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210,4</w:t>
            </w:r>
          </w:p>
        </w:tc>
      </w:tr>
    </w:tbl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Fonte: Plano de Negócio Referencial, Tabelas 20 a 23 e 28 a 33. As receitas acessórias (energia, biogás, CDR e carbono) não foram estimadas no modelo (item 13).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7.4 O que diz o PIGIRS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A minuta do PIGIRS avalia quatro alternativas de tratamento, sem escolher uma: triagem mecanizada com compostagem; biometanização com compostagem; gaseificação; e incineração. Todas pressupõem a separação de recicláveis e o aterro com captação de biogás. Sobre energia, o plano considera o aproveitamento energético "uma opção desejável, desde que apresente viabilidade econômica".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7.5 Quem assume os riscos da rota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72"/>
        <w:gridCol w:w="3500"/>
      </w:tblGrid>
      <w:tr>
        <w:trPr>
          <w:cantSplit/>
          <w:tblHeader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Risco (Anexo 7)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Quem assume</w:t>
            </w:r>
          </w:p>
        </w:tc>
      </w:tr>
      <w:tr>
        <w:trPr>
          <w:cantSplit/>
          <w:tblHeader w:val="false"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Atualidade da tecnologia empregada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Concessionária</w:t>
            </w:r>
          </w:p>
        </w:tc>
      </w:tr>
      <w:tr>
        <w:trPr>
          <w:cantSplit/>
          <w:tblHeader w:val="false"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Mudança na composição do lixo que afete as metas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Concessionária</w:t>
            </w:r>
          </w:p>
        </w:tc>
      </w:tr>
      <w:tr>
        <w:trPr>
          <w:cantSplit/>
          <w:tblHeader w:val="false"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Atividades de receita extra (CDR, energia, biogás)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Concessionária</w:t>
            </w:r>
          </w:p>
        </w:tc>
      </w:tr>
      <w:tr>
        <w:trPr>
          <w:cantSplit/>
          <w:tblHeader w:val="false"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Atraso de licença por culpa da concessionária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Concessionária</w:t>
            </w:r>
          </w:p>
        </w:tc>
      </w:tr>
      <w:tr>
        <w:trPr>
          <w:cantSplit/>
          <w:tblHeader w:val="false"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Atraso de licença a cargo do poder concedente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Poder concedente</w:t>
            </w:r>
          </w:p>
        </w:tc>
      </w:tr>
      <w:tr>
        <w:trPr>
          <w:cantSplit/>
          <w:tblHeader w:val="false"/>
        </w:trPr>
        <w:tc>
          <w:tcPr>
            <w:tcW w:type="dxa" w:w="5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Mudança de rota imposta pelo planejamento metropolitano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Poder concedente, com aditivo e reequilíbrio</w:t>
            </w:r>
          </w:p>
        </w:tc>
      </w:tr>
    </w:tbl>
    <w:p>
      <w:pPr>
        <w:spacing w:after="60"/>
      </w:pP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Fontes: minutas do Edital, do Contrato e dos Anexos em consulta pública; Plano de Negócio Referencial; minuta do PIGIRS.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5d3374acbf7123d71b0abdccdad71624d700b2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2026-10-08T20:32:09.651Z</dcterms:created>
  <dcterms:modified xsi:type="dcterms:W3CDTF">2026-10-08T20:32:09.651Z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