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PPP RSU Porto Velho/RO — Fase 1: Big Numbers e Pontos Impugnáveis</w:t>
      </w:r>
    </w:p>
    <w:p>
      <w:pPr>
        <w:spacing w:after="240"/>
        <w:jc w:val="center"/>
      </w:pPr>
      <w:r>
        <w:rPr>
          <w:rFonts w:ascii="Times New Roman" w:cs="Times New Roman" w:eastAsia="Times New Roman" w:hAnsi="Times New Roman"/>
          <w:b/>
          <w:bCs/>
          <w:color w:val="C00000"/>
          <w:sz w:val="24"/>
          <w:szCs w:val="24"/>
        </w:rPr>
        <w:t xml:space="preserve">[USO INTERNO]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Campo</w:t>
            </w:r>
          </w:p>
        </w:tc>
        <w:tc>
          <w:tcPr>
            <w:tcW w:type="dxa" w:w="70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Informação</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Concorrência n.º [•]/2026 (número em branco no edital) — 2.ª versão, 08/09/2026</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Órgão</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Prefeitura do Município de Porto Velho/RO — SEINFRA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Modalidade</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Concorrência eletrônica (Lei 14.133/2021); PPP na modalidade concessão administrativa (Lei 11.079/2004); menor contraprestação</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Objeto resumido</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Coleta (domiciliar, seletiva, RSS, ecopontos, feiras), transbordos e logística fluvial, remediação da Lixeira de Vila Princesa, recuperação do Aterro do Jirau e implantação da CTR Porto Velho (triagem, compostagem, CDR, RSS e aterro de rejeitos) — 30 anos</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Valor estimado</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R$ 2.311.927.627,53 (maio/2026); contraprestação mensal máxima R$ 6.505.697,97</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Documentos analisados</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Anexos A–D, Anexos III–VII e estudos P0, P1, P2, P3, P4, P6 e P7 (17 PDFs, ≈ 260 mil palavras). P5 (avaliação da indenização) não consta do pacote.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Data da análise</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08/10/2026</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Fase</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Fase 1 — varredura exaustiva (extratores E1–E7 + consolidador C). Sem jurisprudência; sem juízo de força.</w:t>
            </w:r>
          </w:p>
        </w:tc>
      </w:tr>
    </w:tbl>
    <w:p>
      <w:pPr>
        <w:spacing w:after="0" w:before="0" w:line="360"/>
        <w:jc w:val="both"/>
      </w:pPr>
    </w:p>
    <w:p>
      <w:pPr>
        <w:pStyle w:val="Heading1"/>
        <w:keepNext/>
        <w:spacing w:after="120" w:before="240" w:line="360"/>
      </w:pPr>
      <w:r>
        <w:rPr>
          <w:rFonts w:ascii="Times New Roman" w:cs="Times New Roman" w:eastAsia="Times New Roman" w:hAnsi="Times New Roman"/>
          <w:b/>
          <w:bCs/>
          <w:sz w:val="28"/>
          <w:szCs w:val="28"/>
        </w:rPr>
        <w:t xml:space="preserve">Nota metodológica</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Sete extratores leram integralmente os 17 documentos e produziram 727 achados brutos; o consolidador eliminou duplicatas, cruzou documentos e conferiu transcrições e páginas no texto-fonte.</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Classificação binária do CLAUDE.md: </w:t>
      </w:r>
      <w:r>
        <w:rPr>
          <w:rFonts w:ascii="Times New Roman" w:cs="Times New Roman" w:eastAsia="Times New Roman" w:hAnsi="Times New Roman"/>
          <w:b/>
          <w:bCs/>
          <w:sz w:val="24"/>
          <w:szCs w:val="24"/>
        </w:rPr>
        <w:t xml:space="preserve">IRREGULAR</w:t>
      </w:r>
      <w:r>
        <w:rPr>
          <w:rFonts w:ascii="Times New Roman" w:cs="Times New Roman" w:eastAsia="Times New Roman" w:hAnsi="Times New Roman"/>
          <w:sz w:val="24"/>
          <w:szCs w:val="24"/>
        </w:rPr>
        <w:t xml:space="preserve"> (vício identificado e ancorado em dispositivo), </w:t>
      </w:r>
      <w:r>
        <w:rPr>
          <w:rFonts w:ascii="Times New Roman" w:cs="Times New Roman" w:eastAsia="Times New Roman" w:hAnsi="Times New Roman"/>
          <w:b/>
          <w:bCs/>
          <w:sz w:val="24"/>
          <w:szCs w:val="24"/>
        </w:rPr>
        <w:t xml:space="preserve">DEPENDE DE FATO</w:t>
      </w:r>
      <w:r>
        <w:rPr>
          <w:rFonts w:ascii="Times New Roman" w:cs="Times New Roman" w:eastAsia="Times New Roman" w:hAnsi="Times New Roman"/>
          <w:sz w:val="24"/>
          <w:szCs w:val="24"/>
        </w:rPr>
        <w:t xml:space="preserve"> (falta documento ou fato para concluir) e </w:t>
      </w:r>
      <w:r>
        <w:rPr>
          <w:rFonts w:ascii="Times New Roman" w:cs="Times New Roman" w:eastAsia="Times New Roman" w:hAnsi="Times New Roman"/>
          <w:b/>
          <w:bCs/>
          <w:sz w:val="24"/>
          <w:szCs w:val="24"/>
        </w:rPr>
        <w:t xml:space="preserve">CONFORME</w:t>
      </w:r>
      <w:r>
        <w:rPr>
          <w:rFonts w:ascii="Times New Roman" w:cs="Times New Roman" w:eastAsia="Times New Roman" w:hAnsi="Times New Roman"/>
          <w:sz w:val="24"/>
          <w:szCs w:val="24"/>
        </w:rPr>
        <w:t xml:space="preserve"> (cobertura do checklist).</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Não há jurisprudência nesta fase. As decisões do TCE-RO aparecem só como fato documental. A busca jurisprudencial (Lei na Mão e Jus IA) e o roteamento entre impugnação, esclarecimento e representação ficam para a Fase 2, sobre os pontos que o advogado selecionar.</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Não há classificação de força das teses nem priorização. A ordem segue o tema e o tipo de achado.</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Pontos com </w:t>
      </w:r>
      <w:r>
        <w:rPr>
          <w:rFonts w:ascii="Times New Roman" w:cs="Times New Roman" w:eastAsia="Times New Roman" w:hAnsi="Times New Roman"/>
          <w:b/>
          <w:bCs/>
          <w:sz w:val="24"/>
          <w:szCs w:val="24"/>
        </w:rPr>
        <w:t xml:space="preserve">[RESERVA]</w:t>
      </w:r>
      <w:r>
        <w:rPr>
          <w:rFonts w:ascii="Times New Roman" w:cs="Times New Roman" w:eastAsia="Times New Roman" w:hAnsi="Times New Roman"/>
          <w:sz w:val="24"/>
          <w:szCs w:val="24"/>
        </w:rPr>
        <w:t xml:space="preserve"> ou </w:t>
      </w:r>
      <w:r>
        <w:rPr>
          <w:rFonts w:ascii="Times New Roman" w:cs="Times New Roman" w:eastAsia="Times New Roman" w:hAnsi="Times New Roman"/>
          <w:b/>
          <w:bCs/>
          <w:sz w:val="24"/>
          <w:szCs w:val="24"/>
        </w:rPr>
        <w:t xml:space="preserve">[DECISÃO COMERCIAL]</w:t>
      </w:r>
      <w:r>
        <w:rPr>
          <w:rFonts w:ascii="Times New Roman" w:cs="Times New Roman" w:eastAsia="Times New Roman" w:hAnsi="Times New Roman"/>
          <w:sz w:val="24"/>
          <w:szCs w:val="24"/>
        </w:rPr>
        <w:t xml:space="preserve"> estão segregados na seção 4 e não devem ser protocolados sem decisão do advogado.</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[VALIDAÇÃO TÉCNICA]</w:t>
      </w:r>
      <w:r>
        <w:rPr>
          <w:rFonts w:ascii="Times New Roman" w:cs="Times New Roman" w:eastAsia="Times New Roman" w:hAnsi="Times New Roman"/>
          <w:sz w:val="24"/>
          <w:szCs w:val="24"/>
        </w:rPr>
        <w:t xml:space="preserve"> indica dependência de confirmação de engenharia. </w:t>
      </w:r>
      <w:r>
        <w:rPr>
          <w:rFonts w:ascii="Times New Roman" w:cs="Times New Roman" w:eastAsia="Times New Roman" w:hAnsi="Times New Roman"/>
          <w:b/>
          <w:bCs/>
          <w:sz w:val="24"/>
          <w:szCs w:val="24"/>
        </w:rPr>
        <w:t xml:space="preserve">[FONTE EXTERNA — VERIFICAR]</w:t>
      </w:r>
      <w:r>
        <w:rPr>
          <w:rFonts w:ascii="Times New Roman" w:cs="Times New Roman" w:eastAsia="Times New Roman" w:hAnsi="Times New Roman"/>
          <w:sz w:val="24"/>
          <w:szCs w:val="24"/>
        </w:rPr>
        <w:t xml:space="preserve"> indica fato obtido fora do pacote do edital (seção 5), a confirmar em fonte primária antes de uso formal.</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 identificação de empresas (EcoRondônia/Marquise, CTR Porto Velho S.A., Orizon, Ecofort, consórcio autor dos estudos) é factual e restrita a este documento de uso interno.</w:t>
      </w:r>
    </w:p>
    <w:p>
      <w:pPr>
        <w:pStyle w:val="Heading1"/>
        <w:keepNext/>
        <w:spacing w:after="120" w:before="240" w:line="360"/>
      </w:pPr>
      <w:r>
        <w:rPr>
          <w:rFonts w:ascii="Times New Roman" w:cs="Times New Roman" w:eastAsia="Times New Roman" w:hAnsi="Times New Roman"/>
          <w:b/>
          <w:bCs/>
          <w:sz w:val="28"/>
          <w:szCs w:val="28"/>
        </w:rPr>
        <w:t xml:space="preserve">Quadro-resumo da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300"/>
        <w:gridCol w:w="1500"/>
        <w:gridCol w:w="1700"/>
        <w:gridCol w:w="1300"/>
      </w:tblGrid>
      <w:tr>
        <w:trPr>
          <w:cantSplit/>
          <w:tblHeader/>
        </w:trPr>
        <w:tc>
          <w:tcPr>
            <w:tcW w:type="dxa" w:w="3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Tema</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Irregular</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Depende de fato</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Reserva / decisão comercial</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Conforme</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Objeto e escopo</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30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3</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Licenciamento e passivos ambientais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3</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0</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Modelagem econômico-financeira</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50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6</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2</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Remuneração, desempenho e reajuste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23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2</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Riscos e garantias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38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32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4</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Regulação e fiscalização</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22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3</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Habilitação</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24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2</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Julgamento e proposta</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Questões formais e condições prévias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40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3</w:t>
            </w:r>
          </w:p>
        </w:tc>
      </w:tr>
      <w:tr>
        <w:tc>
          <w:tcPr>
            <w:tcW w:type="dxa" w:w="38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Total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240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77</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76</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18</w:t>
            </w:r>
          </w:p>
        </w:tc>
      </w:tr>
    </w:tbl>
    <w:p>
      <w:pPr>
        <w:spacing w:after="120" w:before="60" w:line="360"/>
        <w:jc w:val="both"/>
      </w:pPr>
      <w:r>
        <w:rPr>
          <w:rFonts w:ascii="Times New Roman" w:cs="Times New Roman" w:eastAsia="Times New Roman" w:hAnsi="Times New Roman"/>
          <w:i/>
          <w:iCs/>
          <w:sz w:val="20"/>
          <w:szCs w:val="20"/>
        </w:rPr>
        <w:t xml:space="preserve">Contagem por ponto consolidado. A coluna de reserva inclui pontos irregulares e dependentes de fato que estão segregados na seção 4.</w:t>
      </w:r>
    </w:p>
    <w:p>
      <w:r>
        <w:br w:type="page"/>
      </w:r>
    </w:p>
    <w:p>
      <w:pPr>
        <w:pStyle w:val="Heading1"/>
        <w:keepNext/>
        <w:spacing w:after="120" w:before="240" w:line="360"/>
      </w:pPr>
      <w:r>
        <w:rPr>
          <w:rFonts w:ascii="Times New Roman" w:cs="Times New Roman" w:eastAsia="Times New Roman" w:hAnsi="Times New Roman"/>
          <w:b/>
          <w:bCs/>
          <w:sz w:val="28"/>
          <w:szCs w:val="28"/>
        </w:rPr>
        <w:t xml:space="preserve">1. Big numbers</w:t>
      </w:r>
    </w:p>
    <w:p>
      <w:pPr>
        <w:spacing w:after="120" w:before="0" w:line="360"/>
        <w:jc w:val="both"/>
      </w:pPr>
      <w:r>
        <w:rPr>
          <w:rFonts w:ascii="Times New Roman" w:cs="Times New Roman" w:eastAsia="Times New Roman" w:hAnsi="Times New Roman"/>
          <w:sz w:val="24"/>
          <w:szCs w:val="24"/>
        </w:rPr>
        <w:t xml:space="preserve">Números-chave extraídos dos documentos, com fonte e, quando cabível, a divergência encontrada entre documentos. 'calc.' indica cálculo próprio a partir das tabelas do pacote.</w:t>
      </w:r>
    </w:p>
    <w:p>
      <w:pPr>
        <w:pStyle w:val="Heading2"/>
        <w:keepNext/>
        <w:spacing w:after="120" w:before="240" w:line="360"/>
      </w:pPr>
      <w:r>
        <w:rPr>
          <w:rFonts w:ascii="Times New Roman" w:cs="Times New Roman" w:eastAsia="Times New Roman" w:hAnsi="Times New Roman"/>
          <w:b/>
          <w:bCs/>
          <w:sz w:val="26"/>
          <w:szCs w:val="26"/>
        </w:rPr>
        <w:t xml:space="preserve">Contrato e contraprestação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38"/>
        <w:gridCol w:w="42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Item</w:t>
            </w:r>
          </w:p>
        </w:tc>
        <w:tc>
          <w:tcPr>
            <w:tcW w:type="dxa" w:w="27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Valor</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Fonte / observação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Modalidade / critério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Concessão administrativa; menor contraprestação mensal</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preâmbulo, 4.1–4.2 e 12.2.2</w:t>
            </w:r>
          </w:p>
          <w:p>
            <w:pPr>
              <w:spacing w:after="40" w:line="240"/>
              <w:jc w:val="left"/>
            </w:pPr>
            <w:r>
              <w:rPr>
                <w:rFonts w:ascii="Times New Roman" w:cs="Times New Roman" w:eastAsia="Times New Roman" w:hAnsi="Times New Roman"/>
                <w:sz w:val="18"/>
                <w:szCs w:val="18"/>
              </w:rPr>
              <w:t xml:space="preserve">Lances sobre a Contraprestação Mensal; disputa aberta e fechada (art. 56 da Lei 14.133).</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Prazo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30 anos (prorrogável até 35)</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6.1–6.2; Contrato 6.1</w:t>
            </w:r>
          </w:p>
          <w:p>
            <w:pPr>
              <w:spacing w:after="40" w:line="240"/>
              <w:jc w:val="left"/>
            </w:pPr>
            <w:r>
              <w:rPr>
                <w:rFonts w:ascii="Times New Roman" w:cs="Times New Roman" w:eastAsia="Times New Roman" w:hAnsi="Times New Roman"/>
                <w:sz w:val="18"/>
                <w:szCs w:val="18"/>
              </w:rPr>
              <w:t xml:space="preserve">Contado da assinatura; não há prazo máximo para a Ordem de Início.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Valor Estimado do Contrato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R$ 2.311.927.627,53</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5.1 (data-base maio/2026, nominal)</w:t>
            </w:r>
          </w:p>
          <w:p>
            <w:pPr>
              <w:spacing w:after="40" w:line="240"/>
              <w:jc w:val="left"/>
            </w:pPr>
            <w:r>
              <w:rPr>
                <w:rFonts w:ascii="Times New Roman" w:cs="Times New Roman" w:eastAsia="Times New Roman" w:hAnsi="Times New Roman"/>
                <w:sz w:val="18"/>
                <w:szCs w:val="18"/>
              </w:rPr>
              <w:t xml:space="preserve">calc.: 360 × CMM = R$ 2.342.051.269,20. O valor publicado só fecha com a rampa da Parcela A e 3 meses sem pagamento do P6 (357 parcelas).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Contraprestação Mensal Máxima (teto do lance)</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R$ 6.505.697,97</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12.2.1; P6 Tab. 14</w:t>
            </w:r>
          </w:p>
          <w:p>
            <w:pPr>
              <w:spacing w:after="40" w:line="240"/>
              <w:jc w:val="left"/>
            </w:pPr>
            <w:r>
              <w:rPr>
                <w:rFonts w:ascii="Times New Roman" w:cs="Times New Roman" w:eastAsia="Times New Roman" w:hAnsi="Times New Roman"/>
                <w:sz w:val="18"/>
                <w:szCs w:val="18"/>
              </w:rPr>
              <w:t xml:space="preserve">Parcela A (CAPEX) R$ 1.767.757,85 + Parcela B (OPEX) R$ 4.737.940,12.</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Rampa da Parcela A</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60% (ano 1) / 80% (ano 2) / 100%</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14 (R$ 1.060.655,71 / R$ 1.414.206,28)</w:t>
            </w:r>
          </w:p>
          <w:p>
            <w:pPr>
              <w:spacing w:after="40" w:line="240"/>
              <w:jc w:val="left"/>
            </w:pPr>
            <w:r>
              <w:rPr>
                <w:rFonts w:ascii="Times New Roman" w:cs="Times New Roman" w:eastAsia="Times New Roman" w:hAnsi="Times New Roman"/>
                <w:sz w:val="18"/>
                <w:szCs w:val="18"/>
              </w:rPr>
              <w:t xml:space="preserve">Contrato 15.6 adota outra regra; Caderno XI.6 vincula a marcos. O Edital não menciona rampa.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Contraprestação anual em regime pleno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R$ 78.068.375,62</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5.1.1</w:t>
            </w:r>
          </w:p>
          <w:p>
            <w:pPr>
              <w:spacing w:after="40" w:line="240"/>
              <w:jc w:val="left"/>
            </w:pPr>
            <w:r>
              <w:rPr>
                <w:rFonts w:ascii="Times New Roman" w:cs="Times New Roman" w:eastAsia="Times New Roman" w:hAnsi="Times New Roman"/>
                <w:sz w:val="18"/>
                <w:szCs w:val="18"/>
              </w:rPr>
              <w:t xml:space="preserve">calc. ano 1 ≈ R$ 52,2 mi (9 parcelas); ano 2 ≈ R$ 73,8 mi.</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Preço implícito por tonelada</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 R$ 518/t (2027) → ≈ R$ 452/t (2056)</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calc. CP plena ÷ RSU bruto (P6 Tab. 5)</w:t>
            </w:r>
          </w:p>
          <w:p>
            <w:pPr>
              <w:spacing w:after="40" w:line="240"/>
              <w:jc w:val="left"/>
            </w:pPr>
            <w:r>
              <w:rPr>
                <w:rFonts w:ascii="Times New Roman" w:cs="Times New Roman" w:eastAsia="Times New Roman" w:hAnsi="Times New Roman"/>
                <w:sz w:val="18"/>
                <w:szCs w:val="18"/>
              </w:rPr>
              <w:t xml:space="preserve">Cobre coleta, transporte, tratamento, destinação e passivos. Não há custo atual de referência nos estudos.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Indício de inexequibilidade</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&lt; R$ 4.879.273,48/mês (75% da CMM)</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15.8.3.1</w:t>
            </w:r>
          </w:p>
          <w:p>
            <w:pPr>
              <w:spacing w:after="40" w:line="240"/>
              <w:jc w:val="left"/>
            </w:pPr>
            <w:r>
              <w:rPr>
                <w:rFonts w:ascii="Times New Roman" w:cs="Times New Roman" w:eastAsia="Times New Roman" w:hAnsi="Times New Roman"/>
                <w:sz w:val="18"/>
                <w:szCs w:val="18"/>
              </w:rPr>
              <w:t xml:space="preserve">Presunção relativa, com diligência.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Desconto máximo por desempenho (IQD)</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10% da contraprestação</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15.5</w:t>
            </w:r>
          </w:p>
          <w:p>
            <w:pPr>
              <w:spacing w:after="40" w:line="240"/>
              <w:jc w:val="left"/>
            </w:pPr>
            <w:r>
              <w:rPr>
                <w:rFonts w:ascii="Times New Roman" w:cs="Times New Roman" w:eastAsia="Times New Roman" w:hAnsi="Times New Roman"/>
                <w:sz w:val="18"/>
                <w:szCs w:val="18"/>
              </w:rPr>
              <w:t xml:space="preserve">Declarado 'referencial'; o Anexo D não traz a regra de conversão nota → desconto.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Receitas acessórias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Zero no fluxo; compartilhamento de 5%</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48–50; Contrato 18.5.1</w:t>
            </w:r>
          </w:p>
          <w:p>
            <w:pPr>
              <w:spacing w:after="40" w:line="240"/>
              <w:jc w:val="left"/>
            </w:pPr>
            <w:r>
              <w:rPr>
                <w:rFonts w:ascii="Times New Roman" w:cs="Times New Roman" w:eastAsia="Times New Roman" w:hAnsi="Times New Roman"/>
                <w:sz w:val="18"/>
                <w:szCs w:val="18"/>
              </w:rPr>
              <w:t xml:space="preserve">RSS de geradores privados com 'tarifa especial' (Edital 3.1.2) fora da contraprestação.</w:t>
            </w:r>
          </w:p>
        </w:tc>
      </w:tr>
    </w:tbl>
    <w:p>
      <w:pPr>
        <w:pStyle w:val="Heading2"/>
        <w:keepNext/>
        <w:spacing w:after="120" w:before="240" w:line="360"/>
      </w:pPr>
      <w:r>
        <w:rPr>
          <w:rFonts w:ascii="Times New Roman" w:cs="Times New Roman" w:eastAsia="Times New Roman" w:hAnsi="Times New Roman"/>
          <w:b/>
          <w:bCs/>
          <w:sz w:val="26"/>
          <w:szCs w:val="26"/>
        </w:rPr>
        <w:t xml:space="preserve">Capacidade fiscal e garantia pública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38"/>
        <w:gridCol w:w="42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Item</w:t>
            </w:r>
          </w:p>
        </w:tc>
        <w:tc>
          <w:tcPr>
            <w:tcW w:type="dxa" w:w="27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Valor</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Fonte / observação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Receita Corrente Líquida (2025)</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R$ 2,45 bi</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58, Tab. 18</w:t>
            </w:r>
          </w:p>
          <w:p>
            <w:pPr>
              <w:spacing w:after="40" w:line="240"/>
              <w:jc w:val="left"/>
            </w:pPr>
            <w:r>
              <w:rPr>
                <w:rFonts w:ascii="Times New Roman" w:cs="Times New Roman" w:eastAsia="Times New Roman" w:hAnsi="Times New Roman"/>
                <w:sz w:val="18"/>
                <w:szCs w:val="18"/>
              </w:rPr>
              <w:t xml:space="preserve">Mantida constante até 2030; sem projeção de 10 exercícios.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Comprometimento com a PPP</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3,18% da RCL (calc. 3,186%)</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5.1.1; P6 Tab. 18</w:t>
            </w:r>
          </w:p>
          <w:p>
            <w:pPr>
              <w:spacing w:after="40" w:line="240"/>
              <w:jc w:val="left"/>
            </w:pPr>
            <w:r>
              <w:rPr>
                <w:rFonts w:ascii="Times New Roman" w:cs="Times New Roman" w:eastAsia="Times New Roman" w:hAnsi="Times New Roman"/>
                <w:sz w:val="18"/>
                <w:szCs w:val="18"/>
              </w:rPr>
              <w:t xml:space="preserve">Limite legal 5% (R$ 122,5 mi/ano); margem declarada 1,82%. Outras PPPs do Município não identificadas.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anterior anulado (EcoRondônia/Marquise)</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R$ 109,35 mi/ano (4,46% da RCL)</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59; Contrato, considerando vi</w:t>
            </w:r>
          </w:p>
          <w:p>
            <w:pPr>
              <w:spacing w:after="40" w:line="240"/>
              <w:jc w:val="left"/>
            </w:pPr>
            <w:r>
              <w:rPr>
                <w:rFonts w:ascii="Times New Roman" w:cs="Times New Roman" w:eastAsia="Times New Roman" w:hAnsi="Times New Roman"/>
                <w:sz w:val="18"/>
                <w:szCs w:val="18"/>
              </w:rPr>
              <w:t xml:space="preserve">Tratado como 'margem fiscal liberada'. Litígio sobre a anulação segue em curso [FONTE EXTERNA].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CAPAG do Município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17</w:t>
            </w:r>
          </w:p>
          <w:p>
            <w:pPr>
              <w:spacing w:after="40" w:line="240"/>
              <w:jc w:val="left"/>
            </w:pPr>
            <w:r>
              <w:rPr>
                <w:rFonts w:ascii="Times New Roman" w:cs="Times New Roman" w:eastAsia="Times New Roman" w:hAnsi="Times New Roman"/>
                <w:sz w:val="18"/>
                <w:szCs w:val="18"/>
              </w:rPr>
              <w:t xml:space="preserve">Despesas correntes / receita corrente ajustada = 95,60%.</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Conta Garantia (saldo mínimo)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2 contraprestações ≈ R$ 13,0 mi</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1.1.14 e 6.3, iii; Contrato 23.4.3</w:t>
            </w:r>
          </w:p>
          <w:p>
            <w:pPr>
              <w:spacing w:after="40" w:line="240"/>
              <w:jc w:val="left"/>
            </w:pPr>
            <w:r>
              <w:rPr>
                <w:rFonts w:ascii="Times New Roman" w:cs="Times New Roman" w:eastAsia="Times New Roman" w:hAnsi="Times New Roman"/>
                <w:sz w:val="18"/>
                <w:szCs w:val="18"/>
              </w:rPr>
              <w:t xml:space="preserve">Recomposição automática pelo FPM (Contrato 23.2, III; Anexo VI). Sem FGP nem garantidor externo.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FPM (lastro da garantia)</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 R$ 410,4 mi/ano</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6 e 59–60</w:t>
            </w:r>
          </w:p>
          <w:p>
            <w:pPr>
              <w:spacing w:after="40" w:line="240"/>
              <w:jc w:val="left"/>
            </w:pPr>
            <w:r>
              <w:rPr>
                <w:rFonts w:ascii="Times New Roman" w:cs="Times New Roman" w:eastAsia="Times New Roman" w:hAnsi="Times New Roman"/>
                <w:sz w:val="18"/>
                <w:szCs w:val="18"/>
              </w:rPr>
              <w:t xml:space="preserve">Cessão fiduciária com base no art. 159, I, 'b', da CF (Anexo VI); lei municipal específica não indicada.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Taxa de regulação (TRCF/ARDPV)</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1,5% da receita bruta (≈ R$ 1,17 mi/ano)</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13.1.1; P6 p. 44</w:t>
            </w:r>
          </w:p>
          <w:p>
            <w:pPr>
              <w:spacing w:after="40" w:line="240"/>
              <w:jc w:val="left"/>
            </w:pPr>
            <w:r>
              <w:rPr>
                <w:rFonts w:ascii="Times New Roman" w:cs="Times New Roman" w:eastAsia="Times New Roman" w:hAnsi="Times New Roman"/>
                <w:sz w:val="18"/>
                <w:szCs w:val="18"/>
              </w:rPr>
              <w:t xml:space="preserve">Deduzida na Conta Garantia; P6 a repassa integralmente à contraprestação.</w:t>
            </w:r>
          </w:p>
        </w:tc>
      </w:tr>
    </w:tbl>
    <w:p>
      <w:pPr>
        <w:pStyle w:val="Heading2"/>
        <w:keepNext/>
        <w:spacing w:after="120" w:before="240" w:line="360"/>
      </w:pPr>
      <w:r>
        <w:rPr>
          <w:rFonts w:ascii="Times New Roman" w:cs="Times New Roman" w:eastAsia="Times New Roman" w:hAnsi="Times New Roman"/>
          <w:b/>
          <w:bCs/>
          <w:sz w:val="26"/>
          <w:szCs w:val="26"/>
        </w:rPr>
        <w:t xml:space="preserve">Investimentos (CAPEX)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38"/>
        <w:gridCol w:w="42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Item</w:t>
            </w:r>
          </w:p>
        </w:tc>
        <w:tc>
          <w:tcPr>
            <w:tcW w:type="dxa" w:w="27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Valor</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Fonte / observação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CAPEX total (30 anos)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R$ 298,3 mi (P6) × R$ 313,8 mi (P2)</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19–20 e Tab. 7; P2 Tab. 15; P6 Tab. 2</w:t>
            </w:r>
          </w:p>
          <w:p>
            <w:pPr>
              <w:spacing w:after="40" w:line="240"/>
              <w:jc w:val="left"/>
            </w:pPr>
            <w:r>
              <w:rPr>
                <w:rFonts w:ascii="Times New Roman" w:cs="Times New Roman" w:eastAsia="Times New Roman" w:hAnsi="Times New Roman"/>
                <w:sz w:val="18"/>
                <w:szCs w:val="18"/>
              </w:rPr>
              <w:t xml:space="preserve">A diferença está inteira na construção da CTR. A contraprestação foi calculada pelo P6.</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CAPEX dos 5 primeiros anos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R$ 112,9 mi (P6) × R$ 124,5 mi (P2)</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calc. Tab. 7 (P6) e Tab. 15 (P2)</w:t>
            </w:r>
          </w:p>
          <w:p>
            <w:pPr>
              <w:spacing w:after="40" w:line="240"/>
              <w:jc w:val="left"/>
            </w:pPr>
            <w:r>
              <w:rPr>
                <w:rFonts w:ascii="Times New Roman" w:cs="Times New Roman" w:eastAsia="Times New Roman" w:hAnsi="Times New Roman"/>
                <w:sz w:val="18"/>
                <w:szCs w:val="18"/>
              </w:rPr>
              <w:t xml:space="preserve">Picos: ano 2 ≈ R$ 40,5 mi; ciclos de frota de R$ 25–28 mi a cada 5 anos.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CTR Porto Velho — construção civil</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R$ 39,6 mi (P6) × R$ 55,03 mi (P2)</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7 e p. 47; P2 Tab. 15</w:t>
            </w:r>
          </w:p>
          <w:p>
            <w:pPr>
              <w:spacing w:after="40" w:line="240"/>
              <w:jc w:val="left"/>
            </w:pPr>
            <w:r>
              <w:rPr>
                <w:rFonts w:ascii="Times New Roman" w:cs="Times New Roman" w:eastAsia="Times New Roman" w:hAnsi="Times New Roman"/>
                <w:sz w:val="18"/>
                <w:szCs w:val="18"/>
              </w:rPr>
              <w:t xml:space="preserve">Verba única (50%/25%/25% nos anos 2/4/8), sem linhas de UVR, CDR, compostagem, autoclave, chorume, gases ou terreno. [VALIDAÇÃO TÉCNICA]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Passivo da Lixeira de Vila Princesa</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R$ 10,5 mi (+ R$ 0,8 mi Centro de Triagem)</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7 (1,05 / 4,2 / 5,25)</w:t>
            </w:r>
          </w:p>
          <w:p>
            <w:pPr>
              <w:spacing w:after="40" w:line="240"/>
              <w:jc w:val="left"/>
            </w:pPr>
            <w:r>
              <w:rPr>
                <w:rFonts w:ascii="Times New Roman" w:cs="Times New Roman" w:eastAsia="Times New Roman" w:hAnsi="Times New Roman"/>
                <w:sz w:val="18"/>
                <w:szCs w:val="18"/>
              </w:rPr>
              <w:t xml:space="preserve">É o 'teto' do encargo da concessionária (Contrato 8.6.1.2), mas o texto do P6 fala em R$ 4,2 mi. Só a avaliação preliminar do rito GAC existe. [VALIDAÇÃO TÉCNICA]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Aterro do Jirau — recuperação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R$ 5,0 mi (ano 2)</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7</w:t>
            </w:r>
          </w:p>
          <w:p>
            <w:pPr>
              <w:spacing w:after="40" w:line="240"/>
              <w:jc w:val="left"/>
            </w:pPr>
            <w:r>
              <w:rPr>
                <w:rFonts w:ascii="Times New Roman" w:cs="Times New Roman" w:eastAsia="Times New Roman" w:hAnsi="Times New Roman"/>
                <w:sz w:val="18"/>
                <w:szCs w:val="18"/>
              </w:rPr>
              <w:t xml:space="preserve">5 áreas suspeitas; sem teto de encargo; disponibilização pelo Poder Concedente sem prazo.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Tratamento de RSS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Incinerador municipal R$ 1,805 mi; autoclave R$ 0</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7; P2 Tab. 15</w:t>
            </w:r>
          </w:p>
          <w:p>
            <w:pPr>
              <w:spacing w:after="40" w:line="240"/>
              <w:jc w:val="left"/>
            </w:pPr>
            <w:r>
              <w:rPr>
                <w:rFonts w:ascii="Times New Roman" w:cs="Times New Roman" w:eastAsia="Times New Roman" w:hAnsi="Times New Roman"/>
                <w:sz w:val="18"/>
                <w:szCs w:val="18"/>
              </w:rPr>
              <w:t xml:space="preserve">O objeto do Edital (3.1, viii) prevê autoclave na CTR.</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Transbordos e ecopontos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ETR principal R$ 450 mil; 4 ETRs distritais R$ 100 mil; ecopontos R$ 300 mil + R$ 450 mil a cada 5 anos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7</w:t>
            </w:r>
          </w:p>
          <w:p>
            <w:pPr>
              <w:spacing w:after="40" w:line="240"/>
              <w:jc w:val="left"/>
            </w:pPr>
            <w:r>
              <w:rPr>
                <w:rFonts w:ascii="Times New Roman" w:cs="Times New Roman" w:eastAsia="Times New Roman" w:hAnsi="Times New Roman"/>
                <w:sz w:val="18"/>
                <w:szCs w:val="18"/>
              </w:rPr>
              <w:t xml:space="preserve">≈ R$ 25 mil por transbordo distrital. [VALIDAÇÃO TÉCNICA]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Frota inicial</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19 compactadores, 4 poliguindastes, 1 balsa, 1 catamarã, 4 barcos, 3 quadriciclos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P3 Tab. 22</w:t>
            </w:r>
          </w:p>
          <w:p>
            <w:pPr>
              <w:spacing w:after="40" w:line="240"/>
              <w:jc w:val="left"/>
            </w:pPr>
            <w:r>
              <w:rPr>
                <w:rFonts w:ascii="Times New Roman" w:cs="Times New Roman" w:eastAsia="Times New Roman" w:hAnsi="Times New Roman"/>
                <w:sz w:val="18"/>
                <w:szCs w:val="18"/>
              </w:rPr>
              <w:t xml:space="preserve">Compactador ≈ R$ 849 mil/un.</w:t>
            </w:r>
          </w:p>
        </w:tc>
      </w:tr>
    </w:tbl>
    <w:p>
      <w:pPr>
        <w:pStyle w:val="Heading2"/>
        <w:keepNext/>
        <w:spacing w:after="120" w:before="240" w:line="360"/>
      </w:pPr>
      <w:r>
        <w:rPr>
          <w:rFonts w:ascii="Times New Roman" w:cs="Times New Roman" w:eastAsia="Times New Roman" w:hAnsi="Times New Roman"/>
          <w:b/>
          <w:bCs/>
          <w:sz w:val="26"/>
          <w:szCs w:val="26"/>
        </w:rPr>
        <w:t xml:space="preserve">Custos operacionais (OPEX)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38"/>
        <w:gridCol w:w="42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Item</w:t>
            </w:r>
          </w:p>
        </w:tc>
        <w:tc>
          <w:tcPr>
            <w:tcW w:type="dxa" w:w="27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Valor</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Fonte / observação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OPEX anual</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 R$ 41,8 mi (soma das tabelas do P6) × R$ 38,9–43,1 mi (P2)</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Tabs. 8–13; P2 Tab. 16</w:t>
            </w:r>
          </w:p>
          <w:p>
            <w:pPr>
              <w:spacing w:after="40" w:line="240"/>
              <w:jc w:val="left"/>
            </w:pPr>
            <w:r>
              <w:rPr>
                <w:rFonts w:ascii="Times New Roman" w:cs="Times New Roman" w:eastAsia="Times New Roman" w:hAnsi="Times New Roman"/>
                <w:sz w:val="18"/>
                <w:szCs w:val="18"/>
              </w:rPr>
              <w:t xml:space="preserve">O P6 não consolida o OPEX; Figura 2 sugere ≈ R$ 48 mi. P2: R$ 1,28 bi em 30 anos.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Principais rubricas (P6)</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Pessoal R$ 15,5 mi; administração R$ 8,1 mi; insumos R$ 6,0–7,3 mi; manutenção R$ 4,6–4,8 mi; instalações R$ 3,8 mi; seguros R$ 2,4 mi</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Tabs. 8–13</w:t>
            </w:r>
          </w:p>
          <w:p>
            <w:pPr>
              <w:spacing w:after="40" w:line="240"/>
              <w:jc w:val="left"/>
            </w:pPr>
            <w:r>
              <w:rPr>
                <w:rFonts w:ascii="Times New Roman" w:cs="Times New Roman" w:eastAsia="Times New Roman" w:hAnsi="Times New Roman"/>
                <w:sz w:val="18"/>
                <w:szCs w:val="18"/>
              </w:rPr>
              <w:t xml:space="preserve">Sem pessoal/operação da CTR, UVR, incinerador, chorume e monitoramento.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Destinação transitória no Ecoparque</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R$ 1,76 mi/ano (anos 1–2) e R$ 0,70 mi/ano (anos 3–4) ≈ R$ 12/t</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9; P2 item 4.5</w:t>
            </w:r>
          </w:p>
          <w:p>
            <w:pPr>
              <w:spacing w:after="40" w:line="240"/>
              <w:jc w:val="left"/>
            </w:pPr>
            <w:r>
              <w:rPr>
                <w:rFonts w:ascii="Times New Roman" w:cs="Times New Roman" w:eastAsia="Times New Roman" w:hAnsi="Times New Roman"/>
                <w:sz w:val="18"/>
                <w:szCs w:val="18"/>
              </w:rPr>
              <w:t xml:space="preserve">O Contrato 042/PGM/2023 com a CTR Porto Velho S.A. é de R$ 19,38 mi [FONTE EXTERNA — Radar PPP]; período a confirmar.</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Obrigações sem custo no P6</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Compensação ambiental ≥ R$ 500 mil/ano; comunicação ≥ 0,5% da CP (≈ R$ 390 mil/ano); VI; flare; lixiviado; cláusulas sociais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PA-09, PCS-07/08; Anexo VII</w:t>
            </w:r>
          </w:p>
          <w:p>
            <w:pPr>
              <w:spacing w:after="40" w:line="240"/>
              <w:jc w:val="left"/>
            </w:pPr>
            <w:r>
              <w:rPr>
                <w:rFonts w:ascii="Times New Roman" w:cs="Times New Roman" w:eastAsia="Times New Roman" w:hAnsi="Times New Roman"/>
                <w:sz w:val="18"/>
                <w:szCs w:val="18"/>
              </w:rPr>
              <w:t xml:space="preserve">P6 prevê só R$ 120 mil/ano de educação ambiental.</w:t>
            </w:r>
          </w:p>
        </w:tc>
      </w:tr>
    </w:tbl>
    <w:p>
      <w:pPr>
        <w:pStyle w:val="Heading2"/>
        <w:keepNext/>
        <w:spacing w:after="120" w:before="240" w:line="360"/>
      </w:pPr>
      <w:r>
        <w:rPr>
          <w:rFonts w:ascii="Times New Roman" w:cs="Times New Roman" w:eastAsia="Times New Roman" w:hAnsi="Times New Roman"/>
          <w:b/>
          <w:bCs/>
          <w:sz w:val="26"/>
          <w:szCs w:val="26"/>
        </w:rPr>
        <w:t xml:space="preserve">Retorno, financiamento e Value for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38"/>
        <w:gridCol w:w="42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Item</w:t>
            </w:r>
          </w:p>
        </w:tc>
        <w:tc>
          <w:tcPr>
            <w:tcW w:type="dxa" w:w="27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Valor</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Fonte / observação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TIR real desalavancada / WACC real</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11,63% / 11,63% (VPL = R$ 0,00)</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15 e Fig. 1</w:t>
            </w:r>
          </w:p>
          <w:p>
            <w:pPr>
              <w:spacing w:after="40" w:line="240"/>
              <w:jc w:val="left"/>
            </w:pPr>
            <w:r>
              <w:rPr>
                <w:rFonts w:ascii="Times New Roman" w:cs="Times New Roman" w:eastAsia="Times New Roman" w:hAnsi="Times New Roman"/>
                <w:sz w:val="18"/>
                <w:szCs w:val="18"/>
              </w:rPr>
              <w:t xml:space="preserve">O sumário afirma 'VPL positivo'. TIR do acionista não informada; payback 12 anos.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Custo de capital</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Ke real 17,76% (βL 1,63; CRP 2,98%); Kd real 11,42% (TLP 8,21% de ago/2026)</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28–32</w:t>
            </w:r>
          </w:p>
          <w:p>
            <w:pPr>
              <w:spacing w:after="40" w:line="240"/>
              <w:jc w:val="left"/>
            </w:pPr>
            <w:r>
              <w:rPr>
                <w:rFonts w:ascii="Times New Roman" w:cs="Times New Roman" w:eastAsia="Times New Roman" w:hAnsi="Times New Roman"/>
                <w:sz w:val="18"/>
                <w:szCs w:val="18"/>
              </w:rPr>
              <w:t xml:space="preserve">TLP posterior à data do próprio P6 (26/05/2026).</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Estrutura de capital</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60% dívida / 40% equity; IPCA + 11,42%; 25 anos; ICSD mín. 1,30x</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15–16</w:t>
            </w:r>
          </w:p>
          <w:p>
            <w:pPr>
              <w:spacing w:after="40" w:line="240"/>
              <w:jc w:val="left"/>
            </w:pPr>
            <w:r>
              <w:rPr>
                <w:rFonts w:ascii="Times New Roman" w:cs="Times New Roman" w:eastAsia="Times New Roman" w:hAnsi="Times New Roman"/>
                <w:sz w:val="18"/>
                <w:szCs w:val="18"/>
              </w:rPr>
              <w:t xml:space="preserve">Equity total R$ 57,8 mi (2,5% do VE) no P6 × capital da SPE no Edital (R$ 34,7 mi subscritos).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Sensibilidade</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OPEX +15% → TIR 2,80%; CAPEX e OPEX +15% → 0,21%</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Fig. 8</w:t>
            </w:r>
          </w:p>
          <w:p>
            <w:pPr>
              <w:spacing w:after="40" w:line="240"/>
              <w:jc w:val="left"/>
            </w:pPr>
            <w:r>
              <w:rPr>
                <w:rFonts w:ascii="Times New Roman" w:cs="Times New Roman" w:eastAsia="Times New Roman" w:hAnsi="Times New Roman"/>
                <w:sz w:val="18"/>
                <w:szCs w:val="18"/>
              </w:rPr>
              <w:t xml:space="preserve">Margem estreita diante dos custos fora do modelo.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Value for Money</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R$ 123 mi (16,5%)</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16</w:t>
            </w:r>
          </w:p>
          <w:p>
            <w:pPr>
              <w:spacing w:after="40" w:line="240"/>
              <w:jc w:val="left"/>
            </w:pPr>
            <w:r>
              <w:rPr>
                <w:rFonts w:ascii="Times New Roman" w:cs="Times New Roman" w:eastAsia="Times New Roman" w:hAnsi="Times New Roman"/>
                <w:sz w:val="18"/>
                <w:szCs w:val="18"/>
              </w:rPr>
              <w:t xml:space="preserve">PSC = custo da PPP + percentuais genéricos (28% CAPEX, 17% OPEX, 4,19%); 'ajuste de neutralidade' de R$ 96 mi. Sem ele: ≈ R$ 27 mi (≈ 4%).</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Premissas tributárias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Lucro Real; PIS/COFINS 9,25%; ISS 5% por 30 anos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1</w:t>
            </w:r>
          </w:p>
          <w:p>
            <w:pPr>
              <w:spacing w:after="40" w:line="240"/>
              <w:jc w:val="left"/>
            </w:pPr>
            <w:r>
              <w:rPr>
                <w:rFonts w:ascii="Times New Roman" w:cs="Times New Roman" w:eastAsia="Times New Roman" w:hAnsi="Times New Roman"/>
                <w:sz w:val="18"/>
                <w:szCs w:val="18"/>
              </w:rPr>
              <w:t xml:space="preserve">Sem transição CBS/IBS (EC 132/2023).</w:t>
            </w:r>
          </w:p>
        </w:tc>
      </w:tr>
    </w:tbl>
    <w:p>
      <w:pPr>
        <w:pStyle w:val="Heading2"/>
        <w:keepNext/>
        <w:spacing w:after="120" w:before="240" w:line="360"/>
      </w:pPr>
      <w:r>
        <w:rPr>
          <w:rFonts w:ascii="Times New Roman" w:cs="Times New Roman" w:eastAsia="Times New Roman" w:hAnsi="Times New Roman"/>
          <w:b/>
          <w:bCs/>
          <w:sz w:val="26"/>
          <w:szCs w:val="26"/>
        </w:rPr>
        <w:t xml:space="preserve">Demanda e operação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38"/>
        <w:gridCol w:w="42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Item</w:t>
            </w:r>
          </w:p>
        </w:tc>
        <w:tc>
          <w:tcPr>
            <w:tcW w:type="dxa" w:w="27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Valor</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Fonte / observação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População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562.145 (2027) → 631.218 (2056)</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5; Caderno Tab. 6</w:t>
            </w:r>
          </w:p>
          <w:p>
            <w:pPr>
              <w:spacing w:after="40" w:line="240"/>
              <w:jc w:val="left"/>
            </w:pPr>
            <w:r>
              <w:rPr>
                <w:rFonts w:ascii="Times New Roman" w:cs="Times New Roman" w:eastAsia="Times New Roman" w:hAnsi="Times New Roman"/>
                <w:sz w:val="18"/>
                <w:szCs w:val="18"/>
              </w:rPr>
              <w:t xml:space="preserve">Censo 2022: 460.434; Anexo III/P2: 474.681. A modelagem aplica +14% sobre o Censo.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Geração de RSU</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150.809 t/ano (≈ 413 t/dia) em 2027 → 172.796 t/ano em 2056</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5</w:t>
            </w:r>
          </w:p>
          <w:p>
            <w:pPr>
              <w:spacing w:after="40" w:line="240"/>
              <w:jc w:val="left"/>
            </w:pPr>
            <w:r>
              <w:rPr>
                <w:rFonts w:ascii="Times New Roman" w:cs="Times New Roman" w:eastAsia="Times New Roman" w:hAnsi="Times New Roman"/>
                <w:sz w:val="18"/>
                <w:szCs w:val="18"/>
              </w:rPr>
              <w:t xml:space="preserve">Per capita adotado 0,75 kg/hab.dia; o P1 traz também 0,97 e 1,2. Massa medida out–dez/2025: ≈ 364 t/dia (linha total).</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Gravimetria</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51% orgânicos / 32% recicláveis / 17% rejeitos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3 (PMSB 2022)</w:t>
            </w:r>
          </w:p>
          <w:p>
            <w:pPr>
              <w:spacing w:after="40" w:line="240"/>
              <w:jc w:val="left"/>
            </w:pPr>
            <w:r>
              <w:rPr>
                <w:rFonts w:ascii="Times New Roman" w:cs="Times New Roman" w:eastAsia="Times New Roman" w:hAnsi="Times New Roman"/>
                <w:sz w:val="18"/>
                <w:szCs w:val="18"/>
              </w:rPr>
              <w:t xml:space="preserve">Sem caracterização local.</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Metas de recuperação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P6: 5,59% → 15,34%; Meta 4 (Anexo D): 16,3% → 35,1%</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4; Anexo D</w:t>
            </w:r>
          </w:p>
          <w:p>
            <w:pPr>
              <w:spacing w:after="40" w:line="240"/>
              <w:jc w:val="left"/>
            </w:pPr>
            <w:r>
              <w:rPr>
                <w:rFonts w:ascii="Times New Roman" w:cs="Times New Roman" w:eastAsia="Times New Roman" w:hAnsi="Times New Roman"/>
                <w:sz w:val="18"/>
                <w:szCs w:val="18"/>
              </w:rPr>
              <w:t xml:space="preserve">Meta 4 inclui tratamento térmico que o P3 exclui. Linha de base de recicláveis: 0,17% a 1,35%.</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Aterro exigido na reversão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 30 anos de vida útil remanescente (≈ 8,7 Mt de capacidade, calc.)</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10.13.5; P6 Tab. 5</w:t>
            </w:r>
          </w:p>
          <w:p>
            <w:pPr>
              <w:spacing w:after="40" w:line="240"/>
              <w:jc w:val="left"/>
            </w:pPr>
            <w:r>
              <w:rPr>
                <w:rFonts w:ascii="Times New Roman" w:cs="Times New Roman" w:eastAsia="Times New Roman" w:hAnsi="Times New Roman"/>
                <w:sz w:val="18"/>
                <w:szCs w:val="18"/>
              </w:rPr>
              <w:t xml:space="preserve">Sem dimensionamento nem CAPEX. [VALIDAÇÃO TÉCNICA]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Território e logística</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34.091 km²; DMT Alto Madeira 255–378 km; Baixo Madeira 8–14 h de barco</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23; P1 Tabs. 4–5; P4</w:t>
            </w:r>
          </w:p>
          <w:p>
            <w:pPr>
              <w:spacing w:after="40" w:line="240"/>
              <w:jc w:val="left"/>
            </w:pPr>
            <w:r>
              <w:rPr>
                <w:rFonts w:ascii="Times New Roman" w:cs="Times New Roman" w:eastAsia="Times New Roman" w:hAnsi="Times New Roman"/>
                <w:sz w:val="18"/>
                <w:szCs w:val="18"/>
              </w:rPr>
              <w:t xml:space="preserve">Cota mínima do Rio Madeira: 0,25 m (2024).</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Catadores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350–600 informais; CATANORTE com 13–14 ativos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 3; P4</w:t>
            </w:r>
          </w:p>
          <w:p>
            <w:pPr>
              <w:spacing w:after="40" w:line="240"/>
              <w:jc w:val="left"/>
            </w:pPr>
            <w:r>
              <w:rPr>
                <w:rFonts w:ascii="Times New Roman" w:cs="Times New Roman" w:eastAsia="Times New Roman" w:hAnsi="Times New Roman"/>
                <w:sz w:val="18"/>
                <w:szCs w:val="18"/>
              </w:rPr>
              <w:t xml:space="preserve">Sem cadastro.</w:t>
            </w:r>
          </w:p>
        </w:tc>
      </w:tr>
    </w:tbl>
    <w:p>
      <w:pPr>
        <w:pStyle w:val="Heading2"/>
        <w:keepNext/>
        <w:spacing w:after="120" w:before="240" w:line="360"/>
      </w:pPr>
      <w:r>
        <w:rPr>
          <w:rFonts w:ascii="Times New Roman" w:cs="Times New Roman" w:eastAsia="Times New Roman" w:hAnsi="Times New Roman"/>
          <w:b/>
          <w:bCs/>
          <w:sz w:val="26"/>
          <w:szCs w:val="26"/>
        </w:rPr>
        <w:t xml:space="preserve">Habilitação e custos de entrada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38"/>
        <w:gridCol w:w="42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Item</w:t>
            </w:r>
          </w:p>
        </w:tc>
        <w:tc>
          <w:tcPr>
            <w:tcW w:type="dxa" w:w="27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Valor</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Fonte / observação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Garantia de proposta</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R$ 23.119.276,28 (1% do VE)</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11.10</w:t>
            </w:r>
          </w:p>
          <w:p>
            <w:pPr>
              <w:spacing w:after="40" w:line="240"/>
              <w:jc w:val="left"/>
            </w:pPr>
            <w:r>
              <w:rPr>
                <w:rFonts w:ascii="Times New Roman" w:cs="Times New Roman" w:eastAsia="Times New Roman" w:hAnsi="Times New Roman"/>
                <w:sz w:val="18"/>
                <w:szCs w:val="18"/>
              </w:rPr>
              <w:t xml:space="preserve">No teto do art. 58, § 1.º, da Lei 14.133.</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Capital social mínimo (habilitação)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R$ 23.119.276,28 (consórcio: R$ 25,43 mi)</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13.17.2 e 13.18</w:t>
            </w:r>
          </w:p>
          <w:p>
            <w:pPr>
              <w:spacing w:after="40" w:line="240"/>
              <w:jc w:val="left"/>
            </w:pPr>
            <w:r>
              <w:rPr>
                <w:rFonts w:ascii="Times New Roman" w:cs="Times New Roman" w:eastAsia="Times New Roman" w:hAnsi="Times New Roman"/>
                <w:sz w:val="18"/>
                <w:szCs w:val="18"/>
              </w:rPr>
              <w:t xml:space="preserve">O P7 recomendava 10% do valor do contrato (≈ R$ 231 mi).</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Capital da SPE (antes da assinatura)</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R$ 34.678.914,41 subscritos / R$ 17.339.457,21 integralizados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20.1.2.1</w:t>
            </w:r>
          </w:p>
          <w:p>
            <w:pPr>
              <w:spacing w:after="40" w:line="240"/>
              <w:jc w:val="left"/>
            </w:pPr>
            <w:r>
              <w:rPr>
                <w:rFonts w:ascii="Times New Roman" w:cs="Times New Roman" w:eastAsia="Times New Roman" w:hAnsi="Times New Roman"/>
                <w:sz w:val="18"/>
                <w:szCs w:val="18"/>
              </w:rPr>
              <w:t xml:space="preserve">P6 supõe integralização inicial de 40% de R$ 23,1 mi.</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Garantia de execução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10% do valor anual (≈ R$ 7,8 mi)</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9.5 e 22.1</w:t>
            </w:r>
          </w:p>
          <w:p>
            <w:pPr>
              <w:spacing w:after="40" w:line="240"/>
              <w:jc w:val="left"/>
            </w:pPr>
            <w:r>
              <w:rPr>
                <w:rFonts w:ascii="Times New Roman" w:cs="Times New Roman" w:eastAsia="Times New Roman" w:hAnsi="Times New Roman"/>
                <w:sz w:val="18"/>
                <w:szCs w:val="18"/>
              </w:rPr>
              <w:t xml:space="preserve">Base 'valor anual' não definida.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Ressarcimento dos estudos (PMI 005/2025)</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R$ 3.142.250,00</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21.1.1; Contrato 10.7.1</w:t>
            </w:r>
          </w:p>
          <w:p>
            <w:pPr>
              <w:spacing w:after="40" w:line="240"/>
              <w:jc w:val="left"/>
            </w:pPr>
            <w:r>
              <w:rPr>
                <w:rFonts w:ascii="Times New Roman" w:cs="Times New Roman" w:eastAsia="Times New Roman" w:hAnsi="Times New Roman"/>
                <w:sz w:val="18"/>
                <w:szCs w:val="18"/>
              </w:rPr>
              <w:t xml:space="preserve">Fixo × teto × corrigido por IPCA (Edital 20.1.8); fora do P6.</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Multas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Teto anual ≈ R$ 39,0 mi (50% de 12 × CMM); na licitação 0,5% a 30% do VE</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26.4; Edital 22.2.2</w:t>
            </w:r>
          </w:p>
          <w:p>
            <w:pPr>
              <w:spacing w:after="40" w:line="240"/>
              <w:jc w:val="left"/>
            </w:pPr>
            <w:r>
              <w:rPr>
                <w:rFonts w:ascii="Times New Roman" w:cs="Times New Roman" w:eastAsia="Times New Roman" w:hAnsi="Times New Roman"/>
                <w:sz w:val="18"/>
                <w:szCs w:val="18"/>
              </w:rPr>
              <w:t xml:space="preserve">Desconto do IQD cumulável com multa.</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Qualificação técnica</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12 meses 'contínuos e ininterruptos'; até 2 atestados; consorciado com ≥ 25%</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13.23</w:t>
            </w:r>
          </w:p>
          <w:p>
            <w:pPr>
              <w:spacing w:after="40" w:line="240"/>
              <w:jc w:val="left"/>
            </w:pPr>
            <w:r>
              <w:rPr>
                <w:rFonts w:ascii="Times New Roman" w:cs="Times New Roman" w:eastAsia="Times New Roman" w:hAnsi="Times New Roman"/>
                <w:sz w:val="18"/>
                <w:szCs w:val="18"/>
              </w:rPr>
              <w:t xml:space="preserve">Parcelas de maior relevância e quantitativos remetidos a anexos que não os contêm.</w:t>
            </w:r>
          </w:p>
        </w:tc>
      </w:tr>
    </w:tbl>
    <w:p>
      <w:pPr>
        <w:pStyle w:val="Heading2"/>
        <w:keepNext/>
        <w:spacing w:after="120" w:before="240" w:line="360"/>
      </w:pPr>
      <w:r>
        <w:rPr>
          <w:rFonts w:ascii="Times New Roman" w:cs="Times New Roman" w:eastAsia="Times New Roman" w:hAnsi="Times New Roman"/>
          <w:b/>
          <w:bCs/>
          <w:sz w:val="26"/>
          <w:szCs w:val="26"/>
        </w:rPr>
        <w:t xml:space="preserve">Ativo crítico — aterro Ecoparque (diligência externa)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38"/>
        <w:gridCol w:w="42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Item</w:t>
            </w:r>
          </w:p>
        </w:tc>
        <w:tc>
          <w:tcPr>
            <w:tcW w:type="dxa" w:w="27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Valor</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Fonte / observação</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Titular e controle</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CTR Porto Velho S.A. — 51% Orizon (via Orizon Meio Ambiente)</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[FONTE EXTERNA] Fato Relevante Orizon 23/01/2023; ITR 3T25</w:t>
            </w:r>
          </w:p>
          <w:p>
            <w:pPr>
              <w:spacing w:after="40" w:line="240"/>
              <w:jc w:val="left"/>
            </w:pPr>
            <w:r>
              <w:rPr>
                <w:rFonts w:ascii="Times New Roman" w:cs="Times New Roman" w:eastAsia="Times New Roman" w:hAnsi="Times New Roman"/>
                <w:sz w:val="18"/>
                <w:szCs w:val="18"/>
              </w:rPr>
              <w:t xml:space="preserve">Aquisição em 17/01/2023 por ≈ R$ 10 mi; minoritária Ecofort Engenharia Ambiental; arrendamento da área entre CTR PV e Ecofort.</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Área e operação</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1.198.000 m²; ≈ 13–15 mil t/mês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[FONTE EXTERNA] Relatório de Sustentabilidade Orizon 2023; imprensa local 2026</w:t>
            </w:r>
          </w:p>
          <w:p>
            <w:pPr>
              <w:spacing w:after="40" w:line="240"/>
              <w:jc w:val="left"/>
            </w:pPr>
            <w:r>
              <w:rPr>
                <w:rFonts w:ascii="Times New Roman" w:cs="Times New Roman" w:eastAsia="Times New Roman" w:hAnsi="Times New Roman"/>
                <w:sz w:val="18"/>
                <w:szCs w:val="18"/>
              </w:rPr>
              <w:t xml:space="preserve">Único aterro licenciado da Sede; recebe todo o RSU desde nov/2023.</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Licenças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LAO municipal 016.00130.006/2024-SUL até 09/10/2028; LO SEDAM 159654 (jul/2026)</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p. 85; [FONTE EXTERNA] News Rondônia 01/07/2026</w:t>
            </w:r>
          </w:p>
          <w:p>
            <w:pPr>
              <w:spacing w:after="40" w:line="240"/>
              <w:jc w:val="left"/>
            </w:pPr>
            <w:r>
              <w:rPr>
                <w:rFonts w:ascii="Times New Roman" w:cs="Times New Roman" w:eastAsia="Times New Roman" w:hAnsi="Times New Roman"/>
                <w:sz w:val="18"/>
                <w:szCs w:val="18"/>
              </w:rPr>
              <w:t xml:space="preserve">Os estudos não registram a LO estadual de 2026.</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spacing w:after="120" w:before="240" w:line="360"/>
      </w:pPr>
      <w:r>
        <w:rPr>
          <w:rFonts w:ascii="Times New Roman" w:cs="Times New Roman" w:eastAsia="Times New Roman" w:hAnsi="Times New Roman"/>
          <w:b/>
          <w:bCs/>
          <w:sz w:val="28"/>
          <w:szCs w:val="28"/>
        </w:rPr>
        <w:t xml:space="preserve">2. Pontos impugnáveis (IRREGULAR)</w:t>
      </w:r>
    </w:p>
    <w:p>
      <w:pPr>
        <w:spacing w:after="120" w:before="0" w:line="360"/>
        <w:jc w:val="both"/>
      </w:pPr>
      <w:r>
        <w:rPr>
          <w:rFonts w:ascii="Times New Roman" w:cs="Times New Roman" w:eastAsia="Times New Roman" w:hAnsi="Times New Roman"/>
          <w:sz w:val="24"/>
          <w:szCs w:val="24"/>
        </w:rPr>
        <w:t xml:space="preserve">Achados classificados como IRREGULAR pelos extratores e confirmados pelo consolidador no texto-fonte, excluídos os de reserva (seção 4). A lista é bruta: a seleção para impugnação, esclarecimento ou representação é do advogado (Fase 2).</w:t>
      </w:r>
    </w:p>
    <w:p>
      <w:pPr>
        <w:pStyle w:val="Heading2"/>
        <w:keepNext/>
        <w:spacing w:after="120" w:before="240" w:line="360"/>
      </w:pPr>
      <w:r>
        <w:rPr>
          <w:rFonts w:ascii="Times New Roman" w:cs="Times New Roman" w:eastAsia="Times New Roman" w:hAnsi="Times New Roman"/>
          <w:b/>
          <w:bCs/>
          <w:sz w:val="26"/>
          <w:szCs w:val="26"/>
        </w:rPr>
        <w:t xml:space="preserve">Objeto e escopo (30)</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C-003</w:t>
            </w:r>
          </w:p>
          <w:p>
            <w:pPr>
              <w:spacing w:after="40" w:line="240"/>
              <w:jc w:val="left"/>
            </w:pPr>
            <w:r>
              <w:rPr>
                <w:rFonts w:ascii="Times New Roman" w:cs="Times New Roman" w:eastAsia="Times New Roman" w:hAnsi="Times New Roman"/>
                <w:sz w:val="18"/>
                <w:szCs w:val="18"/>
              </w:rPr>
              <w:t xml:space="preserve">E2-004, E3-017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7.1 e 7.3 (PDF p. 17), 10.13.1.2 (p. 31); Edital 2.8 e 2.9 (p. 11); Caderno XI.5 (p. 62-63)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Cronograma físico-financeiro e 'Cronograma de Execução (Anexo)' inexistentes; elaboração transferida à concessionária</w:t>
            </w:r>
          </w:p>
          <w:p>
            <w:pPr>
              <w:spacing w:after="40" w:line="240"/>
              <w:jc w:val="left"/>
            </w:pPr>
            <w:r>
              <w:rPr>
                <w:rFonts w:ascii="Times New Roman" w:cs="Times New Roman" w:eastAsia="Times New Roman" w:hAnsi="Times New Roman"/>
                <w:sz w:val="18"/>
                <w:szCs w:val="18"/>
              </w:rPr>
              <w:t xml:space="preserve">O Contrato remete a um cronograma físico-financeiro 'constante dos Anexos' e a um 'Cronograma de Execução (Anexo)', que não constam dos róis de anexos do Edital (2.8 e 2.9). O Caderno (XI.5) transfere à concessionária a elaboração do cronograma. Os únicos marcos estão dispersos no Anexo D (Tabela 3), no Anexo III (Tabelas 10 e 11) e no P6, e divergem entre si (ver G1-076). Sem cronograma vinculante, ficam sem referência o ramp-up da Parcela A, as sanções por atraso e o próprio Contrato 10.13.1.2, que exige cumprimento dos 'prazos do Cronograma de Execução'.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23, parágrafo único, inciso I, da Lei n.º 8.987/1995 c/c art. 3.º da Lei n.º 11.079/2004; art. 18, inciso XV,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C-004</w:t>
            </w:r>
          </w:p>
          <w:p>
            <w:pPr>
              <w:spacing w:after="40" w:line="240"/>
              <w:jc w:val="left"/>
            </w:pPr>
            <w:r>
              <w:rPr>
                <w:rFonts w:ascii="Times New Roman" w:cs="Times New Roman" w:eastAsia="Times New Roman" w:hAnsi="Times New Roman"/>
                <w:sz w:val="18"/>
                <w:szCs w:val="18"/>
              </w:rPr>
              <w:t xml:space="preserve">E2-009, E6-025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V.3.1, Figuras 8, 9 e 10 (PDF p. 28-29); P2 Figuras 12, 13, 15, 16 e 17 (p. 32-36); Edital 3.1, viii (p. 13); Caderno Tabela 23 (p. 26)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Rotas tecnológicas de referência omitem UVR mecanizada, compostagem, CDR e autoclave</w:t>
            </w:r>
          </w:p>
          <w:p>
            <w:pPr>
              <w:spacing w:after="40" w:line="240"/>
              <w:jc w:val="left"/>
            </w:pPr>
            <w:r>
              <w:rPr>
                <w:rFonts w:ascii="Times New Roman" w:cs="Times New Roman" w:eastAsia="Times New Roman" w:hAnsi="Times New Roman"/>
                <w:sz w:val="18"/>
                <w:szCs w:val="18"/>
              </w:rPr>
              <w:t xml:space="preserve">Os fluxogramas de rota tecnológica do Caderno (reprodução das figuras do P2) levam o RDO diretamente ao aterro, com saída apenas de recicláveis para cooperativas. Não aparecem UVR com triagem mecanizada, pátio de compostagem, linha de CDR nem autoclave, que integram o objeto (Edital 3.1, viii) e a Tabela 23 do próprio Caderno. Como o Caderno prevalece sobre o EVTEA (Edital 2.11.2), a 'rota referencial' vinculante diverge do objeto licitado e da ordem de prioridade da PNRS.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9.º, caput, da Lei n.º 12.305/2010; art. 18, inciso I, da Lei n.º 8.987/1995 c/c art. 11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C-005</w:t>
            </w:r>
          </w:p>
          <w:p>
            <w:pPr>
              <w:spacing w:after="40" w:line="240"/>
              <w:jc w:val="left"/>
            </w:pPr>
            <w:r>
              <w:rPr>
                <w:rFonts w:ascii="Times New Roman" w:cs="Times New Roman" w:eastAsia="Times New Roman" w:hAnsi="Times New Roman"/>
                <w:sz w:val="18"/>
                <w:szCs w:val="18"/>
              </w:rPr>
              <w:t xml:space="preserve">E6-021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Cap. V (PDF p. 29-40); P3 IV.3 (p. 19); P0 (escopo do Caderno 2, p. 10)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Ausência de avaliação comparativa de rotas tecnológicas (alternativas, custos e critérios)</w:t>
            </w:r>
          </w:p>
          <w:p>
            <w:pPr>
              <w:spacing w:after="40" w:line="240"/>
              <w:jc w:val="left"/>
            </w:pPr>
            <w:r>
              <w:rPr>
                <w:rFonts w:ascii="Times New Roman" w:cs="Times New Roman" w:eastAsia="Times New Roman" w:hAnsi="Times New Roman"/>
                <w:sz w:val="18"/>
                <w:szCs w:val="18"/>
              </w:rPr>
              <w:t xml:space="preserve">O capítulo de 'avaliação de rotas tecnológicas' do P2 descreve rotas regionais, mas não compara alternativas (TMB, biodigestão, CDR, tratamento térmico, aterro) com custos, massas e critérios de escolha. O P3 descarta o tratamento térmico citando limiar de 300-350 t/dia, embora a geração projetada no próprio estudo (150.809 t/ano em 2027 a 172.796 t/ano em 2056, cerca de 413 a 473 t/dia — cálculo) supere esse limiar, sem outra fundamentação. O P0 previa 'avaliação comparativa de soluções tecnológicas e logísticas' para o Caderno 2.</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 1.º, inciso V, da Lei n.º 14.133/2021 c/c art. 186 da mesma Lei; art. 9.º, caput e § 1.º, da Lei n.º 12.305/2010; 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C-006</w:t>
            </w:r>
          </w:p>
          <w:p>
            <w:pPr>
              <w:spacing w:after="40" w:line="240"/>
              <w:jc w:val="left"/>
            </w:pPr>
            <w:r>
              <w:rPr>
                <w:rFonts w:ascii="Times New Roman" w:cs="Times New Roman" w:eastAsia="Times New Roman" w:hAnsi="Times New Roman"/>
                <w:sz w:val="18"/>
                <w:szCs w:val="18"/>
              </w:rPr>
              <w:t xml:space="preserve">E6-049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III.1 (PDF p. 10) x V.6 (p. 40); P3 p. 19-20 e 50; Contrato cl. 10.3.2 (p. 28); Caderno Tabela 23 (p. 26)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UVR: triagem de todo o RSU x unidade voltada a centros comerciais; sem capacidade nominal</w:t>
            </w:r>
          </w:p>
          <w:p>
            <w:pPr>
              <w:spacing w:after="40" w:line="240"/>
              <w:jc w:val="left"/>
            </w:pPr>
            <w:r>
              <w:rPr>
                <w:rFonts w:ascii="Times New Roman" w:cs="Times New Roman" w:eastAsia="Times New Roman" w:hAnsi="Times New Roman"/>
                <w:sz w:val="18"/>
                <w:szCs w:val="18"/>
              </w:rPr>
              <w:t xml:space="preserve">O P2 ora prevê triagem mecanizada de todo o RSU coletado, ora uma UVR dirigida prioritariamente aos setores comerciais. A capacidade 'nominal' não é informada (t/dia, turnos, taxa de recuperação); o único parâmetro é a velocidade de esteira de 12 m/min, que o Contrato (10.3.2) torna vinculante. O P3 assume parcela de recuperação por triagem mecanizada sem dimensionar a unidade. O escopo físico da UVR, parte do objeto (Edital 3.1, viii), fica indeterminado.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incisos I e XV,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C-008</w:t>
            </w:r>
          </w:p>
          <w:p>
            <w:pPr>
              <w:spacing w:after="40" w:line="240"/>
              <w:jc w:val="left"/>
            </w:pPr>
            <w:r>
              <w:rPr>
                <w:rFonts w:ascii="Times New Roman" w:cs="Times New Roman" w:eastAsia="Times New Roman" w:hAnsi="Times New Roman"/>
                <w:sz w:val="18"/>
                <w:szCs w:val="18"/>
              </w:rPr>
              <w:t xml:space="preserve">E2-019, E6-024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 viii (PDF p. 13); Contrato cl. 4.1, viii (p. 12) e 10.3.9 (p. 28); Caderno Tabela 2 (p. 9), Tabela 23 (p. 26), V.3 e Tabela 24 (p. 27); Anexo III IX.5 (p. 24); P3 p. 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CDR obrigatório no Edital e no Contrato, condicional no Caderno e no Anexo III</w:t>
            </w:r>
          </w:p>
          <w:p>
            <w:pPr>
              <w:spacing w:after="40" w:line="240"/>
              <w:jc w:val="left"/>
            </w:pPr>
            <w:r>
              <w:rPr>
                <w:rFonts w:ascii="Times New Roman" w:cs="Times New Roman" w:eastAsia="Times New Roman" w:hAnsi="Times New Roman"/>
                <w:sz w:val="18"/>
                <w:szCs w:val="18"/>
              </w:rPr>
              <w:t xml:space="preserve">Edital e Contrato (4.1, viii, e 10.3.9) incluem o processamento de CDR como estrutura e rota obrigatória da CTR. O Caderno o condiciona ('quando tecnicamente viável', 'quando viável e aprovado', 'quando adotada'; Tabela 24: 'Depende de viabilidade, licenciamento e mercado consumidor'), e o Anexo III repete 'quando adotada'. O P3 exclui rotas térmicas das metas obrigatórias, e o P2 descreve a linha de CDR sem capacidade, massa ou custo. Não está definido se a linha de CDR é obrigação certa, se sua falta afeta a remuneração, nem quem decide sobre a 'viabilidade'.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I, da Lei n.º 8.987/1995 c/c art. 11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C-009</w:t>
            </w:r>
          </w:p>
          <w:p>
            <w:pPr>
              <w:spacing w:after="40" w:line="240"/>
              <w:jc w:val="left"/>
            </w:pPr>
            <w:r>
              <w:rPr>
                <w:rFonts w:ascii="Times New Roman" w:cs="Times New Roman" w:eastAsia="Times New Roman" w:hAnsi="Times New Roman"/>
                <w:sz w:val="18"/>
                <w:szCs w:val="18"/>
              </w:rPr>
              <w:t xml:space="preserve">E2-020, E5-039, E6-024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24 (PDF p. 27); P2 V.6 (p. 40); P6 II.2 (p. 13); P1 VIII.1 (p. 96) e IX (p. 106); P4 (ausência de análise de CDR)</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CDR sem demonstração de viabilidade técnica e ambiental, especificação ou mercado consumidor</w:t>
            </w:r>
          </w:p>
          <w:p>
            <w:pPr>
              <w:spacing w:after="40" w:line="240"/>
              <w:jc w:val="left"/>
            </w:pPr>
            <w:r>
              <w:rPr>
                <w:rFonts w:ascii="Times New Roman" w:cs="Times New Roman" w:eastAsia="Times New Roman" w:hAnsi="Times New Roman"/>
                <w:sz w:val="18"/>
                <w:szCs w:val="18"/>
              </w:rPr>
              <w:t xml:space="preserve">P2 e P6 indicam coprocessamento em cimenteiras, com receita de venda, mas nenhum documento identifica planta receptora, distância, especificação exigida (PCI, umidade, teor de cloro), produção estimada ou manifestação de interesse de comprador. P1 recomenda 'valorização energética' e P4 não avalia emissões nem monitoramento dessa rota. A PNRS condiciona a recuperação energética à comprovação de viabilidade técnica e ambiental e à implantação de programa de monitoramento de emissão de gases aprovado pelo órgão ambiental.</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9.º, § 1.º, da Lei n.º 12.305/2010; Resolução CONAMA n.º 499/2020 (coprocessamento em fornos de clínquer — conferir aplicabilidade); NR n.º 7/2024 da ANA (Resolução ANA n.º 187/2024) — dispositivos a conferir</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C-010</w:t>
            </w:r>
          </w:p>
          <w:p>
            <w:pPr>
              <w:spacing w:after="40" w:line="240"/>
              <w:jc w:val="left"/>
            </w:pPr>
            <w:r>
              <w:rPr>
                <w:rFonts w:ascii="Times New Roman" w:cs="Times New Roman" w:eastAsia="Times New Roman" w:hAnsi="Times New Roman"/>
                <w:sz w:val="18"/>
                <w:szCs w:val="18"/>
              </w:rPr>
              <w:t xml:space="preserve">E2-021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8, metas 8 e 9 (PDF p. 13); Anexo D Tabela 1 (p. 8); P3 p. 19; P6 p. 49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Metas de aproveitamento energético (até 63,4%) e de tratamento térmico (até 16,4%) sem infraestrutura nem indicador</w:t>
            </w:r>
          </w:p>
          <w:p>
            <w:pPr>
              <w:spacing w:after="40" w:line="240"/>
              <w:jc w:val="left"/>
            </w:pPr>
            <w:r>
              <w:rPr>
                <w:rFonts w:ascii="Times New Roman" w:cs="Times New Roman" w:eastAsia="Times New Roman" w:hAnsi="Times New Roman"/>
                <w:sz w:val="18"/>
                <w:szCs w:val="18"/>
              </w:rPr>
              <w:t xml:space="preserve">O Caderno, que prevalece sobre o EVTEA (Edital 2.11.2), adota metas de aproveitamento energético crescentes até 63,4% e de tratamento térmico até 16,4% em 2040. As metas 8 e 9 não constam do Anexo D, o P3 exclui o tratamento térmico das metas obrigatórias e o P6 afirma que a geração de energia a partir do biogás requer CAPEX não contemplado no modelo base. As rotas tecnológicas de referência do próprio Caderno não preveem valorização energética (ver G1-004). Fica indefinido se essas metas obrigam a concessionária.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10-A, inciso I, da Lei n.º 11.445/2007; art. 9.º, § 1.º, da Lei n.º 12.305/2010;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C-011</w:t>
            </w:r>
          </w:p>
          <w:p>
            <w:pPr>
              <w:spacing w:after="40" w:line="240"/>
              <w:jc w:val="left"/>
            </w:pPr>
            <w:r>
              <w:rPr>
                <w:rFonts w:ascii="Times New Roman" w:cs="Times New Roman" w:eastAsia="Times New Roman" w:hAnsi="Times New Roman"/>
                <w:sz w:val="18"/>
                <w:szCs w:val="18"/>
              </w:rPr>
              <w:t xml:space="preserve">E1-041, E2-010, E3-038, E4-020, E5-066, E6-022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1.1.9 (PDF p. 7), 3.1, viii, e 3.1.2 (p. 13); Contrato cl. 4.1, viii (p. 12), 8.8, iii (p. 20), 8.10 (p. 20), 10.2.26.1 (p. 25), 10.3.10 a 10.3.10.2 (p. 29); Caderno XI.4 (p. 61); Anexo D Tabela 3 (p. 10), IE4 (p. 14) e IO4 (p. 17); Anexo III Tabela 3 (p. 9); P2 Sumário (p. 5), VI.1 (p. 41), Tabela 15 item 5 (p. 44); P6 II.2 (p. 13), III.8 (p. 22), Tabela 7 item 5 (p. 40)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Rota de tratamento de RSS indefinida: autoclave na CTR x reativação do incinerador municipal</w:t>
            </w:r>
          </w:p>
          <w:p>
            <w:pPr>
              <w:spacing w:after="40" w:line="240"/>
              <w:jc w:val="left"/>
            </w:pPr>
            <w:r>
              <w:rPr>
                <w:rFonts w:ascii="Times New Roman" w:cs="Times New Roman" w:eastAsia="Times New Roman" w:hAnsi="Times New Roman"/>
                <w:sz w:val="18"/>
                <w:szCs w:val="18"/>
              </w:rPr>
              <w:t xml:space="preserve">Edital e Contrato (4.1, viii) incluem 'autoclave para RSS' na CTR, e o Anexo III descreve a CTR-PV com autoclave. O Contrato (10.3.10), o Caderno (XI.4), o Anexo D (IE4 e IO4, que mede 'RSS incinerados') e o P6 adotam a reativação do incinerador municipal; o P6 orça apenas o incinerador (grupo 5 da Tabela 7: R$ 1,5 mi em recuperação e substituição de equipamentos, cerca de R$ 1,8 mi no total do grupo) e nenhuma linha cobre autoclave, embora o P2 (p. 41) mencione 'autoclaves' no texto de CAPEX/OPEX. O Contrato 8.8, iii, e 10.2.26.1 admitem as duas soluções, o Edital 3.1.2 fala em 'monopólio dos serviços públicos de tratamento térmico de RSS' e o Contrato 8.10 admite rota diversa mediante autorização da ARDPV. Não está definido se a licitante deve orçar autoclave, incinerador ou ambos; licenciamento (Resolução CONAMA n.º 316/2002 para tratamento térmico) e CAPEX diferem.</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incisos I e XV, da Lei n.º 8.987/1995 c/c art. 11 da Lei n.º 11.079/2004; art. 10, § 4.º, da Lei n.º 11.079/2004; art. 5.º da Lei n.º 14.133/2021; Resolução CONAMA n.º 358/2005; Resolução CONAMA n.º 316/2002</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C-012</w:t>
            </w:r>
          </w:p>
          <w:p>
            <w:pPr>
              <w:spacing w:after="40" w:line="240"/>
              <w:jc w:val="left"/>
            </w:pPr>
            <w:r>
              <w:rPr>
                <w:rFonts w:ascii="Times New Roman" w:cs="Times New Roman" w:eastAsia="Times New Roman" w:hAnsi="Times New Roman"/>
                <w:sz w:val="18"/>
                <w:szCs w:val="18"/>
              </w:rPr>
              <w:t xml:space="preserve">E2-022, E6-016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7 e Tabela 8, meta 4 (PDF p. 12); Anexo D Tabela 1 (p. 8) e TO-10 (p. 9); Contrato cl. 10.2.35 (p. 27); P3 Tabelas 7 e 8 (p. 17-18) e p. 19; P6 Tabela 4 (p. 34)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Meta 4 (redução de 16,3% a 35,1%) inclui tratamento térmico excluído e não é atingível pelas rotas modeladas</w:t>
            </w:r>
          </w:p>
          <w:p>
            <w:pPr>
              <w:spacing w:after="40" w:line="240"/>
              <w:jc w:val="left"/>
            </w:pPr>
            <w:r>
              <w:rPr>
                <w:rFonts w:ascii="Times New Roman" w:cs="Times New Roman" w:eastAsia="Times New Roman" w:hAnsi="Times New Roman"/>
                <w:sz w:val="18"/>
                <w:szCs w:val="18"/>
              </w:rPr>
              <w:t xml:space="preserve">Pela Tabela 7 do Caderno, a massa recuperada é de 3,8% em 2028 ((153.683 - 147.791)/153.683) e de 11,7% em 2040 ((168.102 - 148.442)/168.102) — cálculo; o P6 (Tabela 4) projeta 6,64% (2028) a 15,34% (2040). A Meta 4 (16,3% a 35,1%) corresponde à soma da Meta 6 não ajustada (5,2% a 11,2%), da Meta 7 (3% a 7,5%) e da Meta 9 de tratamento térmico (8,1% a 16,4%) — conferência aritmética: 5,2 + 3,0 + 8,1 = 16,3 e 11,2 + 7,5 + 16,4 = 35,1 —, embora o P3 (p. 19) exclua o tratamento térmico das metas obrigatórias. A Meta 4 está no Anexo D (Tabela 1), cujas metas o Contrato (10.2.35) qualifica como 'piso de exigibilidade contratual', e a Matriz/Anexo D (TO-10) usa a 'taxa de desvio do aterro sanitário' com metas definidas pela ARDPV.</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10-A, inciso I, da Lei n.º 11.445/2007; art. 5.º, inciso VII, da Lei n.º 11.079/2004; art. 18, inciso I, da Lei n.º 8.987/1995 c/c art. 11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C-013</w:t>
            </w:r>
          </w:p>
          <w:p>
            <w:pPr>
              <w:spacing w:after="40" w:line="240"/>
              <w:jc w:val="left"/>
            </w:pPr>
            <w:r>
              <w:rPr>
                <w:rFonts w:ascii="Times New Roman" w:cs="Times New Roman" w:eastAsia="Times New Roman" w:hAnsi="Times New Roman"/>
                <w:sz w:val="18"/>
                <w:szCs w:val="18"/>
              </w:rPr>
              <w:t xml:space="preserve">E2-024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8, meta 6 (PDF p. 12); Anexo D Tabelas 1 e 5 (p. 8 e 14); Anexo III Tabela 15 (p. 26); P6 Tabela 4 (p. 34); Contrato cl. 10.2.35 (p. 27)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Meta 6 (recuperação de secos) dos anexos difere da premissa do P6</w:t>
            </w:r>
          </w:p>
          <w:p>
            <w:pPr>
              <w:spacing w:after="40" w:line="240"/>
              <w:jc w:val="left"/>
            </w:pPr>
            <w:r>
              <w:rPr>
                <w:rFonts w:ascii="Times New Roman" w:cs="Times New Roman" w:eastAsia="Times New Roman" w:hAnsi="Times New Roman"/>
                <w:sz w:val="18"/>
                <w:szCs w:val="18"/>
              </w:rPr>
              <w:t xml:space="preserve">Os anexos fixam a Meta 6 em 2,29% (2028), 3,64% (2032), 5,65% (2036) e 7,84% (2040); a Tabela 4 do P6 usa 5,20%, 7,20%, 9,20% e 11,20% na composição do volume a recuperar. A meta exigível (Contrato 10.2.35: 'piso de exigibilidade') não corresponde à premissa de massa e de receita da modelagem.</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 art. 23, inciso III, da Lei n.º 8.987/1995 c/c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C-014</w:t>
            </w:r>
          </w:p>
          <w:p>
            <w:pPr>
              <w:spacing w:after="40" w:line="240"/>
              <w:jc w:val="left"/>
            </w:pPr>
            <w:r>
              <w:rPr>
                <w:rFonts w:ascii="Times New Roman" w:cs="Times New Roman" w:eastAsia="Times New Roman" w:hAnsi="Times New Roman"/>
                <w:sz w:val="18"/>
                <w:szCs w:val="18"/>
              </w:rPr>
              <w:t xml:space="preserve">E2-025, E6-007, E5-030, E5-032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4 (PDF p. 10); Anexo III V.4 (p. 13), Tabela 7 (p. 14), Tabela 15 e XI.1 (p. 26); Anexo D Tabela 1, Meta 6.1 (p. 8); P1 Tabela 3 (p. 26); P2 p. 13; P3 Tabela 3 (p. 13); P4 Tabela 5 (p. 15) e Tabela 8 (p. 24)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Linhas de base divergentes: cobertura urbana e rural, coleta seletiva e recuperação</w:t>
            </w:r>
          </w:p>
          <w:p>
            <w:pPr>
              <w:spacing w:after="40" w:line="240"/>
              <w:jc w:val="left"/>
            </w:pPr>
            <w:r>
              <w:rPr>
                <w:rFonts w:ascii="Times New Roman" w:cs="Times New Roman" w:eastAsia="Times New Roman" w:hAnsi="Times New Roman"/>
                <w:sz w:val="18"/>
                <w:szCs w:val="18"/>
              </w:rPr>
              <w:t xml:space="preserve">Cobertura urbana: 98% no Caderno (Tabela 4) e no P2 (PMSB 2022), 86,28% no P1 (SINISA 2024). Cobertura rural: 60% no Caderno e no Anexo III (Tabela 15, atribuída ao SINISA 2024) e 0,00% no próprio Anexo III (Tabela 7) e no P1, com a mesma fonte. Coleta seletiva: 22% (Caderno), 28,30% (P1), 31,67% da Sede (Anexo III/P4) e 56,8% em 2028 na Meta 6.1 do Anexo D. Recuperação de recicláveis: 0,17% (Caderno), 1,35% (Anexo III, V.4 e XI.1) e 0,97% (Anexo III, Tabela 15). Metas, indicadores e descontos partem dessas bases.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 art. 10-A, inciso I, da Lei n.º 11.445/2007; art. 18, inciso I, da Lei n.º 8.987/1995 c/c art. 11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C-015</w:t>
            </w:r>
          </w:p>
          <w:p>
            <w:pPr>
              <w:spacing w:after="40" w:line="240"/>
              <w:jc w:val="left"/>
            </w:pPr>
            <w:r>
              <w:rPr>
                <w:rFonts w:ascii="Times New Roman" w:cs="Times New Roman" w:eastAsia="Times New Roman" w:hAnsi="Times New Roman"/>
                <w:sz w:val="18"/>
                <w:szCs w:val="18"/>
              </w:rPr>
              <w:t xml:space="preserve">E5-087, E6-017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V.3 (PDF p. 24); Contrato cl. 11.4.1 (p. 33); P3 Tabela 7 e quadro PLANARES-Norte (p. 17); P6 Tabela 4 (p. 34)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Compatibilidade com o PMSB/PMGIRS não demonstrada; conferência diferida para depois do contrato</w:t>
            </w:r>
          </w:p>
          <w:p>
            <w:pPr>
              <w:spacing w:after="40" w:line="240"/>
              <w:jc w:val="left"/>
            </w:pPr>
            <w:r>
              <w:rPr>
                <w:rFonts w:ascii="Times New Roman" w:cs="Times New Roman" w:eastAsia="Times New Roman" w:hAnsi="Times New Roman"/>
                <w:sz w:val="18"/>
                <w:szCs w:val="18"/>
              </w:rPr>
              <w:t xml:space="preserve">Os estudos não transcrevem as metas do PMSB/PMGIRS nem verificam se a rota CTR + UVR + compostagem + CDR + aterro está prevista no plano; P4 e Contrato (11.4.1) remetem a correspondência entre indicadores contratuais e os Quadros 5 a 10 do PMSB a revisão posterior ao início da concessão. A trajetória de recuperação efetivamente modelada (até 15,34% em 2040 no P6) fica abaixo da meta de redução atribuída ao PMSB (35,1% em 2040, P3 Tabela 7) e da meta do PLANARES para a Região Norte (26,2% em 2040), sem justificativa de compatibilização.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11, incisos I e II, da Lei n.º 11.445/2007; art. 19, inciso XIV,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C-016</w:t>
            </w:r>
          </w:p>
          <w:p>
            <w:pPr>
              <w:spacing w:after="40" w:line="240"/>
              <w:jc w:val="left"/>
            </w:pPr>
            <w:r>
              <w:rPr>
                <w:rFonts w:ascii="Times New Roman" w:cs="Times New Roman" w:eastAsia="Times New Roman" w:hAnsi="Times New Roman"/>
                <w:sz w:val="18"/>
                <w:szCs w:val="18"/>
              </w:rPr>
              <w:t xml:space="preserve">E5-086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2.1, k (PDF p. 10); Contrato cl. 3.2, x (p. 11) x cl. 10.2.32 (p. 26); P1 V.3 (p. 57); P2 III (p. 10); P4 II.1 (p. 9) e V.3 (p. 24); P6 p. 11 (nota 10); P7 II.7 (p. 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Base legal do PMSB/PMGIRS divergente (LC 972/2023 x LC 839/2021), inclusive dentro do Contrato</w:t>
            </w:r>
          </w:p>
          <w:p>
            <w:pPr>
              <w:spacing w:after="40" w:line="240"/>
              <w:jc w:val="left"/>
            </w:pPr>
            <w:r>
              <w:rPr>
                <w:rFonts w:ascii="Times New Roman" w:cs="Times New Roman" w:eastAsia="Times New Roman" w:hAnsi="Times New Roman"/>
                <w:sz w:val="18"/>
                <w:szCs w:val="18"/>
              </w:rPr>
              <w:t xml:space="preserve">Edital (2.1, k), Contrato (3.2, x), P1 e P7 indicam a revisão do PMSB/PMGIRS pela LC Municipal n.º 972/2023 (o P1 acrescenta o Decreto n.º 19.686/2024). O Contrato (10.2.32), o P2, o P4 e o P6 atribuem o PMSB/PMGIRS à LC n.º 839/2021, 'revisado em 2024' segundo o P4. A existência de plano é condição de validade do contrato, e a divergência impede identificar o plano e as metas de referência vigentes.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11, inciso I, da Lei n.º 11.445/2007; art. 19 da Lei n.º 12.305/2010;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C-017</w:t>
            </w:r>
          </w:p>
          <w:p>
            <w:pPr>
              <w:spacing w:after="40" w:line="240"/>
              <w:jc w:val="left"/>
            </w:pPr>
            <w:r>
              <w:rPr>
                <w:rFonts w:ascii="Times New Roman" w:cs="Times New Roman" w:eastAsia="Times New Roman" w:hAnsi="Times New Roman"/>
                <w:sz w:val="18"/>
                <w:szCs w:val="18"/>
              </w:rPr>
              <w:t xml:space="preserve">E4-028, E5-064, E6-026, E2-030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 vii (PDF p. 13); Contrato cl. 4.1, vii (p. 12), 8.6.2 (p. 19), 8.8, ii (p. 19-20); Anexo III Tabela 3 (p. 9), VII.3 (p. 18), PA-08 (p. 19) e XIV.3 (p. 34); Anexo D Tabela 3 (p. 10) e IE3 (p. 14, 19); Caderno Tabela 19 (p. 23); Matriz TO-02 (p. 3); P2 IV.2 e IV.2.1 (p. 24-25); P6 III.8 (p. 22), Tabela 7 item 4.2 (p. 40), p. 46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Aterro do Jirau: aterro a reativar para o Alto Madeira x área em pós-encerramento por 20 anos</w:t>
            </w:r>
          </w:p>
          <w:p>
            <w:pPr>
              <w:spacing w:after="40" w:line="240"/>
              <w:jc w:val="left"/>
            </w:pPr>
            <w:r>
              <w:rPr>
                <w:rFonts w:ascii="Times New Roman" w:cs="Times New Roman" w:eastAsia="Times New Roman" w:hAnsi="Times New Roman"/>
                <w:sz w:val="18"/>
                <w:szCs w:val="18"/>
              </w:rPr>
              <w:t xml:space="preserve">O objeto (Edital 3.1, vii), o Contrato 8.8, ii, e o Anexo III (VII.3 e PA-08) tratam de recuperação e monitoramento pós-encerramento, com prazo mínimo de 20 anos (o PA-08, porém, fixa M1-M12). O Contrato 8.6.2, o Anexo D ('Jirau – recuperação e ativação/reativação'), a Matriz TO-02, o Anexo III XIV.3 ('Reativação do Aterro do Jirau como prioridade logística'), o Caderno ('CTR Jirau' como destino) e P2/P6 o tratam como aterro em operação para o Alto Madeira, com 'operação do Aterro do Jirau para os resíduos do Alto Madeira' (P6, p. 22). O P6 orça R$ 5,0 mi de 'recuperação' no Ano 2 e equipamentos, sem células novas nem custo específico de 20 anos de monitoramento. Capacidade, vida útil e escopo da 'recuperação' não estão definidos.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I, da Lei n.º 8.987/1995 c/c art. 11 da Lei n.º 11.079/2004; art. 10, § 4.º,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C-018</w:t>
            </w:r>
          </w:p>
          <w:p>
            <w:pPr>
              <w:spacing w:after="40" w:line="240"/>
              <w:jc w:val="left"/>
            </w:pPr>
            <w:r>
              <w:rPr>
                <w:rFonts w:ascii="Times New Roman" w:cs="Times New Roman" w:eastAsia="Times New Roman" w:hAnsi="Times New Roman"/>
                <w:sz w:val="18"/>
                <w:szCs w:val="18"/>
              </w:rPr>
              <w:t xml:space="preserve">E1-035, E2-029, E3-035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 vii (PDF p. 13); Contrato cl. 8.6.2 (p. 19); Anexo D Tabela 3 (p. 10) e Tabela 5, IE3 (p. 14); Matriz TO-02 (p. 3); P6 p. 46 (ramp-up da Parcela A)</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Jirau: disponibilização pelo Poder Concedente sem prazo nem conteúdo, mas medida e remunerada a partir do Ano 2</w:t>
            </w:r>
          </w:p>
          <w:p>
            <w:pPr>
              <w:spacing w:after="40" w:line="240"/>
              <w:jc w:val="left"/>
            </w:pPr>
            <w:r>
              <w:rPr>
                <w:rFonts w:ascii="Times New Roman" w:cs="Times New Roman" w:eastAsia="Times New Roman" w:hAnsi="Times New Roman"/>
                <w:sz w:val="18"/>
                <w:szCs w:val="18"/>
              </w:rPr>
              <w:t xml:space="preserve">Edital e Contrato não fixam prazo nem conteúdo da 'disponibilização' do Jirau pelo Poder Concedente; a Matriz (TO-02) refere-se ao 'Mês 24 do contrato (contado da Ordem de Início)'. O Anexo D mede a 'recuperação e ativação' (IE3) em 100% a partir do Ano 2, o P6 aloca R$ 5,0 mi no Ano 2 e baseia o ramp-up da Parcela A na operação do Jirau no Ano 3. O Caderno não tem seção sobre o Jirau. Não estão definidos o regime de destinação do Alto Madeira nem os efeitos sobre IE3 e Parcela A enquanto a disponibilização não ocorre.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18, inciso I, da Lei n.º 8.987/1995 c/c art. 11 da Lei n.º 11.079/2004; art. 23, parágrafo único, inciso I, da Lei n.º 8.987/1995 c/c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C-020</w:t>
            </w:r>
          </w:p>
          <w:p>
            <w:pPr>
              <w:spacing w:after="40" w:line="240"/>
              <w:jc w:val="left"/>
            </w:pPr>
            <w:r>
              <w:rPr>
                <w:rFonts w:ascii="Times New Roman" w:cs="Times New Roman" w:eastAsia="Times New Roman" w:hAnsi="Times New Roman"/>
                <w:sz w:val="18"/>
                <w:szCs w:val="18"/>
              </w:rPr>
              <w:t xml:space="preserve">E1-036, E2-034, E6-047, E4-092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3.1.1 e 3.1.1.1 (PDF p. 13); Contrato cl. 10.3.11 (p. 29) e 18.2, f (p. 42); Caderno Tabela 2, termo PEV/Ecoponto (p. 8); P2 Sumário (p. 5) e Tabela 15 itens 1.4.1-1.4.2 (p. 43); P6 III.5 (p. 20)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RCC excluído do objeto, mas ecopontos destinados a receber RCC (Contrato 10.3.11 e P2)</w:t>
            </w:r>
          </w:p>
          <w:p>
            <w:pPr>
              <w:spacing w:after="40" w:line="240"/>
              <w:jc w:val="left"/>
            </w:pPr>
            <w:r>
              <w:rPr>
                <w:rFonts w:ascii="Times New Roman" w:cs="Times New Roman" w:eastAsia="Times New Roman" w:hAnsi="Times New Roman"/>
                <w:sz w:val="18"/>
                <w:szCs w:val="18"/>
              </w:rPr>
              <w:t xml:space="preserve">O Edital exclui o RCC do objeto e da base de cálculo da contraprestação e permite recusá-lo (3.1.1.1). O Contrato (10.3.11) e o P2 (p. 5) concebem a rede de ecopontos para entrega voluntária de volumosos e RCC; o Contrato também lista o RCC como receita acessória (18.2, f). O Caderno remete as frações aceitas a 'demais frações permitidas', e o P6 descreve os ecopontos como pontos de entrega de recicláveis. Ficam indefinidos o recebimento de RCC de pequenos geradores nos ecopontos, sua destinação (não há aterro de inertes ou área de transbordo e triagem orçados) e seu custeio.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13, inciso I, alínea 'h', e art. 20, inciso III, da Lei n.º 12.305/2010; Resolução CONAMA n.º 307/2002;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C-021</w:t>
            </w:r>
          </w:p>
          <w:p>
            <w:pPr>
              <w:spacing w:after="40" w:line="240"/>
              <w:jc w:val="left"/>
            </w:pPr>
            <w:r>
              <w:rPr>
                <w:rFonts w:ascii="Times New Roman" w:cs="Times New Roman" w:eastAsia="Times New Roman" w:hAnsi="Times New Roman"/>
                <w:sz w:val="18"/>
                <w:szCs w:val="18"/>
              </w:rPr>
              <w:t xml:space="preserve">E3-042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10.3.11 (PDF p. 29)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Contrato 10.3.11: redação encaminha volumosos e RCC ao pátio de compostagem</w:t>
            </w:r>
          </w:p>
          <w:p>
            <w:pPr>
              <w:spacing w:after="40" w:line="240"/>
              <w:jc w:val="left"/>
            </w:pPr>
            <w:r>
              <w:rPr>
                <w:rFonts w:ascii="Times New Roman" w:cs="Times New Roman" w:eastAsia="Times New Roman" w:hAnsi="Times New Roman"/>
                <w:sz w:val="18"/>
                <w:szCs w:val="18"/>
              </w:rPr>
              <w:t xml:space="preserve">Pela redação, todos os resíduos recebidos nos ecopontos (volumosos, RCC e poda) seriam encaminhados ao pátio de compostagem, embora volumosos e RCC não sejam compostáveis. A destinação desses resíduos não está definida em outro dispositivo.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Resolução CONAMA n.º 307/2002; art. 13, inciso I, alínea 'h',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C-022</w:t>
            </w:r>
          </w:p>
          <w:p>
            <w:pPr>
              <w:spacing w:after="40" w:line="240"/>
              <w:jc w:val="left"/>
            </w:pPr>
            <w:r>
              <w:rPr>
                <w:rFonts w:ascii="Times New Roman" w:cs="Times New Roman" w:eastAsia="Times New Roman" w:hAnsi="Times New Roman"/>
                <w:sz w:val="18"/>
                <w:szCs w:val="18"/>
              </w:rPr>
              <w:t xml:space="preserve">E2-033, E4-092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 ix (PDF p. 13); Caderno IV.3 e Tabela 14 (p. 18-19), X.6.5 (p. 44-45); Anexo III Tabela 3 (p. 10); P6 III.5 (p. 20) e Tabela 7, item 1.4.1 (p. 37); Contrato cl. 10.3.11 (p. 29)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Ecopontos e PEVs sem número, localização e cronograma; função divergente entre documentos</w:t>
            </w:r>
          </w:p>
          <w:p>
            <w:pPr>
              <w:spacing w:after="40" w:line="240"/>
              <w:jc w:val="left"/>
            </w:pPr>
            <w:r>
              <w:rPr>
                <w:rFonts w:ascii="Times New Roman" w:cs="Times New Roman" w:eastAsia="Times New Roman" w:hAnsi="Times New Roman"/>
                <w:sz w:val="18"/>
                <w:szCs w:val="18"/>
              </w:rPr>
              <w:t xml:space="preserve">A operação e manutenção de ecopontos integra o objeto (Edital 3.1, ix), mas nenhum anexo fixa quantos ecopontos e PEVs implantar, onde e quando. O Anexo III registra 10 ecopontos na Sede e nenhum nos distritos; o P6 descreve 'uma rede de dez Ecopontos [...] para entrega voluntária de recicláveis' e orça 'aquisição' de R$ 300 mil (Ano 1) e R$ 450 mil em ciclos posteriores, sem quantidade; o Contrato os destina a volumosos, RCC e poda. A obrigação fica indeterminada para fins de proposta e de fiscalização.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incisos I e II, da Lei n.º 8.987/1995 c/c art. 11 da Lei n.º 11.079/2004; art. 10-A, inciso I,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C-023</w:t>
            </w:r>
          </w:p>
          <w:p>
            <w:pPr>
              <w:spacing w:after="40" w:line="240"/>
              <w:jc w:val="left"/>
            </w:pPr>
            <w:r>
              <w:rPr>
                <w:rFonts w:ascii="Times New Roman" w:cs="Times New Roman" w:eastAsia="Times New Roman" w:hAnsi="Times New Roman"/>
                <w:sz w:val="18"/>
                <w:szCs w:val="18"/>
              </w:rPr>
              <w:t xml:space="preserve">E3-076, E4-073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3.1.1.1 (PDF p. 13), 3.1.2.1 e 3.1.2.2.1 (p. 14); Contrato cl. 10.5 (p. 29), 10.13.5.4 (p. 32), 18.2.2 e 18.2.2.1 (p. 42), 26.3, viii (p. 56-57); Matriz TO-12 (p. 11-12)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Recebimento compulsório de resíduos fora do escopo por ordem da ARDPV x direito de recusa e desobrigação</w:t>
            </w:r>
          </w:p>
          <w:p>
            <w:pPr>
              <w:spacing w:after="40" w:line="240"/>
              <w:jc w:val="left"/>
            </w:pPr>
            <w:r>
              <w:rPr>
                <w:rFonts w:ascii="Times New Roman" w:cs="Times New Roman" w:eastAsia="Times New Roman" w:hAnsi="Times New Roman"/>
                <w:sz w:val="18"/>
                <w:szCs w:val="18"/>
              </w:rPr>
              <w:t xml:space="preserve">O Edital (3.1.1.1) autoriza a recusa de resíduos fora do objeto (Classe I não RSS, RCC, industriais) e de cargas que comprometam licenciamento ou vida útil; o Edital (3.1.2.1), o Contrato (18.2.2.1 e 26.3, viii — multa entre '[0,5% e 30%]' do valor anual, com colchetes no original) e a Matriz (TO-12) sancionam a recusa contrária a ordem escrita da ARDPV, com 'tarifa especial' ou reequilíbrio a definir. O Contrato 10.5 desobriga a concessionária de serviços não previstos. Não há critério que concilie as regras, limite o consumo de vida útil do aterro (o 10.13.5.4 veda comprometê-la) ou trate do recebimento de Classe I em unidades não licenciadas para esses resíduos.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20 e 27 da Lei n.º 12.305/2010; art. 5.º, inciso III,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C-026</w:t>
            </w:r>
          </w:p>
          <w:p>
            <w:pPr>
              <w:spacing w:after="40" w:line="240"/>
              <w:jc w:val="left"/>
            </w:pPr>
            <w:r>
              <w:rPr>
                <w:rFonts w:ascii="Times New Roman" w:cs="Times New Roman" w:eastAsia="Times New Roman" w:hAnsi="Times New Roman"/>
                <w:sz w:val="18"/>
                <w:szCs w:val="18"/>
              </w:rPr>
              <w:t xml:space="preserve">E2-038, E5-019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21 (PDF p. 23-24); Anexo III Tabelas 3 e 4 (p. 10-11); P1 p. 12, 13, 27 (Tabela 4) e 41; P2 p. 12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Área de abrangência: número e status de distritos divergentes (13 x 14; Rio Pardo e União Bandeirantes)</w:t>
            </w:r>
          </w:p>
          <w:p>
            <w:pPr>
              <w:spacing w:after="40" w:line="240"/>
              <w:jc w:val="left"/>
            </w:pPr>
            <w:r>
              <w:rPr>
                <w:rFonts w:ascii="Times New Roman" w:cs="Times New Roman" w:eastAsia="Times New Roman" w:hAnsi="Times New Roman"/>
                <w:sz w:val="18"/>
                <w:szCs w:val="18"/>
              </w:rPr>
              <w:t xml:space="preserve">O Caderno (Tabela 21) relaciona 13 distritos; o Anexo III ('Ausência total de PEVs nos 14 distritos') e o P1 falam em 14. O P1 afirma na p. 12 que União Bandeirantes e Rio Pardo foram criados por lei e, na p. 41, que não são oficialmente reconhecidos como distritos; situa Rio Pardo 'dentro do perímetro da sede' (p. 13) e, na Tabela 4, a cerca de 150 km da sede, no Médio Madeira. Localidades citadas no Anexo III (como a Agrovila Rio Verde, 'sem coleta') não aparecem nos quantitativos do Caderno.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23, inciso I, da Lei n.º 8.987/1995 c/c art. 3.º da Lei n.º 11.079/2004; art. 18, inciso I,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C-027</w:t>
            </w:r>
          </w:p>
          <w:p>
            <w:pPr>
              <w:spacing w:after="40" w:line="240"/>
              <w:jc w:val="left"/>
            </w:pPr>
            <w:r>
              <w:rPr>
                <w:rFonts w:ascii="Times New Roman" w:cs="Times New Roman" w:eastAsia="Times New Roman" w:hAnsi="Times New Roman"/>
                <w:sz w:val="18"/>
                <w:szCs w:val="18"/>
              </w:rPr>
              <w:t xml:space="preserve">E2-036, E6-056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Tabelas 14, 20 e 21 (PDF p. 17, 23-24); Anexo III Tabela 4 (p. 11) e Tabela 14 (p. 25); P6 Tabela 7, itens 1.1.3, 1.3.1, 2.1.4, 2.2.1 e 3.1.1 (p. 37-39); P3 Tabelas 19, 21 e 22 (p. 40-48); P2 Tabela 15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Especificação de equipamentos divergente (contêineres de 1,0/1,2/1,5/5 m³; gaiola de 20/25 m³)</w:t>
            </w:r>
          </w:p>
          <w:p>
            <w:pPr>
              <w:spacing w:after="40" w:line="240"/>
              <w:jc w:val="left"/>
            </w:pPr>
            <w:r>
              <w:rPr>
                <w:rFonts w:ascii="Times New Roman" w:cs="Times New Roman" w:eastAsia="Times New Roman" w:hAnsi="Times New Roman"/>
                <w:sz w:val="18"/>
                <w:szCs w:val="18"/>
              </w:rPr>
              <w:t xml:space="preserve">O Caderno especifica contêineres de 1,2 m³; o P6 orça carrinhos contêiner de 1,5 m³ (Sede e Alto/Médio Madeira) e de 1 m³ (Baixo Madeira), e o Anexo III descreve contêineres de 5 m³ trocados por balsa nos distritos do Baixo Madeira. O caminhão gaiola da coleta seletiva é de 25 m³ na Sede e de 20 m³ no Alto/Médio Madeira no P6, e de 25 m³ no P2. O número de contêineres de 1,2 m³ existentes também diverge (122 no P2; 126 no P3).</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II, da Lei n.º 8.987/1995 c/c art. 11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C-028</w:t>
            </w:r>
          </w:p>
          <w:p>
            <w:pPr>
              <w:spacing w:after="40" w:line="240"/>
              <w:jc w:val="left"/>
            </w:pPr>
            <w:r>
              <w:rPr>
                <w:rFonts w:ascii="Times New Roman" w:cs="Times New Roman" w:eastAsia="Times New Roman" w:hAnsi="Times New Roman"/>
                <w:sz w:val="18"/>
                <w:szCs w:val="18"/>
              </w:rPr>
              <w:t xml:space="preserve">E2-036, E6-044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21 (PDF p. 23-24); P3 Tabela 19 (p. 40); Anexo III Tabela 14 (p. 25); P2 Tabela 16, item 3.1.1 (p. 46)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Equipes de coleta do Baixo Madeira divergentes: 3 por distrito (Anexo III), 15 (Caderno) e 20 (P3)</w:t>
            </w:r>
          </w:p>
          <w:p>
            <w:pPr>
              <w:spacing w:after="40" w:line="240"/>
              <w:jc w:val="left"/>
            </w:pPr>
            <w:r>
              <w:rPr>
                <w:rFonts w:ascii="Times New Roman" w:cs="Times New Roman" w:eastAsia="Times New Roman" w:hAnsi="Times New Roman"/>
                <w:sz w:val="18"/>
                <w:szCs w:val="18"/>
              </w:rPr>
              <w:t xml:space="preserve">O P3 prevê 9 coletores em Calama, 2 em Demarcação, 3 em Nazaré e 6 em São Carlos (20 no total); o Caderno, que reproduz os demais quantitativos da mesma tabela, prevê 5, 2, 3 e 5 (15 no total); o Anexo III indica 3 agentes por distrito. Pelo Edital 2.11.2 prevalece o Caderno; o OPEX do P2 para equipes do Baixo Madeira não indica qual quantitativo foi precificado.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II, da Lei n.º 8.987/1995 c/c art. 11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C-029</w:t>
            </w:r>
          </w:p>
          <w:p>
            <w:pPr>
              <w:spacing w:after="40" w:line="240"/>
              <w:jc w:val="left"/>
            </w:pPr>
            <w:r>
              <w:rPr>
                <w:rFonts w:ascii="Times New Roman" w:cs="Times New Roman" w:eastAsia="Times New Roman" w:hAnsi="Times New Roman"/>
                <w:sz w:val="18"/>
                <w:szCs w:val="18"/>
              </w:rPr>
              <w:t xml:space="preserve">E2-035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VII.1 e Tabela 28 (PDF p. 33); Contrato cl. 10.3.1 (p. 28); P2 VI.1 (p. 41); Anexo D Tabela 2, TO-08 (p. 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Frota sem quantitativos mínimos, idade máxima ou padrão de emissões</w:t>
            </w:r>
          </w:p>
          <w:p>
            <w:pPr>
              <w:spacing w:after="40" w:line="240"/>
              <w:jc w:val="left"/>
            </w:pPr>
            <w:r>
              <w:rPr>
                <w:rFonts w:ascii="Times New Roman" w:cs="Times New Roman" w:eastAsia="Times New Roman" w:hAnsi="Times New Roman"/>
                <w:sz w:val="18"/>
                <w:szCs w:val="18"/>
              </w:rPr>
              <w:t xml:space="preserve">O Contrato remete as especificações mínimas da frota aos Anexos, mas o Caderno só lista equipamentos típicos: não há número mínimo de veículos, idade máxima, padrão de emissões nem reserva técnica. O P2 menciona frota Euro VI (Proconve P-8) sem reflexo no Caderno, e a Matriz/Anexo D (TO-08) usa 'média de idade dos veículos' como indicador, ausente do IQS.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II, da Lei n.º 8.987/1995 c/c art. 11 da Lei n.º 11.079/2004; art. 23, inciso III, da Lei n.º 8.987/1995 c/c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C-030</w:t>
            </w:r>
          </w:p>
          <w:p>
            <w:pPr>
              <w:spacing w:after="40" w:line="240"/>
              <w:jc w:val="left"/>
            </w:pPr>
            <w:r>
              <w:rPr>
                <w:rFonts w:ascii="Times New Roman" w:cs="Times New Roman" w:eastAsia="Times New Roman" w:hAnsi="Times New Roman"/>
                <w:sz w:val="18"/>
                <w:szCs w:val="18"/>
              </w:rPr>
              <w:t xml:space="preserve">E6-055, E2-006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XI.3 (PDF p. 61) e XI.6, marco 8 (p. 63); Contrato cl. 10.3.1 (p. 28); P2 VI.1 e Tabela 15 (p. 41-45); P6 Tabela 7 (p. 37-40)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Reposição de frota: ciclos quinquenais (P2/P6, vinculados pelo Contrato 10.3.1) x reposição programada no Ano 25 (Caderno)</w:t>
            </w:r>
          </w:p>
          <w:p>
            <w:pPr>
              <w:spacing w:after="40" w:line="240"/>
              <w:jc w:val="left"/>
            </w:pPr>
            <w:r>
              <w:rPr>
                <w:rFonts w:ascii="Times New Roman" w:cs="Times New Roman" w:eastAsia="Times New Roman" w:hAnsi="Times New Roman"/>
                <w:sz w:val="18"/>
                <w:szCs w:val="18"/>
              </w:rPr>
              <w:t xml:space="preserve">O P2 e o P6 repõem compactadores, embarcações e quadriciclos em ciclos de cerca de cinco anos (a balsa nos Anos 1, 10 e 20), e o Contrato (10.3.1) vincula a substituição aos ciclos 'dos Anexos' e da modelagem. O Caderno, que prevalece sobre o EVTEA (Edital 2.11.2), prevê reposição programada no Ano 25 e a usa como marco da Parcela A. A obrigação contratual e a base de custos ficam desalinhadas.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23, inciso III, da Lei n.º 8.987/1995 c/c art. 3.º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C-032</w:t>
            </w:r>
          </w:p>
          <w:p>
            <w:pPr>
              <w:spacing w:after="40" w:line="240"/>
              <w:jc w:val="left"/>
            </w:pPr>
            <w:r>
              <w:rPr>
                <w:rFonts w:ascii="Times New Roman" w:cs="Times New Roman" w:eastAsia="Times New Roman" w:hAnsi="Times New Roman"/>
                <w:sz w:val="18"/>
                <w:szCs w:val="18"/>
              </w:rPr>
              <w:t xml:space="preserve">E2-039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 v (PDF p. 13); Caderno IV.1-IV.6 (p. 16-24); P6 Tabela 7, item 1.2 (p. 37)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Coleta de feiras livres e mercados públicos no objeto, sem encargos específicos no Caderno</w:t>
            </w:r>
          </w:p>
          <w:p>
            <w:pPr>
              <w:spacing w:after="40" w:line="240"/>
              <w:jc w:val="left"/>
            </w:pPr>
            <w:r>
              <w:rPr>
                <w:rFonts w:ascii="Times New Roman" w:cs="Times New Roman" w:eastAsia="Times New Roman" w:hAnsi="Times New Roman"/>
                <w:sz w:val="18"/>
                <w:szCs w:val="18"/>
              </w:rPr>
              <w:t xml:space="preserve">O Edital inclui no objeto a coleta de feiras e mercados, e o P6 orça frota própria para isso. O Caderno não define número de feiras, frequência, horário, lavagem nem destinação à compostagem (refere apenas 'resíduos de feiras quando autorizados').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II,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C-033</w:t>
            </w:r>
          </w:p>
          <w:p>
            <w:pPr>
              <w:spacing w:after="40" w:line="240"/>
              <w:jc w:val="left"/>
            </w:pPr>
            <w:r>
              <w:rPr>
                <w:rFonts w:ascii="Times New Roman" w:cs="Times New Roman" w:eastAsia="Times New Roman" w:hAnsi="Times New Roman"/>
                <w:sz w:val="18"/>
                <w:szCs w:val="18"/>
              </w:rPr>
              <w:t xml:space="preserve">E3-090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10.2.2 (PDF p. 23) x 12.1 (p. 33)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Contratação de terceiros: autorização prévia (10.2.2) x subcontratação nos termos da lei (12.1)</w:t>
            </w:r>
          </w:p>
          <w:p>
            <w:pPr>
              <w:spacing w:after="40" w:line="240"/>
              <w:jc w:val="left"/>
            </w:pPr>
            <w:r>
              <w:rPr>
                <w:rFonts w:ascii="Times New Roman" w:cs="Times New Roman" w:eastAsia="Times New Roman" w:hAnsi="Times New Roman"/>
                <w:sz w:val="18"/>
                <w:szCs w:val="18"/>
              </w:rPr>
              <w:t xml:space="preserve">A lei permite à concessionária contratar com terceiros atividades inerentes, acessórias ou complementares, e o Contrato 12.1 reproduz essa regra; o 10.2.2 exige autorização prévia para executar serviços por terceiros. A cláusula não distingue subcontratação de subconcessão.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25, § 1.º, e art. 26 da Lei n.º 8.987/1995 c/c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C-034</w:t>
            </w:r>
          </w:p>
          <w:p>
            <w:pPr>
              <w:spacing w:after="40" w:line="240"/>
              <w:jc w:val="left"/>
            </w:pPr>
            <w:r>
              <w:rPr>
                <w:rFonts w:ascii="Times New Roman" w:cs="Times New Roman" w:eastAsia="Times New Roman" w:hAnsi="Times New Roman"/>
                <w:sz w:val="18"/>
                <w:szCs w:val="18"/>
              </w:rPr>
              <w:t xml:space="preserve">E7-045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II.4 (PDF p. 17) x III.1.4 (p. 26)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Enquadramento como concessão administrativa: Município 'usuário direto' (P7, p. 17) x 'usuário indireto' (p. 26)</w:t>
            </w:r>
          </w:p>
          <w:p>
            <w:pPr>
              <w:spacing w:after="40" w:line="240"/>
              <w:jc w:val="left"/>
            </w:pPr>
            <w:r>
              <w:rPr>
                <w:rFonts w:ascii="Times New Roman" w:cs="Times New Roman" w:eastAsia="Times New Roman" w:hAnsi="Times New Roman"/>
                <w:sz w:val="18"/>
                <w:szCs w:val="18"/>
              </w:rPr>
              <w:t xml:space="preserve">O P7 qualifica o Poder Concedente como usuário direto na p. 17 e como usuário indireto na p. 26. A qualificação sustenta o enquadramento como concessão administrativa e se relaciona com a existência de taxa de RSU cobrada dos munícipes.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2.º, § 2.º,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C-035</w:t>
            </w:r>
          </w:p>
          <w:p>
            <w:pPr>
              <w:spacing w:after="40" w:line="240"/>
              <w:jc w:val="left"/>
            </w:pPr>
            <w:r>
              <w:rPr>
                <w:rFonts w:ascii="Times New Roman" w:cs="Times New Roman" w:eastAsia="Times New Roman" w:hAnsi="Times New Roman"/>
                <w:sz w:val="18"/>
                <w:szCs w:val="18"/>
              </w:rPr>
              <w:t xml:space="preserve">E2-084, E5-069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V.3 e Tabela 5 (PDF p. 11-12), Tabela 9 (p. 16); Caderno VI.3 e Tabela 27 (p. 32); Contrato cl. 10.8 (p. 30); P4 V.1.1 (p. 21-22), V.2 (p. 23) e VII.4 (p. 32)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350 a 600 catadores informais sem obrigação específica de integração; cadastro não realizado</w:t>
            </w:r>
          </w:p>
          <w:p>
            <w:pPr>
              <w:spacing w:after="40" w:line="240"/>
              <w:jc w:val="left"/>
            </w:pPr>
            <w:r>
              <w:rPr>
                <w:rFonts w:ascii="Times New Roman" w:cs="Times New Roman" w:eastAsia="Times New Roman" w:hAnsi="Times New Roman"/>
                <w:sz w:val="18"/>
                <w:szCs w:val="18"/>
              </w:rPr>
              <w:t xml:space="preserve">O Anexo III e o P4 estimam 350 a 600 catadores informais que perderam a renda com o fechamento da Lixeira, sem memória de cálculo; o cadastro não foi realizado antes do Edital. A CS-01 e o Contrato (10.8) alcançam cooperativas e catadores 'cadastrados', e o Caderno (VI.3) prevê 'priorizar arranjos' conforme plano social a aprovar, sem meta. Não há obrigação quantificada para integrar os catadores informais.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7.º, inciso XII, art. 8.º, inciso IV, e art. 36, § 1.º,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C-036</w:t>
            </w:r>
          </w:p>
          <w:p>
            <w:pPr>
              <w:spacing w:after="40" w:line="240"/>
              <w:jc w:val="left"/>
            </w:pPr>
            <w:r>
              <w:rPr>
                <w:rFonts w:ascii="Times New Roman" w:cs="Times New Roman" w:eastAsia="Times New Roman" w:hAnsi="Times New Roman"/>
                <w:sz w:val="18"/>
                <w:szCs w:val="18"/>
              </w:rPr>
              <w:t xml:space="preserve">E3-058, E5-069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10.2.33.3 a 10.2.33.5 (PDF p. 26-27); Anexo III Tabela 17, CS-01 (p. 27)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CS-01: linha de base desconhecida e percentual definitivo fixado pela ARDPV entre limites que o Anexo III não traz</w:t>
            </w:r>
          </w:p>
          <w:p>
            <w:pPr>
              <w:spacing w:after="40" w:line="240"/>
              <w:jc w:val="left"/>
            </w:pPr>
            <w:r>
              <w:rPr>
                <w:rFonts w:ascii="Times New Roman" w:cs="Times New Roman" w:eastAsia="Times New Roman" w:hAnsi="Times New Roman"/>
                <w:sz w:val="18"/>
                <w:szCs w:val="18"/>
              </w:rPr>
              <w:t xml:space="preserve">Até o Nível 1, a CS-01 é o volume médio triado pelas cooperativas cadastradas nos 12 meses anteriores à Ordem de Início, dado não informado na licitação. Depois, a ARDPV fixa o percentual definitivo por ato normativo, sem reequilíbrio, dentro de 'limites mínimo e máximo' do Anexo III, cujo 'patamar máximo integra a Proposta Econômica'; o Anexo III (Tabela 17) só estabelece o piso e remete a penalidade à ARDPV. A obrigação não pode ser precificada na proposta.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23, inciso III, da Lei n.º 8.987/1995 c/c art. 3.º da Lei n.º 11.079/2004; art. 36, § 1.º,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C-037</w:t>
            </w:r>
          </w:p>
          <w:p>
            <w:pPr>
              <w:spacing w:after="40" w:line="240"/>
              <w:jc w:val="left"/>
            </w:pPr>
            <w:r>
              <w:rPr>
                <w:rFonts w:ascii="Times New Roman" w:cs="Times New Roman" w:eastAsia="Times New Roman" w:hAnsi="Times New Roman"/>
                <w:sz w:val="18"/>
                <w:szCs w:val="18"/>
              </w:rPr>
              <w:t xml:space="preserve">E5-009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IV.1 (PDF p. 19), Tabela 6 (p. 19) e Tabela 3 (p. 13); P1 VIII.6.1 (p. 101)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P4 afirma usar frota e rotas 'reais' do P1, que declara não ter recebido esses dados</w:t>
            </w:r>
          </w:p>
          <w:p>
            <w:pPr>
              <w:spacing w:after="40" w:line="240"/>
              <w:jc w:val="left"/>
            </w:pPr>
            <w:r>
              <w:rPr>
                <w:rFonts w:ascii="Times New Roman" w:cs="Times New Roman" w:eastAsia="Times New Roman" w:hAnsi="Times New Roman"/>
                <w:sz w:val="18"/>
                <w:szCs w:val="18"/>
              </w:rPr>
              <w:t xml:space="preserve">O P1 registra que não recebeu informações sobre a frota em operação. O P4 apresenta '17 caminhões, frota diesel' sem fonte e '127 trabalhadores formais na Sede', atribuídos às Tabelas 17-19 do P3, que tratam de rota seletiva, distâncias e estrutura do Baixo Madeira.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 1.º, inciso IV, da Lei n.º 14.133/2021 c/c art. 186 da mesma Lei; 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Licenciamento e passivos ambientais (10)</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C-058</w:t>
            </w:r>
          </w:p>
          <w:p>
            <w:pPr>
              <w:spacing w:after="40" w:line="240"/>
              <w:jc w:val="left"/>
            </w:pPr>
            <w:r>
              <w:rPr>
                <w:rFonts w:ascii="Times New Roman" w:cs="Times New Roman" w:eastAsia="Times New Roman" w:hAnsi="Times New Roman"/>
                <w:sz w:val="18"/>
                <w:szCs w:val="18"/>
              </w:rPr>
              <w:t xml:space="preserve">E1-009, E3-031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6.3, iv (PDF p. 16); Contrato cl. 8.1, caput e inciso II (p. 17), 10.2.18 (p. 24), 10.12 (p. 31); Matriz TO-05 (p. 7); P6 III.10 (p. 23)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Responsabilidade pela Licença Prévia atribuída ao mesmo tempo à concessionária e ao Poder Concedente</w:t>
            </w:r>
          </w:p>
          <w:p>
            <w:pPr>
              <w:spacing w:after="40" w:line="240"/>
              <w:jc w:val="left"/>
            </w:pPr>
            <w:r>
              <w:rPr>
                <w:rFonts w:ascii="Times New Roman" w:cs="Times New Roman" w:eastAsia="Times New Roman" w:hAnsi="Times New Roman"/>
                <w:sz w:val="18"/>
                <w:szCs w:val="18"/>
              </w:rPr>
              <w:t xml:space="preserve">O caput do Contrato 8.1 e o 10.12 atribuem à concessionária todas as licenças, 'incluindo a Licença Prévia'; o inciso II do 8.1 menciona LP obtida pelo Poder Concedente; o 10.2.18 fala só em licenças de instalação e operação. O Edital condiciona a Ordem de Início à obtenção e transferência de LPs atribuídas ao Poder Concedente 'nos ANEXOS', mas nenhum anexo faz essa atribuição. A Matriz (TO-05) atribui ao Poder Concedente liberação de área e licenciamento do CTR-PV, e o P6 (p. 23) refere responsabilidade do Poder Concedente pelo 'licenciamento ambiental inicial'.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VII, da Lei n.º 11.079/2004; art. 5.º, inciso III,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C-059</w:t>
            </w:r>
          </w:p>
          <w:p>
            <w:pPr>
              <w:spacing w:after="40" w:line="240"/>
              <w:jc w:val="left"/>
            </w:pPr>
            <w:r>
              <w:rPr>
                <w:rFonts w:ascii="Times New Roman" w:cs="Times New Roman" w:eastAsia="Times New Roman" w:hAnsi="Times New Roman"/>
                <w:sz w:val="18"/>
                <w:szCs w:val="18"/>
              </w:rPr>
              <w:t xml:space="preserve">E3-032, E4-080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8.7 (PDF p. 19), 8.12 (p. 20), 10.13.1.1 (p. 31), 26.30 (p. 62); Matriz RJ-02 (p. 26-27)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Atraso de licenciamento: regra restrita a órgãos estaduais/federais (Matriz: só federais), com erro de redação e só dilação de prazo</w:t>
            </w:r>
          </w:p>
          <w:p>
            <w:pPr>
              <w:spacing w:after="40" w:line="240"/>
              <w:jc w:val="left"/>
            </w:pPr>
            <w:r>
              <w:rPr>
                <w:rFonts w:ascii="Times New Roman" w:cs="Times New Roman" w:eastAsia="Times New Roman" w:hAnsi="Times New Roman"/>
                <w:sz w:val="18"/>
                <w:szCs w:val="18"/>
              </w:rPr>
              <w:t xml:space="preserve">O Contrato 8.12 refere 'prazos manuais' de tramitação (redação que parece pretender 'máximos'), não abrange o licenciador municipal e só concede dilação de prazos, sem recomposição de custos; o 8.7 e o 26.30 afastam penalidades e descontos, também sem reequilíbrio. A Matriz (RJ-02) reconhece que o licenciamento está 'sob jurisdição SEMA/RO', mas o gatilho cobre apenas atraso de 'órgãos federais' e também só gera reequilíbrio de prazos. O 10.13.1.1 retira o aterro da regra ('demora no licenciamento' sem recomposição).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14 da Lei Complementar n.º 140/2011;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C-061</w:t>
            </w:r>
          </w:p>
          <w:p>
            <w:pPr>
              <w:spacing w:after="40" w:line="240"/>
              <w:jc w:val="left"/>
            </w:pPr>
            <w:r>
              <w:rPr>
                <w:rFonts w:ascii="Times New Roman" w:cs="Times New Roman" w:eastAsia="Times New Roman" w:hAnsi="Times New Roman"/>
                <w:sz w:val="18"/>
                <w:szCs w:val="18"/>
              </w:rPr>
              <w:t xml:space="preserve">E5-040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Objetivos (PDF p. 7), Tabelas 6 e 7 (p. 19-21); Edital 3.1, vi a x (p. 13)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Avaliação de impactos do P4 não abrange as instalações futuras da PPP</w:t>
            </w:r>
          </w:p>
          <w:p>
            <w:pPr>
              <w:spacing w:after="40" w:line="240"/>
              <w:jc w:val="left"/>
            </w:pPr>
            <w:r>
              <w:rPr>
                <w:rFonts w:ascii="Times New Roman" w:cs="Times New Roman" w:eastAsia="Times New Roman" w:hAnsi="Times New Roman"/>
                <w:sz w:val="18"/>
                <w:szCs w:val="18"/>
              </w:rPr>
              <w:t xml:space="preserve">Embora o objetivo inclua o 'modelo de PPP projetado', a Tabela 6 do P4 avalia o sistema atual e a Tabela 7 apenas a transição. Não há avaliação dos impactos da CTR (aterro de rejeitos, CDR, compostagem, tratamento de RSS), dos transbordos e da nova logística fluvial, que compõem o objeto.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 1.º, inciso XII, da Lei n.º 14.133/2021 c/c art. 186 da mesma Lei; art. 10, inciso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C-063</w:t>
            </w:r>
          </w:p>
          <w:p>
            <w:pPr>
              <w:spacing w:after="40" w:line="240"/>
              <w:jc w:val="left"/>
            </w:pPr>
            <w:r>
              <w:rPr>
                <w:rFonts w:ascii="Times New Roman" w:cs="Times New Roman" w:eastAsia="Times New Roman" w:hAnsi="Times New Roman"/>
                <w:sz w:val="18"/>
                <w:szCs w:val="18"/>
              </w:rPr>
              <w:t xml:space="preserve">E2-030, E3-035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3 (PDF p. 9), VII.3 (p. 18) e PA-08 (p. 19); Contrato cl. 8.6.1.2 (p. 18-19), 8.8, ii (p. 19-20); Anexo III Tabela 2 (p. 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Jirau: cinco áreas suspeitas sem investigação confirmatória; encargo de recuperação sem limite</w:t>
            </w:r>
          </w:p>
          <w:p>
            <w:pPr>
              <w:spacing w:after="40" w:line="240"/>
              <w:jc w:val="left"/>
            </w:pPr>
            <w:r>
              <w:rPr>
                <w:rFonts w:ascii="Times New Roman" w:cs="Times New Roman" w:eastAsia="Times New Roman" w:hAnsi="Times New Roman"/>
                <w:sz w:val="18"/>
                <w:szCs w:val="18"/>
              </w:rPr>
              <w:t xml:space="preserve">O Anexo III registra cinco áreas suspeitas no Jirau, sem investigação confirmatória. O limite de encargo do Contrato (8.6.1.2) cobre apenas a Vila Princesa; o programa de recuperação e monitoramento pós-encerramento do Jirau (8.8, ii), com prazo mínimo de 20 anos, não tem limite de dispêndio, nem as intervenções que a investigação vier a indicar. O escopo físico e financeiro do encargo no Jirau é indeterminado.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Resolução CONAMA n.º 420/2009 (gerenciamento de áreas contaminadas); art. 14, § 1.º, da Lei n.º 6.938/1981; 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C-064</w:t>
            </w:r>
          </w:p>
          <w:p>
            <w:pPr>
              <w:spacing w:after="40" w:line="240"/>
              <w:jc w:val="left"/>
            </w:pPr>
            <w:r>
              <w:rPr>
                <w:rFonts w:ascii="Times New Roman" w:cs="Times New Roman" w:eastAsia="Times New Roman" w:hAnsi="Times New Roman"/>
                <w:sz w:val="18"/>
                <w:szCs w:val="18"/>
              </w:rPr>
              <w:t xml:space="preserve">E2-073, E5-058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10 (PDF p. 18), Tabela 11, PA-01 (p. 19), Tabela 15 (p. 26); P4 Tabela 10 (p. 27-28) e PA-01 (Tabela 9, p. 26); Anexo D Tabela 3 (p. 10) e IE5 (p. 14); P6 Tabela 7, item 7.1.1 (p. 40); P2 Tabela 15, item 7.1.1 (p. 45)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Cronograma do rito GAC da Vila Princesa divergente entre Anexo III, P4, Anexo D, P2 e P6</w:t>
            </w:r>
          </w:p>
          <w:p>
            <w:pPr>
              <w:spacing w:after="40" w:line="240"/>
              <w:jc w:val="left"/>
            </w:pPr>
            <w:r>
              <w:rPr>
                <w:rFonts w:ascii="Times New Roman" w:cs="Times New Roman" w:eastAsia="Times New Roman" w:hAnsi="Times New Roman"/>
                <w:sz w:val="18"/>
                <w:szCs w:val="18"/>
              </w:rPr>
              <w:t xml:space="preserve">No Anexo III (Tabela 10), a etapa E4 termina em M18; o PA-01 fixa E1-E4 concluídas em M36 e a Tabela 15 fala em 'rito GAC concluído 100% (M36)', com monitoramento de 10 anos após M36. O P4 atribui prazo M1-M3 à etapa E1 já concluída e desloca marcos verificáveis entre etapas. O Anexo D mede a implantação em 10% no Ano 2, 50% no Ano 3 e 100% no Ano 4, sem marco no Ano 1, embora a investigação confirmatória esteja prevista para M1-M6; o P6 desembolsa nos Anos 1 a 3 e o P2 nos Anos 2 a 4. Esses prazos servem de base a sanções e descontos.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23, parágrafo único, inciso I, da Lei n.º 8.987/1995 c/c art. 3.º da Lei n.º 11.079/2004; art. 5.º, inciso VII, da Lei n.º 11.079/2004; Resolução CONAMA n.º 420/2009</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C-065</w:t>
            </w:r>
          </w:p>
          <w:p>
            <w:pPr>
              <w:spacing w:after="40" w:line="240"/>
              <w:jc w:val="left"/>
            </w:pPr>
            <w:r>
              <w:rPr>
                <w:rFonts w:ascii="Times New Roman" w:cs="Times New Roman" w:eastAsia="Times New Roman" w:hAnsi="Times New Roman"/>
                <w:sz w:val="18"/>
                <w:szCs w:val="18"/>
              </w:rPr>
              <w:t xml:space="preserve">E2-076, E5-058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10 (PDF p. 18) e Tabela 11, PA-04 (p. 19); P4 Tabela 10 (p. 27-28); Contrato cl. 8.6.1.2 (p. 18-19)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Intervenções nos passivos exigidas antes da avaliação de risco que as define (lixiviado em M12; intervenção desde M1)</w:t>
            </w:r>
          </w:p>
          <w:p>
            <w:pPr>
              <w:spacing w:after="40" w:line="240"/>
              <w:jc w:val="left"/>
            </w:pPr>
            <w:r>
              <w:rPr>
                <w:rFonts w:ascii="Times New Roman" w:cs="Times New Roman" w:eastAsia="Times New Roman" w:hAnsi="Times New Roman"/>
                <w:sz w:val="18"/>
                <w:szCs w:val="18"/>
              </w:rPr>
              <w:t xml:space="preserve">O PA-04 exige sistema de lixiviado operacional nos passivos em M12, mas, pela Tabela 10 do Anexo III, as medidas de intervenção só são definidas pela avaliação de risco (M12-M18). No P4 (Tabela 10), a intervenção (E6, M1-M36) começa antes da avaliação de risco (E4, M12-M36). A sequência é tecnicamente inconsistente, e o custo pode ficar fora do limite do Contrato 8.6.1.2 se tratado como 'programa' e não como 'medida de intervenção'.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Resolução CONAMA n.º 420/2009; Resolução CONAMA n.º 430/2011; 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C-066</w:t>
            </w:r>
          </w:p>
          <w:p>
            <w:pPr>
              <w:spacing w:after="40" w:line="240"/>
              <w:jc w:val="left"/>
            </w:pPr>
            <w:r>
              <w:rPr>
                <w:rFonts w:ascii="Times New Roman" w:cs="Times New Roman" w:eastAsia="Times New Roman" w:hAnsi="Times New Roman"/>
                <w:sz w:val="18"/>
                <w:szCs w:val="18"/>
              </w:rPr>
              <w:t xml:space="preserve">E5-055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Sumário (PDF p. 6), Tabela 3 (p. 13), V.1.3 (p. 23) x Tabela 1 e VI.2 (p. 27); P1 p. 88; Anexo III Tabela 3 (p. 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P4 afirma contaminação 'confirmada' com base apenas em avaliação preliminar (Vila Princesa e Jirau)</w:t>
            </w:r>
          </w:p>
          <w:p>
            <w:pPr>
              <w:spacing w:after="40" w:line="240"/>
              <w:jc w:val="left"/>
            </w:pPr>
            <w:r>
              <w:rPr>
                <w:rFonts w:ascii="Times New Roman" w:cs="Times New Roman" w:eastAsia="Times New Roman" w:hAnsi="Times New Roman"/>
                <w:sz w:val="18"/>
                <w:szCs w:val="18"/>
              </w:rPr>
              <w:t xml:space="preserve">No gerenciamento de áreas contaminadas, a avaliação preliminar identifica áreas suspeitas; a confirmação depende de investigação confirmatória, que o próprio P4 reconhece pendente. O P4 qualifica como 'confirmadas' áreas que o Anexo III descreve como suspeitas, e o P1 informa apenas a recomendação de cinco novos poços no Jirau. A qualificação influencia a leitura do estado dos passivos pelos licitantes.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Resolução CONAMA n.º 420/2009 (etapas de identificação e classificação de áreas — artigo a conferir no inteiro teor)</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C-067</w:t>
            </w:r>
          </w:p>
          <w:p>
            <w:pPr>
              <w:spacing w:after="40" w:line="240"/>
              <w:jc w:val="left"/>
            </w:pPr>
            <w:r>
              <w:rPr>
                <w:rFonts w:ascii="Times New Roman" w:cs="Times New Roman" w:eastAsia="Times New Roman" w:hAnsi="Times New Roman"/>
                <w:sz w:val="18"/>
                <w:szCs w:val="18"/>
              </w:rPr>
              <w:t xml:space="preserve">E5-053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Tabela 5 (PDF p. 15); P1 p. 87 e 93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Encerramento do lixão classificado como 'CONFORME' sem registro do descumprimento do prazo legal</w:t>
            </w:r>
          </w:p>
          <w:p>
            <w:pPr>
              <w:spacing w:after="40" w:line="240"/>
              <w:jc w:val="left"/>
            </w:pPr>
            <w:r>
              <w:rPr>
                <w:rFonts w:ascii="Times New Roman" w:cs="Times New Roman" w:eastAsia="Times New Roman" w:hAnsi="Times New Roman"/>
                <w:sz w:val="18"/>
                <w:szCs w:val="18"/>
              </w:rPr>
              <w:t xml:space="preserve">Para capitais, o prazo legal para disposição final ambientalmente adequada encerrou-se em 2 de agosto de 2021; a Lixeira foi encerrada em novembro de 2023 (Portaria n.º 109/SEMUSB/2023), sem encerramento técnico e com apenas a avaliação preliminar do rito GAC concluída. A classificação omite esse histórico, que se relaciona com as ações civis públicas mencionadas nos estudos e para os passivos preexistentes.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54, inciso I, da Lei n.º 12.305/2010 (redação da Lei n.º 14.026/2020)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C-068</w:t>
            </w:r>
          </w:p>
          <w:p>
            <w:pPr>
              <w:spacing w:after="40" w:line="240"/>
              <w:jc w:val="left"/>
            </w:pPr>
            <w:r>
              <w:rPr>
                <w:rFonts w:ascii="Times New Roman" w:cs="Times New Roman" w:eastAsia="Times New Roman" w:hAnsi="Times New Roman"/>
                <w:sz w:val="18"/>
                <w:szCs w:val="18"/>
              </w:rPr>
              <w:t xml:space="preserve">E4-082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SA-11 (PDF p. 24)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Atraso das consultas a FUNAI/INCRA alocado ao Poder Concedente, mas compensado só com prazo (Matriz SA-11)</w:t>
            </w:r>
          </w:p>
          <w:p>
            <w:pPr>
              <w:spacing w:after="40" w:line="240"/>
              <w:jc w:val="left"/>
            </w:pPr>
            <w:r>
              <w:rPr>
                <w:rFonts w:ascii="Times New Roman" w:cs="Times New Roman" w:eastAsia="Times New Roman" w:hAnsi="Times New Roman"/>
                <w:sz w:val="18"/>
                <w:szCs w:val="18"/>
              </w:rPr>
              <w:t xml:space="preserve">A SA-11 aloca ao Poder Concedente o risco de atraso das consultas a FUNAI/INCRA, mas a única consequência prevista é a recomposição de prazos, sem custos de mobilização ociosa, transição prolongada ou destinação provisória. O custo efetivo do evento permanece com a concessionária.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C-069</w:t>
            </w:r>
          </w:p>
          <w:p>
            <w:pPr>
              <w:spacing w:after="40" w:line="240"/>
              <w:jc w:val="left"/>
            </w:pPr>
            <w:r>
              <w:rPr>
                <w:rFonts w:ascii="Times New Roman" w:cs="Times New Roman" w:eastAsia="Times New Roman" w:hAnsi="Times New Roman"/>
                <w:sz w:val="18"/>
                <w:szCs w:val="18"/>
              </w:rPr>
              <w:t xml:space="preserve">E5-056, E5-073, E5-089, E6-050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VII.2.7 (PDF p. 94), V.3 (p. 58) e VI (p. 60); P4 Tabela 13 (p. 34); Matriz SA-11 (p. 24); P2 III.1 (p. 10); P6 p. 48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Referências normativas incorretas ou revogadas nos estudos e na Matriz de Riscos</w:t>
            </w:r>
          </w:p>
          <w:p>
            <w:pPr>
              <w:spacing w:after="40" w:line="240"/>
              <w:jc w:val="left"/>
            </w:pPr>
            <w:r>
              <w:rPr>
                <w:rFonts w:ascii="Times New Roman" w:cs="Times New Roman" w:eastAsia="Times New Roman" w:hAnsi="Times New Roman"/>
                <w:sz w:val="18"/>
                <w:szCs w:val="18"/>
              </w:rPr>
              <w:t xml:space="preserve">(i) O P1 atribui a classificação de áreas em AP/AS/AC à NBR 10157, que trata de aterros de resíduos perigosos; a classificação decorre da Resolução CONAMA n.º 420/2009 e da série NBR 15515, citadas no P4. (ii) O P4 e a Matriz (SA-11) citam a Convenção 169 pelo Decreto n.º 5.051/2004, revogado e consolidado no Decreto n.º 10.088/2019. (iii) O P1 apresenta a lei municipal de RSS em consonância com a Resolução CONAMA n.º 283/2001, substituída pela n.º 358/2005, e com classificação em quatro grupos, embora a RDC ANVISA n.º 222/2018 adote cinco (A a E). (iv) O P2 e o P6 invocam o art. 44 da PNRS (incentivos fiscais e creditícios) para a reversão de receitas às cooperativas, regra que não está nesse artigo.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Resolução CONAMA n.º 420/2009; Decreto n.º 10.088/2019; Resolução CONAMA n.º 358/2005; RDC ANVISA n.º 222/2018; art. 36, § 1.º, e art. 44 da Lei n.º 12.305/2010 (conferir redação vigente)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Modelagem econômico-financeira (50)</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C-085</w:t>
            </w:r>
          </w:p>
          <w:p>
            <w:pPr>
              <w:spacing w:after="40" w:line="240"/>
              <w:jc w:val="left"/>
            </w:pPr>
            <w:r>
              <w:rPr>
                <w:rFonts w:ascii="Times New Roman" w:cs="Times New Roman" w:eastAsia="Times New Roman" w:hAnsi="Times New Roman"/>
                <w:sz w:val="18"/>
                <w:szCs w:val="18"/>
              </w:rPr>
              <w:t xml:space="preserve">E1-078, E4-005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def. 1.1.50 (PDF p. 9) e item 5.1 (p. 15) × item 12.2.1 (p. 31); P6 Tabela 14 e item V.4 (p. 46)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Valor Estimado não corresponde à própria definição (360 × CMM = R$ 2.342.051.269,20)</w:t>
            </w:r>
          </w:p>
          <w:p>
            <w:pPr>
              <w:spacing w:after="40" w:line="240"/>
              <w:jc w:val="left"/>
            </w:pPr>
            <w:r>
              <w:rPr>
                <w:rFonts w:ascii="Times New Roman" w:cs="Times New Roman" w:eastAsia="Times New Roman" w:hAnsi="Times New Roman"/>
                <w:sz w:val="18"/>
                <w:szCs w:val="18"/>
              </w:rPr>
              <w:t xml:space="preserve">Pela definição do Edital, o Valor Estimado seria 360 × R$ 6.505.697,97 = R$ 2.342.051.269,20, R$ 30.123.641,67 acima do valor publicado. O valor publicado só é reproduzido pelo fluxo do P6: 3 meses sem pagamento (357 parcelas) e Parcela A a 60% e 80% nos Anos 1 e 2 (recalculado: R$ 2.311.927.637,19; resíduo de R$ 9,66 porque a Parcela A do Ano 1 no P6, R$ 1.060.655,71, difere de 60% da plena, R$ 1.060.654,71). Nem o deslocamento nem o ramp-up constam do Edital. O Valor Estimado é base da garantia de proposta, do capital mínimo, do capital da SPE e das multas (Edital 19.5, b, e 22.2.2).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incisos IV e VI, da Lei n.º 11.079/2004; art. 18, inciso IX, da Lei n.º 8.987/1995 c/c art. 11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C-086</w:t>
            </w:r>
          </w:p>
          <w:p>
            <w:pPr>
              <w:spacing w:after="40" w:line="240"/>
              <w:jc w:val="left"/>
            </w:pPr>
            <w:r>
              <w:rPr>
                <w:rFonts w:ascii="Times New Roman" w:cs="Times New Roman" w:eastAsia="Times New Roman" w:hAnsi="Times New Roman"/>
                <w:sz w:val="18"/>
                <w:szCs w:val="18"/>
              </w:rPr>
              <w:t xml:space="preserve">E1-079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item 5.1.1 (PDF p. 15) × itens 12.2.1 e 12.2.3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Contraprestação anual (R$ 78.068.375,62) ≠ 12 × CMM (R$ 78.068.375,64)</w:t>
            </w:r>
          </w:p>
          <w:p>
            <w:pPr>
              <w:spacing w:after="40" w:line="240"/>
              <w:jc w:val="left"/>
            </w:pPr>
            <w:r>
              <w:rPr>
                <w:rFonts w:ascii="Times New Roman" w:cs="Times New Roman" w:eastAsia="Times New Roman" w:hAnsi="Times New Roman"/>
                <w:sz w:val="18"/>
                <w:szCs w:val="18"/>
              </w:rPr>
              <w:t xml:space="preserve">O item 12.2.3 define a contraprestação anual como o duodécuplo da mensal. 12 × R$ 6.505.697,97 = R$ 78.068.375,64, R$ 0,02 acima do valor do item 5.1.1. A diferença decorre de arredondamento e indica que a CMM foi obtida pela divisão do valor anual por 12.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 (erro material)</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C-088</w:t>
            </w:r>
          </w:p>
          <w:p>
            <w:pPr>
              <w:spacing w:after="40" w:line="240"/>
              <w:jc w:val="left"/>
            </w:pPr>
            <w:r>
              <w:rPr>
                <w:rFonts w:ascii="Times New Roman" w:cs="Times New Roman" w:eastAsia="Times New Roman" w:hAnsi="Times New Roman"/>
                <w:sz w:val="18"/>
                <w:szCs w:val="18"/>
              </w:rPr>
              <w:t xml:space="preserve">E4-014, E7-015, E1-012, E3-005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item VI.9 e Tabela 18 (p. 58–59); P7 Sumário (PDF p. 8), III.5 (p. 31), IV.4 (p. 37–38) e V.10 (p. 44); Edital 5.1.1 (p. 15); Contrato considerando vi (p. 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Limite do art. 28 verificado só para um exercício, com RCL de 2025 constante e sem projeção decenal</w:t>
            </w:r>
          </w:p>
          <w:p>
            <w:pPr>
              <w:spacing w:after="40" w:line="240"/>
              <w:jc w:val="left"/>
            </w:pPr>
            <w:r>
              <w:rPr>
                <w:rFonts w:ascii="Times New Roman" w:cs="Times New Roman" w:eastAsia="Times New Roman" w:hAnsi="Times New Roman"/>
                <w:sz w:val="18"/>
                <w:szCs w:val="18"/>
              </w:rPr>
              <w:t xml:space="preserve">O P6 compara um único ano de contraprestação em regime pleno (R$ 78,1 mi) com a RCL de 2025 (R$ 2,45 bi), mantida constante até 2030. Não há série das despesas anuais da PPP nos 10 exercícios subsequentes (com reajuste e Conta Garantia) contra a RCL projetada de cada exercício, como prevê o art. 28. O P7 adota o percentual único de 3,18% e o Contrato (considerando vi) atesta a conformidade ao art. 28 sem indicar percentual nem memória de cálculo. O Edital não menciona o envio prévio de informações ao Senado Federal e à STN (art. 28, § 1.º).</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28, caput e § 1.º,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C-089</w:t>
            </w:r>
          </w:p>
          <w:p>
            <w:pPr>
              <w:spacing w:after="40" w:line="240"/>
              <w:jc w:val="left"/>
            </w:pPr>
            <w:r>
              <w:rPr>
                <w:rFonts w:ascii="Times New Roman" w:cs="Times New Roman" w:eastAsia="Times New Roman" w:hAnsi="Times New Roman"/>
                <w:sz w:val="18"/>
                <w:szCs w:val="18"/>
              </w:rPr>
              <w:t xml:space="preserve">E4-013, E1-012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5.1.1 (PDF p. 15) × P6 Tabela 18 (p. 59); Contrato considerando vi (p. 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Comprometimento da RCL: 3,186% (≈ 3,19%) informado como 3,18%, sem memória de cálculo</w:t>
            </w:r>
          </w:p>
          <w:p>
            <w:pPr>
              <w:spacing w:after="40" w:line="240"/>
              <w:jc w:val="left"/>
            </w:pPr>
            <w:r>
              <w:rPr>
                <w:rFonts w:ascii="Times New Roman" w:cs="Times New Roman" w:eastAsia="Times New Roman" w:hAnsi="Times New Roman"/>
                <w:sz w:val="18"/>
                <w:szCs w:val="18"/>
              </w:rPr>
              <w:t xml:space="preserve">R$ 78.068.375,62 ÷ R$ 2,45 bi = 3,186%, que arredonda para 3,19%. O Edital não apresenta memória de cálculo e o P6 não informa a RCL com mais casas decimais; se a RCL efetiva for maior que R$ 2,45 bi, o percentual de 3,18% pode estar correto. O percentual consta do Edital e serve de atestação fiscal no preâmbulo do Contrato.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28 da Lei n.º 11.079/2004; art. 10, inciso I, alínea "b",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C-090</w:t>
            </w:r>
          </w:p>
          <w:p>
            <w:pPr>
              <w:spacing w:after="40" w:line="240"/>
              <w:jc w:val="left"/>
            </w:pPr>
            <w:r>
              <w:rPr>
                <w:rFonts w:ascii="Times New Roman" w:cs="Times New Roman" w:eastAsia="Times New Roman" w:hAnsi="Times New Roman"/>
                <w:sz w:val="18"/>
                <w:szCs w:val="18"/>
              </w:rPr>
              <w:t xml:space="preserve">E7-004, E1-003, E4-014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V.10 (PDF p. 44) e III.5 (p. 31); P6 VI.9 e Tabelas 17–18 (p. 58–59); Edital 5.1–5.3 (p. 15)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Estimativa de impacto orçamentário-financeiro limitada a um exercício, sem série para a vigência</w:t>
            </w:r>
          </w:p>
          <w:p>
            <w:pPr>
              <w:spacing w:after="40" w:line="240"/>
              <w:jc w:val="left"/>
            </w:pPr>
            <w:r>
              <w:rPr>
                <w:rFonts w:ascii="Times New Roman" w:cs="Times New Roman" w:eastAsia="Times New Roman" w:hAnsi="Times New Roman"/>
                <w:sz w:val="18"/>
                <w:szCs w:val="18"/>
              </w:rPr>
              <w:t xml:space="preserve">O art. 10, II, exige estimativa do impacto orçamentário-financeiro nos exercícios em que o contrato vigorar. P6 e P7 apresentam só a relação entre a contraprestação em regime pleno e a RCL de 2025, sem série anual que considere ramp-up, reajuste, recomposição da Conta Garantia e eventual aporte. O próprio P7 (posterior ao Edital) registra que a estimativa ainda deve ser consolidada. O Edital também não refere a estimativa do fluxo de recursos por exercício (art. 10, IV).</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incisos II e IV, da Lei n.º 11.079/2004; art. 16, inciso I, da Lei Complementar n.º 101/2000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C-091</w:t>
            </w:r>
          </w:p>
          <w:p>
            <w:pPr>
              <w:spacing w:after="40" w:line="240"/>
              <w:jc w:val="left"/>
            </w:pPr>
            <w:r>
              <w:rPr>
                <w:rFonts w:ascii="Times New Roman" w:cs="Times New Roman" w:eastAsia="Times New Roman" w:hAnsi="Times New Roman"/>
                <w:sz w:val="18"/>
                <w:szCs w:val="18"/>
              </w:rPr>
              <w:t xml:space="preserve">E7-003, E7-012, E4-016, E3-005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V.10 (PDF p. 44); P6 VI.9 e VII (p. 59 e 61); Contrato considerando vi (p. 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Não afetação das metas fiscais e compensação não demonstradas; "margem fiscal liberada" sem a despesa atual</w:t>
            </w:r>
          </w:p>
          <w:p>
            <w:pPr>
              <w:spacing w:after="40" w:line="240"/>
              <w:jc w:val="left"/>
            </w:pPr>
            <w:r>
              <w:rPr>
                <w:rFonts w:ascii="Times New Roman" w:cs="Times New Roman" w:eastAsia="Times New Roman" w:hAnsi="Times New Roman"/>
                <w:sz w:val="18"/>
                <w:szCs w:val="18"/>
              </w:rPr>
              <w:t xml:space="preserve">O art. 10, I, "b", e § 1.º exigem demonstração, com premissas e metodologia, de que a despesa não afetará as metas de resultados fiscais, com compensação por aumento permanente de receita ou redução permanente de despesa. O pacote não contém essa demonstração; o P7 a trata como pendente. O P6 e o Contrato apoiam a compensação na extinção do Contrato 019/PGM/2024 (R$ 109,35 mi/ano, anulado), mas os serviços seguem pagos por contrato emergencial (028/PGM/2025) e pelo contrato de destinação no Ecoparque (042/PGM/2023), cujos valores não constam dos estudos.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"b", e § 1.º, da Lei n.º 11.079/2004; arts. 16, incisos I e II, e 17, §§ 1.º e 2.º, da Lei Complementar n.º 101/2000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C-092</w:t>
            </w:r>
          </w:p>
          <w:p>
            <w:pPr>
              <w:spacing w:after="40" w:line="240"/>
              <w:jc w:val="left"/>
            </w:pPr>
            <w:r>
              <w:rPr>
                <w:rFonts w:ascii="Times New Roman" w:cs="Times New Roman" w:eastAsia="Times New Roman" w:hAnsi="Times New Roman"/>
                <w:sz w:val="18"/>
                <w:szCs w:val="18"/>
              </w:rPr>
              <w:t xml:space="preserve">E5-008, E6-059, E4-052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item VII (PDF p. 65) e VII.2.4 (p. 84); P2 e P3 (integral); P6 VI.2–VI.6 (p. 51–55)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Custo atual do serviço (status quo) não levantado; sem linha de base para comparar com a contraprestação</w:t>
            </w:r>
          </w:p>
          <w:p>
            <w:pPr>
              <w:spacing w:after="40" w:line="240"/>
              <w:jc w:val="left"/>
            </w:pPr>
            <w:r>
              <w:rPr>
                <w:rFonts w:ascii="Times New Roman" w:cs="Times New Roman" w:eastAsia="Times New Roman" w:hAnsi="Times New Roman"/>
                <w:sz w:val="18"/>
                <w:szCs w:val="18"/>
              </w:rPr>
              <w:t xml:space="preserve">O diagnóstico declara não ter recebido custos, frota e rotas, embora o P0 os tenha solicitado (custos de disposição por tonelada). Nenhum estudo informa a despesa atual do Município com coleta emergencial, disposição no Ecoparque e RSS, em R$/ano ou R$/t. O VfM compara a PPP com um PSC hipotético, e a análise fiscal compara com o contrato anulado. Sem a linha de base, não se verifica a economicidade da contraprestação máxima (R$ 78,07 mi/ano; ≈ R$ 500–520/t, calculado).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4.º, inciso VII, e art. 10, inciso I, alíneas "a" e "b",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C-093</w:t>
            </w:r>
          </w:p>
          <w:p>
            <w:pPr>
              <w:spacing w:after="40" w:line="240"/>
              <w:jc w:val="left"/>
            </w:pPr>
            <w:r>
              <w:rPr>
                <w:rFonts w:ascii="Times New Roman" w:cs="Times New Roman" w:eastAsia="Times New Roman" w:hAnsi="Times New Roman"/>
                <w:sz w:val="18"/>
                <w:szCs w:val="18"/>
              </w:rPr>
              <w:t xml:space="preserve">E5-017, E7-024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item V.3 (PDF p. 56–58); P7 II.1 (p. 14), II.6 (p. 19), III.1.2 (p. 25) e III.1.4 (p. 26); P6 p. 11; P0 data request (p. 23–24)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Taxa de RSU (LC 878/2021) e preço público: base, arrecadação e inadimplência não informadas</w:t>
            </w:r>
          </w:p>
          <w:p>
            <w:pPr>
              <w:spacing w:after="40" w:line="240"/>
              <w:jc w:val="left"/>
            </w:pPr>
            <w:r>
              <w:rPr>
                <w:rFonts w:ascii="Times New Roman" w:cs="Times New Roman" w:eastAsia="Times New Roman" w:hAnsi="Times New Roman"/>
                <w:sz w:val="18"/>
                <w:szCs w:val="18"/>
              </w:rPr>
              <w:t xml:space="preserve">O P7 reconhece que o manejo de RSU é custeado por taxa (LC 878/2021) e que o Município pode cobrar preço público de grandes geradores (LC 908/2022, art. 27), mas mantém toda a remuneração a cargo do Tesouro. Nenhum estudo informa base de cálculo, arrecadação histórica, inadimplência ou grau de cobertura da contraprestação (R$ 78,1 mi/ano), dados pedidos no P0. P1 e P4 não mencionam a taxa; o P6 trata a cobrança como "preço público" e o P7 como "taxa". Não se demonstra a sustentabilidade econômico-financeira por cobrança nem se afasta a hipótese do art. 35, § 2.º, da Lei 11.445.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29, inciso II, e art. 35, caput e § 2.º, da Lei n.º 11.445/2007; art. 10, inciso I, alínea "b", da Lei n.º 11.079/2004; art. 14 da Lei Complementar n.º 101/2000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C-094</w:t>
            </w:r>
          </w:p>
          <w:p>
            <w:pPr>
              <w:spacing w:after="40" w:line="240"/>
              <w:jc w:val="left"/>
            </w:pPr>
            <w:r>
              <w:rPr>
                <w:rFonts w:ascii="Times New Roman" w:cs="Times New Roman" w:eastAsia="Times New Roman" w:hAnsi="Times New Roman"/>
                <w:sz w:val="18"/>
                <w:szCs w:val="18"/>
              </w:rPr>
              <w:t xml:space="preserve">E4-001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capa (PDF p. 1) × Edital item 3.1 (p. 13–14); capas de P1, P2, P3, P4, Anexo A e Anexo III</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P6 (1.ª versão, 26/05/2026) não atualizado após as revisões de P1–P4, Caderno, Anexo III e Edital</w:t>
            </w:r>
          </w:p>
          <w:p>
            <w:pPr>
              <w:spacing w:after="40" w:line="240"/>
              <w:jc w:val="left"/>
            </w:pPr>
            <w:r>
              <w:rPr>
                <w:rFonts w:ascii="Times New Roman" w:cs="Times New Roman" w:eastAsia="Times New Roman" w:hAnsi="Times New Roman"/>
                <w:sz w:val="18"/>
                <w:szCs w:val="18"/>
              </w:rPr>
              <w:t xml:space="preserve">O P6 consome CAPEX/OPEX do P2 e demanda do P3, mas permanece na 1.ª versão de 26/05/2026, enquanto P1 (rev. 01/09/2026), P2, P3 e P4 (3.ª rev. 01/09/2026), Anexo III (rev. 10/09/2026), Caderno de Encargos (rev. 11/09/2026) e Edital/Contrato/Matriz (2.ª versão, 08/09/2026) foram revistos. O Edital (3.1) declara que o EVTEA define o escopo das obrigações de investimento. As divergências de CAPEX da CTR entre P2 e P6 (ver G2 CAPEX) são consistentes com a defasagem de versões.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C-095</w:t>
            </w:r>
          </w:p>
          <w:p>
            <w:pPr>
              <w:spacing w:after="40" w:line="240"/>
              <w:jc w:val="left"/>
            </w:pPr>
            <w:r>
              <w:rPr>
                <w:rFonts w:ascii="Times New Roman" w:cs="Times New Roman" w:eastAsia="Times New Roman" w:hAnsi="Times New Roman"/>
                <w:sz w:val="18"/>
                <w:szCs w:val="18"/>
              </w:rPr>
              <w:t xml:space="preserve">E4-002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item IV.6 (PDF p. 31) × capa (p. 1) × Edital 12.2.1 e 12.3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Kd calculado com TLP de agosto/2026 em documento datado de 26/05/2026 e data-base maio/2026</w:t>
            </w:r>
          </w:p>
          <w:p>
            <w:pPr>
              <w:spacing w:after="40" w:line="240"/>
              <w:jc w:val="left"/>
            </w:pPr>
            <w:r>
              <w:rPr>
                <w:rFonts w:ascii="Times New Roman" w:cs="Times New Roman" w:eastAsia="Times New Roman" w:hAnsi="Times New Roman"/>
                <w:sz w:val="18"/>
                <w:szCs w:val="18"/>
              </w:rPr>
              <w:t xml:space="preserve">O documento datado de 26/05/2026 utiliza a TLP de agosto/2026 para o custo da dívida (IPCA + 11,42%), que entra no WACC e, portanto, na CMM. O Edital fixa a data-base do orçamento estimado e da CMM em maio/2026. Ou o P6 foi alterado sem controle de versão, ou a data-base declarada não corresponde aos parâmetros efetivamente usados no teto.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25, § 7.º, da Lei n.º 14.133/2021; art. 5.º da Lei n.º 14.133/2021; 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C-096</w:t>
            </w:r>
          </w:p>
          <w:p>
            <w:pPr>
              <w:spacing w:after="40" w:line="240"/>
              <w:jc w:val="left"/>
            </w:pPr>
            <w:r>
              <w:rPr>
                <w:rFonts w:ascii="Times New Roman" w:cs="Times New Roman" w:eastAsia="Times New Roman" w:hAnsi="Times New Roman"/>
                <w:sz w:val="18"/>
                <w:szCs w:val="18"/>
              </w:rPr>
              <w:t xml:space="preserve">E4-019, E6-030, E2-018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Tabela 7 (PDF p. 37–41), texto p. 19–20, p. 35–36 e p. 47, Tabela 2 (p. 16) × P2 Tabela 15, item 4.1.1 (p. 44) e total (p. 45)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CAPEX divergente: R$ 298,3 mi (P6 Tab. 7) × R$ 313,8 mi (P6 Tab. 2/P2); CTR R$ 39,6 mi × R$ 55,03 mi</w:t>
            </w:r>
          </w:p>
          <w:p>
            <w:pPr>
              <w:spacing w:after="40" w:line="240"/>
              <w:jc w:val="left"/>
            </w:pPr>
            <w:r>
              <w:rPr>
                <w:rFonts w:ascii="Times New Roman" w:cs="Times New Roman" w:eastAsia="Times New Roman" w:hAnsi="Times New Roman"/>
                <w:sz w:val="18"/>
                <w:szCs w:val="18"/>
              </w:rPr>
              <w:t xml:space="preserve">A Tabela 7 do P6 soma R$ 298,3 mi, com CTR de R$ 39,6 mi (19,8 + 9,9 + 9,9 nos Anos 2, 4 e 8). O P2 (3.ª revisão), que o P6 declara usar, orça a CTR em R$ 55,03 mi (27,52 + 13,76 + 13,76) e o CAPEX total em R$ 313,8 mi; a diferença de R$ 15,43 mi corresponde à CTR. A Tabela 2 do próprio P6 usa R$ 313,8 mi como "Equity + Dívida inicial". O pico do Ano 2 é R$ 40,9 mi no texto do P6, R$ 40,5 mi na Tabela 7 e R$ 43,47 mi no P2. Não se sabe qual CAPEX gerou a CMM, e o Edital (3.1) torna o EVTEA referência do escopo de investimentos.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C-097</w:t>
            </w:r>
          </w:p>
          <w:p>
            <w:pPr>
              <w:spacing w:after="40" w:line="240"/>
              <w:jc w:val="left"/>
            </w:pPr>
            <w:r>
              <w:rPr>
                <w:rFonts w:ascii="Times New Roman" w:cs="Times New Roman" w:eastAsia="Times New Roman" w:hAnsi="Times New Roman"/>
                <w:sz w:val="18"/>
                <w:szCs w:val="18"/>
              </w:rPr>
              <w:t xml:space="preserve">E4-003, E6-002, E7-013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itens V.2 e V.3, Tabelas 7 a 13 (PDF p. 35–46); P2 Cap. VI, Tabelas 15 e 16 (p. 41–46); P7 (sem exame do art. 10, § 4.º)</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CAPEX e OPEX sem data-base, quantitativos, preços unitários e fontes; nível de anteprojeto não demonstrado</w:t>
            </w:r>
          </w:p>
          <w:p>
            <w:pPr>
              <w:spacing w:after="40" w:line="240"/>
              <w:jc w:val="left"/>
            </w:pPr>
            <w:r>
              <w:rPr>
                <w:rFonts w:ascii="Times New Roman" w:cs="Times New Roman" w:eastAsia="Times New Roman" w:hAnsi="Times New Roman"/>
                <w:sz w:val="18"/>
                <w:szCs w:val="18"/>
              </w:rPr>
              <w:t xml:space="preserve">As tabelas de CAPEX e OPEX do P6 trazem só valores agregados (R$ mil), sem quantidades, preços unitários, referências (sistemas oficiais de custo, cotações, convenções coletivas) nem data-base; o P2 também não informa data-base, fontes nem composições. A única data-base é a do Edital (maio/2026), e o P2 tem 1.ª versão de março/2026. O P7 não verifica se os estudos de engenharia têm nível de anteprojeto e orçamento sintético com valores de mercado. Sem esses elementos não se aferem os valores nem se reproduz a CMM.</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 4.º, da Lei n.º 11.079/2004; art. 21 da Lei n.º 8.987/1995 c/c art. 3.º da Lei n.º 11.079/2004; art. 18, § 1.º, inciso VI, da Lei n.º 14.133/2021 (aplicação subsidiária)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C-099</w:t>
            </w:r>
          </w:p>
          <w:p>
            <w:pPr>
              <w:spacing w:after="40" w:line="240"/>
              <w:jc w:val="left"/>
            </w:pPr>
            <w:r>
              <w:rPr>
                <w:rFonts w:ascii="Times New Roman" w:cs="Times New Roman" w:eastAsia="Times New Roman" w:hAnsi="Times New Roman"/>
                <w:sz w:val="18"/>
                <w:szCs w:val="18"/>
              </w:rPr>
              <w:t xml:space="preserve">E4-021, E4-022, E6-036, E6-038, E5-079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11, PA-02 a PA-08 (PDF p. 19–20); P6 Tabelas 7 a 13 (p. 37–46) e V.5 (p. 49); P2 Tabela 15, grupo 7 (p. 45) e Tabela 16 (p. 46); Matriz TO-07 (p. 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Programas ambientais obrigatórios do Anexo III (flare, lixiviado, monitoramento, APP, poços) sem custo no P6/P2</w:t>
            </w:r>
          </w:p>
          <w:p>
            <w:pPr>
              <w:spacing w:after="40" w:line="240"/>
              <w:jc w:val="left"/>
            </w:pPr>
            <w:r>
              <w:rPr>
                <w:rFonts w:ascii="Times New Roman" w:cs="Times New Roman" w:eastAsia="Times New Roman" w:hAnsi="Times New Roman"/>
                <w:sz w:val="18"/>
                <w:szCs w:val="18"/>
              </w:rPr>
              <w:t xml:space="preserve">O Anexo III exige drenos e flare operacionais em M24 (PA-03), sistema de lixiviado nos passivos em M12 (PA-04), monitoramento contínuo e 4 campanhas gravimétricas/ano (PA-02), qualidade do ar (PA-05), recuperação de APP (PA-07) e 5 poços no Jirau em M6 (PA-08); a Matriz (TO-07) aloca o controle de biogás à concessionária. O P6 não tem linhas específicas para esses itens e o P2 inicia o desembolso da Lixeira só no Ano 2, sem linha de flare, lixiviado ou monitoramento pós-remediação. Podem estar em rubricas agregadas ("CTR Municipal e Jirau", R$ 2,29 mi/ano; "recuperação" do Jirau, R$ 5 mi), o que não é demonstrado. Pelo Edital 2.11.2, o Anexo III prevalece sobre o EVTEA.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C-100</w:t>
            </w:r>
          </w:p>
          <w:p>
            <w:pPr>
              <w:spacing w:after="40" w:line="240"/>
              <w:jc w:val="left"/>
            </w:pPr>
            <w:r>
              <w:rPr>
                <w:rFonts w:ascii="Times New Roman" w:cs="Times New Roman" w:eastAsia="Times New Roman" w:hAnsi="Times New Roman"/>
                <w:sz w:val="18"/>
                <w:szCs w:val="18"/>
              </w:rPr>
              <w:t xml:space="preserve">E2-079, E4-023, E5-079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11, PA-09 (PDF p. 20); P4 Tabela 9 (p. 26–27); P6 Tabelas 8–12 (p. 42–44); Edital 2.11.2 (p. 12)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Compensação ambiental mínima de R$ 500 mil/ano (PA-09) sem previsão no P6</w:t>
            </w:r>
          </w:p>
          <w:p>
            <w:pPr>
              <w:spacing w:after="40" w:line="240"/>
              <w:jc w:val="left"/>
            </w:pPr>
            <w:r>
              <w:rPr>
                <w:rFonts w:ascii="Times New Roman" w:cs="Times New Roman" w:eastAsia="Times New Roman" w:hAnsi="Times New Roman"/>
                <w:sz w:val="18"/>
                <w:szCs w:val="18"/>
              </w:rPr>
              <w:t xml:space="preserve">O Anexo III (reproduzindo o P4) fixa piso de R$ 500 mil/ano de compensação ambiental entre M7 e M24 (≥ R$ 1 mi), sem base de cálculo. O OPEX do P6 não tem rubrica correspondente. Como o Anexo III prevalece sobre o EVTEA (Edital 2.11.2), a obrigação existe sem cobertura no modelo de referência.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C-101</w:t>
            </w:r>
          </w:p>
          <w:p>
            <w:pPr>
              <w:spacing w:after="40" w:line="240"/>
              <w:jc w:val="left"/>
            </w:pPr>
            <w:r>
              <w:rPr>
                <w:rFonts w:ascii="Times New Roman" w:cs="Times New Roman" w:eastAsia="Times New Roman" w:hAnsi="Times New Roman"/>
                <w:sz w:val="18"/>
                <w:szCs w:val="18"/>
              </w:rPr>
              <w:t xml:space="preserve">E2-080, E5-079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item XII.1, PCS-07 e PCS-08 (PDF p. 31); P4 VIII.3 (p. 36); P6 Tabela 9 (p. 43); Contrato cl. 10.2.34 (p. 27)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Comunicação social (PCS-07/08) com piso de 0,5% da contraprestação × R$ 120 mil/ano de educação ambiental no P6</w:t>
            </w:r>
          </w:p>
          <w:p>
            <w:pPr>
              <w:spacing w:after="40" w:line="240"/>
              <w:jc w:val="left"/>
            </w:pPr>
            <w:r>
              <w:rPr>
                <w:rFonts w:ascii="Times New Roman" w:cs="Times New Roman" w:eastAsia="Times New Roman" w:hAnsi="Times New Roman"/>
                <w:sz w:val="18"/>
                <w:szCs w:val="18"/>
              </w:rPr>
              <w:t xml:space="preserve">O Anexo III impõe orçamento mínimo de 0,5% da contraprestação mensal para PCS-07 e PCS-08, além do programa escolar e das demais ações do PCS (Contrato 10.2.34). A base não é explicitada: aplicado mês a mês, o piso equivale a ≈ R$ 390 mil/ano em regime pleno (cálculo); como orçamento anual sobre uma contraprestação mensal, ≈ R$ 32,5 mil. O P6 prevê só "Educação ambiental" de R$ 120 mil/ano. Também não se define se o piso incide sobre a contraprestação contratada ou a efetiva (após IQD).</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C-102</w:t>
            </w:r>
          </w:p>
          <w:p>
            <w:pPr>
              <w:spacing w:after="40" w:line="240"/>
              <w:jc w:val="left"/>
            </w:pPr>
            <w:r>
              <w:rPr>
                <w:rFonts w:ascii="Times New Roman" w:cs="Times New Roman" w:eastAsia="Times New Roman" w:hAnsi="Times New Roman"/>
                <w:sz w:val="18"/>
                <w:szCs w:val="18"/>
              </w:rPr>
              <w:t xml:space="preserve">E2-083, E6-052, E4-024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16, Nível 3 (PDF p. 27) e Tabela 17, CS-03 (p. 28); P2 Tabela 15 (p. 43–45); P6 Tabela 7 (p. 37–41); Edital 2.11.2 (p. 12)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CAPEX de galpão e equipamentos das cooperativas (CS-03, até M18) sem linha no P2/P6</w:t>
            </w:r>
          </w:p>
          <w:p>
            <w:pPr>
              <w:spacing w:after="40" w:line="240"/>
              <w:jc w:val="left"/>
            </w:pPr>
            <w:r>
              <w:rPr>
                <w:rFonts w:ascii="Times New Roman" w:cs="Times New Roman" w:eastAsia="Times New Roman" w:hAnsi="Times New Roman"/>
                <w:sz w:val="18"/>
                <w:szCs w:val="18"/>
              </w:rPr>
              <w:t xml:space="preserve">O Anexo III põe na concessão o CAPEX de galpão, prensa, esteira e EPIs das cooperativas até M18, com retenção da contraprestação em caso de atraso. P2 e P6 não têm essa linha, e 50% da obra da CTR (onde ficaria a UVR) só ocorre no Ano 2. Não se define se o galpão é bem reversível nem sua relação com a UVR e com a desativação do Centro de Triagem.</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 art. 36, § 1.º,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C-103</w:t>
            </w:r>
          </w:p>
          <w:p>
            <w:pPr>
              <w:spacing w:after="40" w:line="240"/>
              <w:jc w:val="left"/>
            </w:pPr>
            <w:r>
              <w:rPr>
                <w:rFonts w:ascii="Times New Roman" w:cs="Times New Roman" w:eastAsia="Times New Roman" w:hAnsi="Times New Roman"/>
                <w:sz w:val="18"/>
                <w:szCs w:val="18"/>
              </w:rPr>
              <w:t xml:space="preserve">E2-082, E5-071, E4-024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item XI.1 (PDF p. 26) e Tabela 17, CS-01, CS-02 e CS-04 (p. 27–28); Contrato cl. 10.2.33.3 a 10.2.33.5 (p. 26–27); P4 V.4, VII.1 e IX (p. 24, 30, 36); P6 p. 48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Cláusulas sociais não precificáveis: percentual "a calibrar", pagamento mínimo por tonelada triada sem valor</w:t>
            </w:r>
          </w:p>
          <w:p>
            <w:pPr>
              <w:spacing w:after="40" w:line="240"/>
              <w:jc w:val="left"/>
            </w:pPr>
            <w:r>
              <w:rPr>
                <w:rFonts w:ascii="Times New Roman" w:cs="Times New Roman" w:eastAsia="Times New Roman" w:hAnsi="Times New Roman"/>
                <w:sz w:val="18"/>
                <w:szCs w:val="18"/>
              </w:rPr>
              <w:t xml:space="preserve">A CS-01 fixa percentual mínimo "a calibrar após o Nível 1"; a CS-02 exige volume mínimo por tonelada triada que garanta a sustentabilidade das cooperativas independentemente do mercado, sem valor; a CS-04 deixa metas para M24 e M60. O Contrato manda a ARDPV fixar o percentual definitivo entre limites mínimo e máximo do Anexo III, sem reequilíbrio (10.2.33.5), mas o Anexo III só tem piso. O P6 supõe que a cooperativa retém a receita dos recicláveis, sem custo de remuneração da triagem. As obrigações não podem ser precificadas na proposta.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incisos I e II, da Lei n.º 8.987/1995 c/c art. 11 da Lei n.º 11.079/2004; art. 36, § 1.º, da Lei n.º 12.305/2010; 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C-104</w:t>
            </w:r>
          </w:p>
          <w:p>
            <w:pPr>
              <w:spacing w:after="40" w:line="240"/>
              <w:jc w:val="left"/>
            </w:pPr>
            <w:r>
              <w:rPr>
                <w:rFonts w:ascii="Times New Roman" w:cs="Times New Roman" w:eastAsia="Times New Roman" w:hAnsi="Times New Roman"/>
                <w:sz w:val="18"/>
                <w:szCs w:val="18"/>
              </w:rPr>
              <w:t xml:space="preserve">E4-025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III.10 (PDF p. 23) e Tabela 7 × Edital 6.3, iv, e 6.3.1 (p. 16) × Caderno XI.4 (p. 61–62) × Contrato 5.1.1 (p. 14) e 10.13.1.1 (p. 31) × Matriz TO-03, TO-05 e RJ-05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P6 pressupõe áreas da CTR e das ETRs cedidas pelo Município; Edital/Caderno atribuem a obtenção à concessionária</w:t>
            </w:r>
          </w:p>
          <w:p>
            <w:pPr>
              <w:spacing w:after="40" w:line="240"/>
              <w:jc w:val="left"/>
            </w:pPr>
            <w:r>
              <w:rPr>
                <w:rFonts w:ascii="Times New Roman" w:cs="Times New Roman" w:eastAsia="Times New Roman" w:hAnsi="Times New Roman"/>
                <w:sz w:val="18"/>
                <w:szCs w:val="18"/>
              </w:rPr>
              <w:t xml:space="preserve">O P6 parte de áreas disponibilizadas pelo Poder Concedente e não orça terrenos. O Edital (6.3.1) e o Contrato (5.1.1 e 10.13.1.1) atribuem à concessionária, por sua conta e risco e sem reequilíbrio, a obtenção das áreas não públicas e do aterro; o Caderno só prevê cessão do incinerador e da área da ETR do Baixo Madeira e manda adquirir os quatro transbordos distritais. O CAPEX não tem aquisição de terrenos para CTR, aterro de rejeitos e ETRs distritais.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C-105</w:t>
            </w:r>
          </w:p>
          <w:p>
            <w:pPr>
              <w:spacing w:after="40" w:line="240"/>
              <w:jc w:val="left"/>
            </w:pPr>
            <w:r>
              <w:rPr>
                <w:rFonts w:ascii="Times New Roman" w:cs="Times New Roman" w:eastAsia="Times New Roman" w:hAnsi="Times New Roman"/>
                <w:sz w:val="18"/>
                <w:szCs w:val="18"/>
              </w:rPr>
              <w:t xml:space="preserve">E4-026, E3-046, E6-028, E6-011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10.13.4 a 10.13.5.3 (PDF p. 32); P2 V.5 (p. 36); P3 III.1 (p. 11–12), Tabela 15 (p. 26) e V (p. 38); P6 Tabelas 5 e 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Aterro deve chegar à reversão com 30 anos de vida útil remanescente; capacidade não dimensionada nem orçada</w:t>
            </w:r>
          </w:p>
          <w:p>
            <w:pPr>
              <w:spacing w:after="40" w:line="240"/>
              <w:jc w:val="left"/>
            </w:pPr>
            <w:r>
              <w:rPr>
                <w:rFonts w:ascii="Times New Roman" w:cs="Times New Roman" w:eastAsia="Times New Roman" w:hAnsi="Times New Roman"/>
                <w:sz w:val="18"/>
                <w:szCs w:val="18"/>
              </w:rPr>
              <w:t xml:space="preserve">O Contrato exige que o aterro da CTR tenha, na reversão, capacidade para mais 30 anos, sem indenização (10.13.4), com ampliação a cargo da concessionária sob retenção de pagamentos (10.13.5.3); a prorrogação não reduz essa exigência. Isso implica capacidade para cerca de 60 anos de rejeitos (≈ 4,3–4,5 Mt operados em 30 anos pelos residuais do P6/P3, calculado, mais igual volume remanescente). Os estudos não calculam volume, células, vida útil nem área necessária (os ~20 ha incluem UVR, compostagem e apoio), e a projeção de geração termina em 2056, sem horizonte pós-reversão a que a cláusula remete. A CTR inteira soma R$ 39,6 mi (P6) ou R$ 55,0 mi (P2).</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e art. 5.º, inciso I, da Lei n.º 11.079/2004; art. 18, inciso XV,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C-106</w:t>
            </w:r>
          </w:p>
          <w:p>
            <w:pPr>
              <w:spacing w:after="40" w:line="240"/>
              <w:jc w:val="left"/>
            </w:pPr>
            <w:r>
              <w:rPr>
                <w:rFonts w:ascii="Times New Roman" w:cs="Times New Roman" w:eastAsia="Times New Roman" w:hAnsi="Times New Roman"/>
                <w:sz w:val="18"/>
                <w:szCs w:val="18"/>
              </w:rPr>
              <w:t xml:space="preserve">E2-027, E4-027, E6-041, E6-040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XI.4, §§ 7.º–10 (PDF p. 62) e XI.6, marcos 4 e 5 (p. 63); P2 IV.2.3 e IV.2.3.1 (p. 27–28) e Tabela 15, itens 3.1.8 e 3.3.1 (p. 44); P6 Tabela 7, itens 3.1.8 e 3.3.1 (p. 39) e p. 20; Anexo D Tabelas 3 e 5, IE2 (p. 10 e 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Transbordos: 4 distritais + principal no Caderno × uma ETR no Anexo D; CAPEX de R$ 25 mil/unidade distrital</w:t>
            </w:r>
          </w:p>
          <w:p>
            <w:pPr>
              <w:spacing w:after="40" w:line="240"/>
              <w:jc w:val="left"/>
            </w:pPr>
            <w:r>
              <w:rPr>
                <w:rFonts w:ascii="Times New Roman" w:cs="Times New Roman" w:eastAsia="Times New Roman" w:hAnsi="Times New Roman"/>
                <w:sz w:val="18"/>
                <w:szCs w:val="18"/>
              </w:rPr>
              <w:t xml:space="preserve">O Caderno exige quatro transbordos distritais (piso impermeável, drenagem, cobertura, balança/controle de massa, cercamento, iluminação, controle de acesso, além da área) e o transbordo principal, e usa sua conclusão como marcos do ramp-up da Parcela A. O Anexo D mede uma única "Estação de Transbordo" a 100% desde o Ano 1. P2/P6 orçam R$ 100 mil para os quatro distritais (R$ 25 mil/unidade, calculado) e R$ 450 mil para o principal (atracadouro em rio com variação de cota de até 12 m, lava-jato com tratamento, rampas), sem projeto ou memória; o P6 situa as ETRs distritais no Baixo Madeira na tabela e no eixo da BR-364 no texto. A suficiência dos valores depende de validação de engenharia.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 art. 18, inciso XV,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C-107</w:t>
            </w:r>
          </w:p>
          <w:p>
            <w:pPr>
              <w:spacing w:after="40" w:line="240"/>
              <w:jc w:val="left"/>
            </w:pPr>
            <w:r>
              <w:rPr>
                <w:rFonts w:ascii="Times New Roman" w:cs="Times New Roman" w:eastAsia="Times New Roman" w:hAnsi="Times New Roman"/>
                <w:sz w:val="18"/>
                <w:szCs w:val="18"/>
              </w:rPr>
              <w:t xml:space="preserve">E6-043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Sumário (PDF p. 5) e IV.2.2 (p. 26, Figura 8); Contrato cl. 8.9 (p. 20); Caderno IX (PCOS, Tabela 32)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Soluções de estiagem (tirolesas logísticas, PCOS) sem projeto nem CAPEX/OPEX</w:t>
            </w:r>
          </w:p>
          <w:p>
            <w:pPr>
              <w:spacing w:after="40" w:line="240"/>
              <w:jc w:val="left"/>
            </w:pPr>
            <w:r>
              <w:rPr>
                <w:rFonts w:ascii="Times New Roman" w:cs="Times New Roman" w:eastAsia="Times New Roman" w:hAnsi="Times New Roman"/>
                <w:sz w:val="18"/>
                <w:szCs w:val="18"/>
              </w:rPr>
              <w:t xml:space="preserve">O P2 apresenta "tirolesas logísticas" como solução para o recuo das águas, sem especificação, locais, CAPEX ou OPEX. Também não há custo para o PCOS, que o Contrato (8.9) torna obrigatório com acionamento automático por cota. O CAPEX do P6 prevê balsa, catamarã, barco de alumínio e quadriciclo, sem tirolesa nem embarcação reserva.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 art. 18, inciso XV,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C-108</w:t>
            </w:r>
          </w:p>
          <w:p>
            <w:pPr>
              <w:spacing w:after="40" w:line="240"/>
              <w:jc w:val="left"/>
            </w:pPr>
            <w:r>
              <w:rPr>
                <w:rFonts w:ascii="Times New Roman" w:cs="Times New Roman" w:eastAsia="Times New Roman" w:hAnsi="Times New Roman"/>
                <w:sz w:val="18"/>
                <w:szCs w:val="18"/>
              </w:rPr>
              <w:t xml:space="preserve">E6-023, E5-007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Tabelas 7 a 10 (PDF p. 63–64) e pp. 88–89; P2 V.4 (p. 34–36), Tabela 15, item 5 (p. 44) e Tabela 16 (p. 46); P3 IV.6.1 (p. 31–33); Contrato cl. 10.3.10.1 (p. 29)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RSS sem base quantitativa: geração, capacidade de tratamento, OPEX e destinação transitória não estimados</w:t>
            </w:r>
          </w:p>
          <w:p>
            <w:pPr>
              <w:spacing w:after="40" w:line="240"/>
              <w:jc w:val="left"/>
            </w:pPr>
            <w:r>
              <w:rPr>
                <w:rFonts w:ascii="Times New Roman" w:cs="Times New Roman" w:eastAsia="Times New Roman" w:hAnsi="Times New Roman"/>
                <w:sz w:val="18"/>
                <w:szCs w:val="18"/>
              </w:rPr>
              <w:t xml:space="preserve">As tabelas de RSS do P1 listam só campos e operadoras, sem toneladas, frequências ou capacidades. Não há estimativa de geração de RSS (t/dia), capacidade do incinerador ou inventário que sustente R$ 1,5 mi de recuperação (o P1 registra componentes retirados e recomenda levantamento completo). O OPEX só contém equipes de coleta de RSS, sem custo de operação do tratamento nem da destinação a terceiro licenciado até a licença de operação, exigida pelo Contrato 10.3.10.1.</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18, § 1.º, inciso IV, da Lei n.º 14.133/2021 (aplicação subsidiária)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C-109</w:t>
            </w:r>
          </w:p>
          <w:p>
            <w:pPr>
              <w:spacing w:after="40" w:line="240"/>
              <w:jc w:val="left"/>
            </w:pPr>
            <w:r>
              <w:rPr>
                <w:rFonts w:ascii="Times New Roman" w:cs="Times New Roman" w:eastAsia="Times New Roman" w:hAnsi="Times New Roman"/>
                <w:sz w:val="18"/>
                <w:szCs w:val="18"/>
              </w:rPr>
              <w:t xml:space="preserve">E6-039, E1-097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VI.1, item 3 (PDF p. 41) e Tabela 15 (p. 43–45); Edital 21.1.1 (p. 50); Contrato cl. 7.4 (p. 17) e 10.7–10.7.1 (p. 30); P6 (sem rubrica)</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Custos pré-operacionais (projetos, licenciamento, EIA/RIMA, mobilização) e ressarcimento do PMI fora da modelagem</w:t>
            </w:r>
          </w:p>
          <w:p>
            <w:pPr>
              <w:spacing w:after="40" w:line="240"/>
              <w:jc w:val="left"/>
            </w:pPr>
            <w:r>
              <w:rPr>
                <w:rFonts w:ascii="Times New Roman" w:cs="Times New Roman" w:eastAsia="Times New Roman" w:hAnsi="Times New Roman"/>
                <w:sz w:val="18"/>
                <w:szCs w:val="18"/>
              </w:rPr>
              <w:t xml:space="preserve">O P2 descreve a natureza "Serviços de Engenharia e Licenciamento", mas a Tabela 15 não tem linha correspondente. Também não constam o ressarcimento dos estudos (R$ 3.142.250,00, condição para assinatura), a mobilização e a sobreposição de 30 dias com o operador cessante (Contrato 7.4). Busca textual no P6 não localizou ressarcimento nem custos pré-operacionais; esses custos não estariam refletidos no teto.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 art. 21 da Lei n.º 8.987/1995 c/c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C-110</w:t>
            </w:r>
          </w:p>
          <w:p>
            <w:pPr>
              <w:spacing w:after="40" w:line="240"/>
              <w:jc w:val="left"/>
            </w:pPr>
            <w:r>
              <w:rPr>
                <w:rFonts w:ascii="Times New Roman" w:cs="Times New Roman" w:eastAsia="Times New Roman" w:hAnsi="Times New Roman"/>
                <w:sz w:val="18"/>
                <w:szCs w:val="18"/>
              </w:rPr>
              <w:t xml:space="preserve">E2-100, E4-032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VII item 8 (PDF p. 5); Contrato cl. 41.9 e 41.14–41.14.1 (p. 79–80); P6 Tabela 12 (p. 44)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Remuneração do Verificador Independente, a cargo da concessionária, ausente do OPEX do P6</w:t>
            </w:r>
          </w:p>
          <w:p>
            <w:pPr>
              <w:spacing w:after="40" w:line="240"/>
              <w:jc w:val="left"/>
            </w:pPr>
            <w:r>
              <w:rPr>
                <w:rFonts w:ascii="Times New Roman" w:cs="Times New Roman" w:eastAsia="Times New Roman" w:hAnsi="Times New Roman"/>
                <w:sz w:val="18"/>
                <w:szCs w:val="18"/>
              </w:rPr>
              <w:t xml:space="preserve">O Contrato e o TR do VI atribuem à concessionária o custo do Verificador Independente por 30 anos, com escopo que inclui aferição de campo, pesquisa de satisfação e pareceres de reequilíbrio. O P6 não menciona o VI e não tem rubrica específica; o custo pode estar em "custos administrativos gerais" (R$ 1,972 mi/ano), o que não é demonstrado.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C-111</w:t>
            </w:r>
          </w:p>
          <w:p>
            <w:pPr>
              <w:spacing w:after="40" w:line="240"/>
              <w:jc w:val="left"/>
            </w:pPr>
            <w:r>
              <w:rPr>
                <w:rFonts w:ascii="Times New Roman" w:cs="Times New Roman" w:eastAsia="Times New Roman" w:hAnsi="Times New Roman"/>
                <w:sz w:val="18"/>
                <w:szCs w:val="18"/>
              </w:rPr>
              <w:t xml:space="preserve">E6-038, E4-031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Tabelas 8–13 (PDF p. 42–46); P2 Tabela 16 (p. 46) e VI.2 (p. 41–42); Caderno Tabela 23 (p. 26–27)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OPEX sem mão de obra e custos de operação da CTR/UVR, compostagem, aterro, tratamento de RSS e CDR</w:t>
            </w:r>
          </w:p>
          <w:p>
            <w:pPr>
              <w:spacing w:after="40" w:line="240"/>
              <w:jc w:val="left"/>
            </w:pPr>
            <w:r>
              <w:rPr>
                <w:rFonts w:ascii="Times New Roman" w:cs="Times New Roman" w:eastAsia="Times New Roman" w:hAnsi="Times New Roman"/>
                <w:sz w:val="18"/>
                <w:szCs w:val="18"/>
              </w:rPr>
              <w:t xml:space="preserve">A mão de obra do OPEX cobre só equipes de coleta e motoristas; não há operadores de máquinas do aterro, balanceiros, pessoal da UVR, da compostagem, do tratamento de lixiviado, das ETRs, dos Ecopontos nem tripulação fluvial, nem custos de operação do tratamento de RSS e da linha de CDR. A linha "CTR Municipal e Jirau" (R$ 2,29 mi/ano) é descrita como energia, água, limpeza e vigilância.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C-112</w:t>
            </w:r>
          </w:p>
          <w:p>
            <w:pPr>
              <w:spacing w:after="40" w:line="240"/>
              <w:jc w:val="left"/>
            </w:pPr>
            <w:r>
              <w:rPr>
                <w:rFonts w:ascii="Times New Roman" w:cs="Times New Roman" w:eastAsia="Times New Roman" w:hAnsi="Times New Roman"/>
                <w:sz w:val="18"/>
                <w:szCs w:val="18"/>
              </w:rPr>
              <w:t xml:space="preserve">E6-037, E4-031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Tabela 16 (PDF p. 46) × P6 Tabelas 8–12 (p. 42–44) e Figura 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OPEX do P6 diverge do P2 (administração R$ 8,06 × R$ 9,63 mi/ano; coleta da Sede) e não é consolidado</w:t>
            </w:r>
          </w:p>
          <w:p>
            <w:pPr>
              <w:spacing w:after="40" w:line="240"/>
              <w:jc w:val="left"/>
            </w:pPr>
            <w:r>
              <w:rPr>
                <w:rFonts w:ascii="Times New Roman" w:cs="Times New Roman" w:eastAsia="Times New Roman" w:hAnsi="Times New Roman"/>
                <w:sz w:val="18"/>
                <w:szCs w:val="18"/>
              </w:rPr>
              <w:t xml:space="preserve">As linhas de pessoal, instalações, manutenção e insumos do P2 coincidem com as Tabelas 8 a 11 do P6, mas a administração diverge em R$ 1,57 mi/ano (≈ R$ 47 mi em 30 anos, calculado), e o P2 eleva a coleta da Sede de R$ 10,1 mi para R$ 13,4 mi a partir do Ano 5, sem correspondência no P6. O P6 não apresenta total de OPEX por ano; a soma das tabelas em regime pleno (≈ R$ 41,8 mi) difere do OPEX da Figura 2 (≈ R$ 48 mi/ano, leitura gráfica). Não se sabe qual base alimenta a CMM.</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C-113</w:t>
            </w:r>
          </w:p>
          <w:p>
            <w:pPr>
              <w:spacing w:after="40" w:line="240"/>
              <w:jc w:val="left"/>
            </w:pPr>
            <w:r>
              <w:rPr>
                <w:rFonts w:ascii="Times New Roman" w:cs="Times New Roman" w:eastAsia="Times New Roman" w:hAnsi="Times New Roman"/>
                <w:sz w:val="18"/>
                <w:szCs w:val="18"/>
              </w:rPr>
              <w:t xml:space="preserve">E4-039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II.5 (PDF p. 15), III.15 (p. 26) e IV.6 (p. 31); P6 Tabela 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Estrutura de dívida incoerente: emissão única no Ano 2, tenor de 25 anos e parâmetros de FINAME (até 10 anos)</w:t>
            </w:r>
          </w:p>
          <w:p>
            <w:pPr>
              <w:spacing w:after="40" w:line="240"/>
              <w:jc w:val="left"/>
            </w:pPr>
            <w:r>
              <w:rPr>
                <w:rFonts w:ascii="Times New Roman" w:cs="Times New Roman" w:eastAsia="Times New Roman" w:hAnsi="Times New Roman"/>
                <w:sz w:val="18"/>
                <w:szCs w:val="18"/>
              </w:rPr>
              <w:t xml:space="preserve">O modelo financia 60% do CAPEX "total elegível" com emissão única no Ano 2, em 25 anos pela Tabela PRICE, embora cerca de 70% do CAPEX sejam reposições quinquenais até o Ano 29. O custo da dívida usa parâmetros do BNDES FINAME, que o próprio P6 descreve com prazo de até dez anos e carência de até dois. A PRICE é descrita com prestações constantes em termos nominais sobre custo indexado ao IPCA, e nenhuma carência é informada.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C-114</w:t>
            </w:r>
          </w:p>
          <w:p>
            <w:pPr>
              <w:spacing w:after="40" w:line="240"/>
              <w:jc w:val="left"/>
            </w:pPr>
            <w:r>
              <w:rPr>
                <w:rFonts w:ascii="Times New Roman" w:cs="Times New Roman" w:eastAsia="Times New Roman" w:hAnsi="Times New Roman"/>
                <w:sz w:val="18"/>
                <w:szCs w:val="18"/>
              </w:rPr>
              <w:t xml:space="preserve">E4-042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III.16 (PDF p. 26–27), notas 38–40, e VI.10 (p. 61)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Fonte regional de financiamento incoerente: texto refere o FNO e indica o FNE Proinfra (BNB) como principal linha</w:t>
            </w:r>
          </w:p>
          <w:p>
            <w:pPr>
              <w:spacing w:after="40" w:line="240"/>
              <w:jc w:val="left"/>
            </w:pPr>
            <w:r>
              <w:rPr>
                <w:rFonts w:ascii="Times New Roman" w:cs="Times New Roman" w:eastAsia="Times New Roman" w:hAnsi="Times New Roman"/>
                <w:sz w:val="18"/>
                <w:szCs w:val="18"/>
              </w:rPr>
              <w:t xml:space="preserve">Na mesma seção, o P6 afirma que o BNB financia a região Norte pelo FNO e, em seguida, indica como principal linha para o projeto em Rondônia o FNE Proinfra, programa do Banco do Nordeste referenciado nas notas 38–39. A análise de bancabilidade e as considerações sobre garantias ("junto ao BNDES, ao BNB") apoiam-se nessa indicação.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Lei n.º 7.827/1989 (fundos constitucionais FNO, FNE e FCO e respectivos administradores — dispositivo e redação vigente a verificar; consulta ao Jus IA sem retorno); art. 159, inciso I, alínea "c", da Constituição Federal</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C-115</w:t>
            </w:r>
          </w:p>
          <w:p>
            <w:pPr>
              <w:spacing w:after="40" w:line="240"/>
              <w:jc w:val="left"/>
            </w:pPr>
            <w:r>
              <w:rPr>
                <w:rFonts w:ascii="Times New Roman" w:cs="Times New Roman" w:eastAsia="Times New Roman" w:hAnsi="Times New Roman"/>
                <w:sz w:val="18"/>
                <w:szCs w:val="18"/>
              </w:rPr>
              <w:t xml:space="preserve">E4-038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II.4 (PDF p. 14) × V.4 (p. 47) e notas 54–56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Premissas contábeis incoerentes: depreciação linear (inclusive de "provisões") e modelo de ativo financeiro (ICPC 01)</w:t>
            </w:r>
          </w:p>
          <w:p>
            <w:pPr>
              <w:spacing w:after="40" w:line="240"/>
              <w:jc w:val="left"/>
            </w:pPr>
            <w:r>
              <w:rPr>
                <w:rFonts w:ascii="Times New Roman" w:cs="Times New Roman" w:eastAsia="Times New Roman" w:hAnsi="Times New Roman"/>
                <w:sz w:val="18"/>
                <w:szCs w:val="18"/>
              </w:rPr>
              <w:t xml:space="preserve">A p. 14 deprecia linearmente bens reversíveis (CTR em 15 anos) e "provisões" de remediação; a p. 47 adota o modelo de ativo financeiro, com receita de construção e amortização do recebível. Os dois tratamentos geram bases de IRPJ/CSLL e escudos fiscais diferentes, e não se sabe qual alimentou o fluxo. Há ainda 15 anos de depreciação para a CTR contra amortização do aterro até o fim do contrato (Contrato 10.13.4), e a nota 56 cita a IFRS 12 no lugar da norma de contratos de concessão.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 para a escolha do método; tratamento tributário de contratos de concessão na Lei n.º 12.973/2014 (dispositivo a verificar)</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C-116</w:t>
            </w:r>
          </w:p>
          <w:p>
            <w:pPr>
              <w:spacing w:after="40" w:line="240"/>
              <w:jc w:val="left"/>
            </w:pPr>
            <w:r>
              <w:rPr>
                <w:rFonts w:ascii="Times New Roman" w:cs="Times New Roman" w:eastAsia="Times New Roman" w:hAnsi="Times New Roman"/>
                <w:sz w:val="18"/>
                <w:szCs w:val="18"/>
              </w:rPr>
              <w:t xml:space="preserve">E4-043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Tabela 2 (PDF p. 16) × II.5 (p. 15) × IV.7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Equity total de R$ 57,8 mi incompatível com 40% de capital próprio sobre o CAPEX</w:t>
            </w:r>
          </w:p>
          <w:p>
            <w:pPr>
              <w:spacing w:after="40" w:line="240"/>
              <w:jc w:val="left"/>
            </w:pPr>
            <w:r>
              <w:rPr>
                <w:rFonts w:ascii="Times New Roman" w:cs="Times New Roman" w:eastAsia="Times New Roman" w:hAnsi="Times New Roman"/>
                <w:sz w:val="18"/>
                <w:szCs w:val="18"/>
              </w:rPr>
              <w:t xml:space="preserve">Com 40% de capital próprio sobre CAPEX de R$ 298,3 mi (ou R$ 313,8 mi da Tabela 2), o equity seria ≈ R$ 119–126 mi, e não R$ 57,8 mi. A Tabela 2 mistura "Equity + Dívida inicial" (R$ 313,8 mi) com um CAPEX total que o próprio P6 informa ser R$ 298,3 mi, e sua fonte é "Adaptada, PMSB, 2022", documento que não trata de estrutura de capital.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C-117</w:t>
            </w:r>
          </w:p>
          <w:p>
            <w:pPr>
              <w:spacing w:after="40" w:line="240"/>
              <w:jc w:val="left"/>
            </w:pPr>
            <w:r>
              <w:rPr>
                <w:rFonts w:ascii="Times New Roman" w:cs="Times New Roman" w:eastAsia="Times New Roman" w:hAnsi="Times New Roman"/>
                <w:sz w:val="18"/>
                <w:szCs w:val="18"/>
              </w:rPr>
              <w:t xml:space="preserve">E4-045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Sumário Executivo (PDF p. 6) × VI.1 e Tabela 15 (p. 50)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Sumário afirma "VPL positivo"; a Tabela 15 informa VPL = R$ 0,00 (TIR = WACC por construção)</w:t>
            </w:r>
          </w:p>
          <w:p>
            <w:pPr>
              <w:spacing w:after="40" w:line="240"/>
              <w:jc w:val="left"/>
            </w:pPr>
            <w:r>
              <w:rPr>
                <w:rFonts w:ascii="Times New Roman" w:cs="Times New Roman" w:eastAsia="Times New Roman" w:hAnsi="Times New Roman"/>
                <w:sz w:val="18"/>
                <w:szCs w:val="18"/>
              </w:rPr>
              <w:t xml:space="preserve">O modelo calibra a contraprestação para que a TIR desalavancada iguale o WACC (11,63%), o que resulta em VPL nulo, como mostra a Tabela 15 e o próprio texto da p. 50. O Sumário Executivo afirma VPL positivo, e o ICSD mínimo de 1,30x, premissa de covenant, é apresentado como resultado.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C-118</w:t>
            </w:r>
          </w:p>
          <w:p>
            <w:pPr>
              <w:spacing w:after="40" w:line="240"/>
              <w:jc w:val="left"/>
            </w:pPr>
            <w:r>
              <w:rPr>
                <w:rFonts w:ascii="Times New Roman" w:cs="Times New Roman" w:eastAsia="Times New Roman" w:hAnsi="Times New Roman"/>
                <w:sz w:val="18"/>
                <w:szCs w:val="18"/>
              </w:rPr>
              <w:t xml:space="preserve">E4-046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VI.1 (PDF p. 50), VI.4 (p. 53) e VII.2 (p. 57)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Plano de negócios sem DRE, fluxo de caixa, ICSD anual e TIR do acionista; planilha referencial não disponibilizada</w:t>
            </w:r>
          </w:p>
          <w:p>
            <w:pPr>
              <w:spacing w:after="40" w:line="240"/>
              <w:jc w:val="left"/>
            </w:pPr>
            <w:r>
              <w:rPr>
                <w:rFonts w:ascii="Times New Roman" w:cs="Times New Roman" w:eastAsia="Times New Roman" w:hAnsi="Times New Roman"/>
                <w:sz w:val="18"/>
                <w:szCs w:val="18"/>
              </w:rPr>
              <w:t xml:space="preserve">O P6 não publica DRE projetada, fluxo de caixa livre, cronograma da dívida, série do ICSD nem TIR alavancada, embora mencione "melhora no retorno alavancado". A planilha de modelagem referencial não integra os documentos. Sem ela não se reproduz a CMM de R$ 6.505.697,97 nem se conferem as divergências de CAPEX, OPEX e VfM apontadas neste grupo.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21 da Lei n.º 8.987/1995 c/c art. 3.º da Lei n.º 11.079/2004; art. 10, inciso I, alínea "a", e § 1.º,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C-119</w:t>
            </w:r>
          </w:p>
          <w:p>
            <w:pPr>
              <w:spacing w:after="40" w:line="240"/>
              <w:jc w:val="left"/>
            </w:pPr>
            <w:r>
              <w:rPr>
                <w:rFonts w:ascii="Times New Roman" w:cs="Times New Roman" w:eastAsia="Times New Roman" w:hAnsi="Times New Roman"/>
                <w:sz w:val="18"/>
                <w:szCs w:val="18"/>
              </w:rPr>
              <w:t xml:space="preserve">E4-047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Figura 7 (PDF p. 56) × Tabela 14 (p. 46); Edital 12.2.1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Cenário sem aporte (Figura 7) com CP de R$ 6,42 mi/mês × CMM de R$ 6,51 mi da Tabela 14</w:t>
            </w:r>
          </w:p>
          <w:p>
            <w:pPr>
              <w:spacing w:after="40" w:line="240"/>
              <w:jc w:val="left"/>
            </w:pPr>
            <w:r>
              <w:rPr>
                <w:rFonts w:ascii="Times New Roman" w:cs="Times New Roman" w:eastAsia="Times New Roman" w:hAnsi="Times New Roman"/>
                <w:sz w:val="18"/>
                <w:szCs w:val="18"/>
              </w:rPr>
              <w:t xml:space="preserve">No cenário de 0% de aporte, a Figura 7 mostra Parcela A de R$ 1,72 mi e Parcela B de R$ 4,70 mi (R$ 6,42 mi/mês), contra R$ 1,77 mi e R$ 4,74 mi (R$ 6,51 mi) na Tabela 14, que deu origem ao teto. As duas saídas do mesmo modelo para o caso-base não coincidem. O aporte de 20% (R$ 22 mi) da Figura 7 é coerente com o CAPEX de 5 anos da Tabela 7 (R$ 112,9 mi), e não com o do P2.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C-120</w:t>
            </w:r>
          </w:p>
          <w:p>
            <w:pPr>
              <w:spacing w:after="40" w:line="240"/>
              <w:jc w:val="left"/>
            </w:pPr>
            <w:r>
              <w:rPr>
                <w:rFonts w:ascii="Times New Roman" w:cs="Times New Roman" w:eastAsia="Times New Roman" w:hAnsi="Times New Roman"/>
                <w:sz w:val="18"/>
                <w:szCs w:val="18"/>
              </w:rPr>
              <w:t xml:space="preserve">E4-036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II.3 e Tabela 1 (PDF p. 13–14) × Contrato cl. 20.10.4 (p. 48–49) × Matriz EF-05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Modelo aplica PIS/COFINS/ISS por 30 anos a partir de 2027, sem a transição CBS/IBS</w:t>
            </w:r>
          </w:p>
          <w:p>
            <w:pPr>
              <w:spacing w:after="40" w:line="240"/>
              <w:jc w:val="left"/>
            </w:pPr>
            <w:r>
              <w:rPr>
                <w:rFonts w:ascii="Times New Roman" w:cs="Times New Roman" w:eastAsia="Times New Roman" w:hAnsi="Times New Roman"/>
                <w:sz w:val="18"/>
                <w:szCs w:val="18"/>
              </w:rPr>
              <w:t xml:space="preserve">A partir de 2027 passa a ser cobrada a CBS e extinguem-se PIS e COFINS (art. 126, incisos I, "a", e II, do ADCT); de 2029 a 2032 as alíquotas do ISS são reduzidas gradualmente (art. 128 do ADCT), com substituição pelo IBS (LC 214/2025). O P6 modela o regime atual para todo o horizonte. O Contrato (20.10.4) adota essa modelagem como linha de base do evento de reforma tributária, e a Matriz (EF-05) classifica a mudança como "Muito provável (5)".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126, incisos I, alínea "a", e II, e art. 128 do ADCT (incluídos pela EC n.º 132/2023); Lei Complementar n.º 214/2025 (alíquotas e cronograma aplicáveis a manejo de resíduos — dispositivos a verificar); 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C-121</w:t>
            </w:r>
          </w:p>
          <w:p>
            <w:pPr>
              <w:spacing w:after="40" w:line="240"/>
              <w:jc w:val="left"/>
            </w:pPr>
            <w:r>
              <w:rPr>
                <w:rFonts w:ascii="Times New Roman" w:cs="Times New Roman" w:eastAsia="Times New Roman" w:hAnsi="Times New Roman"/>
                <w:sz w:val="18"/>
                <w:szCs w:val="18"/>
              </w:rPr>
              <w:t xml:space="preserve">E4-048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VI.3 (PDF p. 51–52), Equação 2 e notas 60–62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PSC construído pelo acréscimo de percentuais genéricos aos custos da própria PPP</w:t>
            </w:r>
          </w:p>
          <w:p>
            <w:pPr>
              <w:spacing w:after="40" w:line="240"/>
              <w:jc w:val="left"/>
            </w:pPr>
            <w:r>
              <w:rPr>
                <w:rFonts w:ascii="Times New Roman" w:cs="Times New Roman" w:eastAsia="Times New Roman" w:hAnsi="Times New Roman"/>
                <w:sz w:val="18"/>
                <w:szCs w:val="18"/>
              </w:rPr>
              <w:t xml:space="preserve">O PSC é o CAPEX/OPEX da PPP acrescido de 28% (sobrecusto médio de obras públicas de infraestrutura, 1930–2000, estudo internacional), 17% (estudo IBPT 2015, citado por notícia) e 4,19% (custo do pregão eletrônico). A vantagem resulta desses acréscimos, sem dados de custo do setor público municipal de RSU e sem valoração dos riscos retidos e transferidos; a TRCF (1,5%) fica embutida no OPEX do PSC.</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C-122</w:t>
            </w:r>
          </w:p>
          <w:p>
            <w:pPr>
              <w:spacing w:after="40" w:line="240"/>
              <w:jc w:val="left"/>
            </w:pPr>
            <w:r>
              <w:rPr>
                <w:rFonts w:ascii="Times New Roman" w:cs="Times New Roman" w:eastAsia="Times New Roman" w:hAnsi="Times New Roman"/>
                <w:sz w:val="18"/>
                <w:szCs w:val="18"/>
              </w:rPr>
              <w:t xml:space="preserve">E4-049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VI.4 (PDF p. 53) e Tabela 16 (p. 55)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Ajuste de neutralidade competitiva abate tributos federais da despesa municipal e responde por 78% do VfM</w:t>
            </w:r>
          </w:p>
          <w:p>
            <w:pPr>
              <w:spacing w:after="40" w:line="240"/>
              <w:jc w:val="left"/>
            </w:pPr>
            <w:r>
              <w:rPr>
                <w:rFonts w:ascii="Times New Roman" w:cs="Times New Roman" w:eastAsia="Times New Roman" w:hAnsi="Times New Roman"/>
                <w:sz w:val="18"/>
                <w:szCs w:val="18"/>
              </w:rPr>
              <w:t xml:space="preserve">Do ponto de vista do Município, só o ISS (e a TRCF) retornam aos cofres municipais; PIS, COFINS, IRPJ e CSLL são receitas da União. O ajuste (R$ 96 mi) corresponde a 78% do VfM de R$ 123 mi. Sem ele, o PSC (R$ 647 mi) supera a PPP bruta (R$ 620 mi) em R$ 27 mi (≈ 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C-123</w:t>
            </w:r>
          </w:p>
          <w:p>
            <w:pPr>
              <w:spacing w:after="40" w:line="240"/>
              <w:jc w:val="left"/>
            </w:pPr>
            <w:r>
              <w:rPr>
                <w:rFonts w:ascii="Times New Roman" w:cs="Times New Roman" w:eastAsia="Times New Roman" w:hAnsi="Times New Roman"/>
                <w:sz w:val="18"/>
                <w:szCs w:val="18"/>
              </w:rPr>
              <w:t xml:space="preserve">E4-051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VI.4 e Equação PPPt = CPt + Apt − It (PDF p. 53); Anexo VI item 5.6 (p. 6); P6 Figura 7 (p. 56)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Fluxo da PPP no VfM omite custos públicos próprios da PPP e menciona aporte inexistente no caso-base</w:t>
            </w:r>
          </w:p>
          <w:p>
            <w:pPr>
              <w:spacing w:after="40" w:line="240"/>
              <w:jc w:val="left"/>
            </w:pPr>
            <w:r>
              <w:rPr>
                <w:rFonts w:ascii="Times New Roman" w:cs="Times New Roman" w:eastAsia="Times New Roman" w:hAnsi="Times New Roman"/>
                <w:sz w:val="18"/>
                <w:szCs w:val="18"/>
              </w:rPr>
              <w:t xml:space="preserve">O fluxo da PPP no VfM considera só contraprestação, aporte e tributos. Ficam de fora a remuneração da instituição financeira da Conta Garantia (paga pelo Poder Concedente, valor em branco), o custo de imobilizar ≈ R$ 13 mi na Conta Garantia e os custos de regulação e estruturação. O texto menciona "aporte público previsto", mas o caso-base é 0% e o Edital não autoriza aporte.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art. 6.º, § 2.º,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C-124</w:t>
            </w:r>
          </w:p>
          <w:p>
            <w:pPr>
              <w:spacing w:after="40" w:line="240"/>
              <w:jc w:val="left"/>
            </w:pPr>
            <w:r>
              <w:rPr>
                <w:rFonts w:ascii="Times New Roman" w:cs="Times New Roman" w:eastAsia="Times New Roman" w:hAnsi="Times New Roman"/>
                <w:sz w:val="18"/>
                <w:szCs w:val="18"/>
              </w:rPr>
              <w:t xml:space="preserve">E4-053, E7-005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Sumário (PDF p. 6), VI.6 (p. 54), Tabela 16 (p. 55) e VII (p. 61); P7 Sumário (p. 8) e III.1.4 (p. 26)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VfM: Tabela 16 com unidade errada, bases distintas (524 × 647 / 620 × 743) e percentual sobre base não descrita</w:t>
            </w:r>
          </w:p>
          <w:p>
            <w:pPr>
              <w:spacing w:after="40" w:line="240"/>
              <w:jc w:val="left"/>
            </w:pPr>
            <w:r>
              <w:rPr>
                <w:rFonts w:ascii="Times New Roman" w:cs="Times New Roman" w:eastAsia="Times New Roman" w:hAnsi="Times New Roman"/>
                <w:sz w:val="18"/>
                <w:szCs w:val="18"/>
              </w:rPr>
              <w:t xml:space="preserve">A Tabela 16 indica "Milhares de Reais", mas os valores (620, 458, 123) estão em milhões. O texto compara PPP de R$ 524 mi com PSC de R$ 647 mi; a tabela, PPP de R$ 620 mi com PSC de R$ 743 mi (com o ajuste de neutralidade deslocado para o PSC). Os 16,5% correspondem a 123/743; sobre o PSC de R$ 647 mi descrito no texto, seriam 19,0%. O P7 apoia a escolha da modalidade nesse VfM sem indicar valores, taxa ou memória.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C-125</w:t>
            </w:r>
          </w:p>
          <w:p>
            <w:pPr>
              <w:spacing w:after="40" w:line="240"/>
              <w:jc w:val="left"/>
            </w:pPr>
            <w:r>
              <w:rPr>
                <w:rFonts w:ascii="Times New Roman" w:cs="Times New Roman" w:eastAsia="Times New Roman" w:hAnsi="Times New Roman"/>
                <w:sz w:val="18"/>
                <w:szCs w:val="18"/>
              </w:rPr>
              <w:t xml:space="preserve">E6-058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P3 integral (PDF p. 1–56) e I.2 (p. 6); P0 p. 10–11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"Avaliação Comercial" (P3) sem sondagem de mercado, atratividade, bancabilidade, benchmarks ou valores</w:t>
            </w:r>
          </w:p>
          <w:p>
            <w:pPr>
              <w:spacing w:after="40" w:line="240"/>
              <w:jc w:val="left"/>
            </w:pPr>
            <w:r>
              <w:rPr>
                <w:rFonts w:ascii="Times New Roman" w:cs="Times New Roman" w:eastAsia="Times New Roman" w:hAnsi="Times New Roman"/>
                <w:sz w:val="18"/>
                <w:szCs w:val="18"/>
              </w:rPr>
              <w:t xml:space="preserve">O P3 não contém consulta a potenciais interessados, análise de atratividade, de condições de financiamento e garantias, benchmarks de R$/t ou qualquer valor monetário. O VfM consta apenas do P6.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18, § 1.º, inciso V, da Lei n.º 14.133/2021 (aplicação subsidiária)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C-126</w:t>
            </w:r>
          </w:p>
          <w:p>
            <w:pPr>
              <w:spacing w:after="40" w:line="240"/>
              <w:jc w:val="left"/>
            </w:pPr>
            <w:r>
              <w:rPr>
                <w:rFonts w:ascii="Times New Roman" w:cs="Times New Roman" w:eastAsia="Times New Roman" w:hAnsi="Times New Roman"/>
                <w:sz w:val="18"/>
                <w:szCs w:val="18"/>
              </w:rPr>
              <w:t xml:space="preserve">E6-008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P3 Sumário Executivo (PDF p. 5) e II (p. 8); P0 p. 10–11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Sumário do P3 anuncia econometria, elasticidade, capacidade contributiva e inadimplência inexistentes no corpo</w:t>
            </w:r>
          </w:p>
          <w:p>
            <w:pPr>
              <w:spacing w:after="40" w:line="240"/>
              <w:jc w:val="left"/>
            </w:pPr>
            <w:r>
              <w:rPr>
                <w:rFonts w:ascii="Times New Roman" w:cs="Times New Roman" w:eastAsia="Times New Roman" w:hAnsi="Times New Roman"/>
                <w:sz w:val="18"/>
                <w:szCs w:val="18"/>
              </w:rPr>
              <w:t xml:space="preserve">O corpo do P3 apenas multiplica a população projetada pela geração per capita do SINISA; não há série histórica de pesagens, econometria, elasticidade, capacidade contributiva nem inadimplência. Em concessão administrativa não há tarifa ao usuário, e a referência a faturamento e inadimplência não tem correspondência no modelo. O P0 previa essa metodologia para o Caderno 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29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C-128</w:t>
            </w:r>
          </w:p>
          <w:p>
            <w:pPr>
              <w:spacing w:after="40" w:line="240"/>
              <w:jc w:val="left"/>
            </w:pPr>
            <w:r>
              <w:rPr>
                <w:rFonts w:ascii="Times New Roman" w:cs="Times New Roman" w:eastAsia="Times New Roman" w:hAnsi="Times New Roman"/>
                <w:sz w:val="18"/>
                <w:szCs w:val="18"/>
              </w:rPr>
              <w:t xml:space="preserve">E2-026, E5-006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Tabelas 5 e 6 (PDF p. 11–12); Anexo III Tabelas 4 e 5 (p. 10–12); P2 p. 22 (Tabela 13); P6 p. 33; P1 VII.1 (p. 65)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Bases populacionais divergentes: 562.145 hab. (Censo +14%) × 474.681 hab.; per capita do P1 sem a correção</w:t>
            </w:r>
          </w:p>
          <w:p>
            <w:pPr>
              <w:spacing w:after="40" w:line="240"/>
              <w:jc w:val="left"/>
            </w:pPr>
            <w:r>
              <w:rPr>
                <w:rFonts w:ascii="Times New Roman" w:cs="Times New Roman" w:eastAsia="Times New Roman" w:hAnsi="Times New Roman"/>
                <w:sz w:val="18"/>
                <w:szCs w:val="18"/>
              </w:rPr>
              <w:t xml:space="preserve">O Caderno e o P6 dimensionam com 562.145 hab. em 2027, após acréscimo de 14% sobre o Censo 2022 por omissão censitária (Cenário 3 FESPSP). O Anexo III e a Tabela 13 do P2 trabalham com 474.681 hab. (Sede 412.804; AM 24.499; MM 32.438; BM 4.940). O per capita de 0,97 do P1 resulta da divisão da massa pela população do Censo não corrigida (460.434). A diferença de cerca de 18% afeta frota, massa, capacidade das unidades, denominador do IC1 e a Parcela B liquidada por volume.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18, § 1.º, inciso IV, da Lei n.º 14.133/2021 (aplicação subsidiária)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C-129</w:t>
            </w:r>
          </w:p>
          <w:p>
            <w:pPr>
              <w:spacing w:after="40" w:line="240"/>
              <w:jc w:val="left"/>
            </w:pPr>
            <w:r>
              <w:rPr>
                <w:rFonts w:ascii="Times New Roman" w:cs="Times New Roman" w:eastAsia="Times New Roman" w:hAnsi="Times New Roman"/>
                <w:sz w:val="18"/>
                <w:szCs w:val="18"/>
              </w:rPr>
              <w:t xml:space="preserve">E5-018, E6-004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Tabela 1 (PDF p. 12–13), p. 44–45 e 77; P2 Tabela 3 (p. 11) e Tabela 13 (p. 21–22); P3 Tabelas 1, 2 e 4; P4 Tabela 2 (p. 11–12); Anexo III p. 11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Populações distritais e repartição Alto × Médio Madeira divergentes entre P1, P2, P3 e P4</w:t>
            </w:r>
          </w:p>
          <w:p>
            <w:pPr>
              <w:spacing w:after="40" w:line="240"/>
              <w:jc w:val="left"/>
            </w:pPr>
            <w:r>
              <w:rPr>
                <w:rFonts w:ascii="Times New Roman" w:cs="Times New Roman" w:eastAsia="Times New Roman" w:hAnsi="Times New Roman"/>
                <w:sz w:val="18"/>
                <w:szCs w:val="18"/>
              </w:rPr>
              <w:t xml:space="preserve">P1/P2 somam 21.121 hab. no Alto Madeira e o P4 24.499 (diferença = Vila da Penha, alocada pelo P2 ao Médio Madeira); o Médio Madeira tem 21.569 (P1), 35.816 (P2) ou 32.438 (P4). Rio Pardo tem 10.000 (P1) ou 2.096 (P2) habitantes; União Bandeirantes 25.000 (P1) ou 8.773 (P2). Na base IBGE 2022, AM e MM representam 4,45% e 7,55%; na projeção de 2027, 5,16% e 6,83%, sem explicação para a inversão. A Sede é classificada como "Médio Madeira" em tabelas do P2 e do P3.</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18, § 1.º, inciso IV, da Lei n.º 14.133/2021 (aplicação subsidiária)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C-130</w:t>
            </w:r>
          </w:p>
          <w:p>
            <w:pPr>
              <w:spacing w:after="40" w:line="240"/>
              <w:jc w:val="left"/>
            </w:pPr>
            <w:r>
              <w:rPr>
                <w:rFonts w:ascii="Times New Roman" w:cs="Times New Roman" w:eastAsia="Times New Roman" w:hAnsi="Times New Roman"/>
                <w:sz w:val="18"/>
                <w:szCs w:val="18"/>
              </w:rPr>
              <w:t xml:space="preserve">E6-019, E2-023, E6-015, E2-055, E5-036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P3 IV.3 e Tabela 9 (PDF p. 19–20) e Tabela 10 (p. 21); Caderno Tabela 7 (p. 12); Anexo D V.1.3 (p. 17–18) e Tabela 5 (p. 14); P6 Tabelas 4 e 5 (p. 34–35); P4 VII.1 (p. 30); Matriz TO-01 (p. 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Metas e massas de recuperação divergentes: P3/Caderno/Anexo D (Meta 6 ajustada) × P6 (Meta 6 × 70% + Meta 7)</w:t>
            </w:r>
          </w:p>
          <w:p>
            <w:pPr>
              <w:spacing w:after="40" w:line="240"/>
              <w:jc w:val="left"/>
            </w:pPr>
            <w:r>
              <w:rPr>
                <w:rFonts w:ascii="Times New Roman" w:cs="Times New Roman" w:eastAsia="Times New Roman" w:hAnsi="Times New Roman"/>
                <w:sz w:val="18"/>
                <w:szCs w:val="18"/>
              </w:rPr>
              <w:t xml:space="preserve">O P3 (e o Anexo D) reduz o indicador PLANARES (5,2% em 2028) pelo fator (cobertura seletiva × 0,6 + 10%), obtendo 2,29%, e expressa a Meta 7 sobre a fração orgânica; o P6 aplica a projeção PLANARES diretamente (4,70% em 2027) × 70% e soma a Meta 7 sobre o RSU total (5,59% em 2027). Resultado: 4.193 t recuperadas e 146.617 t residuais em 2027 no P3/Caderno, contra 8.430 t e 142.379 t no P6 (2056: 20.208 × 26.507 t). O P3 define o indicador da Meta 6 como percentual da massa total, mas o texto fala em triagem mecanizada de "10% de todo resíduo" e a fórmula aplica 10% sobre a meta. O Anexo D publica a fórmula sem a coluna de projeção PLANARES e sem fórmula do indicador observado. A reciclável de 2027 também diverge (47.800 t no P4 × 45.895 t no P6). A divergência afeta aterro, OPEX de disposição, receitas acessórias e a linha de base da banda de ±10% (TO-01, referida à "projeção do P3").</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art. 5.º, incisos III e VII,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C-131</w:t>
            </w:r>
          </w:p>
          <w:p>
            <w:pPr>
              <w:spacing w:after="40" w:line="240"/>
              <w:jc w:val="left"/>
            </w:pPr>
            <w:r>
              <w:rPr>
                <w:rFonts w:ascii="Times New Roman" w:cs="Times New Roman" w:eastAsia="Times New Roman" w:hAnsi="Times New Roman"/>
                <w:sz w:val="18"/>
                <w:szCs w:val="18"/>
              </w:rPr>
              <w:t xml:space="preserve">E4-057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12 e Tabelas 3, 5 e 6 (PDF p. 33–35)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Balanço de massa do P6 com inconsistências entre texto e Tabelas 3, 5 e 6</w:t>
            </w:r>
          </w:p>
          <w:p>
            <w:pPr>
              <w:spacing w:after="40" w:line="240"/>
              <w:jc w:val="left"/>
            </w:pPr>
            <w:r>
              <w:rPr>
                <w:rFonts w:ascii="Times New Roman" w:cs="Times New Roman" w:eastAsia="Times New Roman" w:hAnsi="Times New Roman"/>
                <w:sz w:val="18"/>
                <w:szCs w:val="18"/>
              </w:rPr>
              <w:t xml:space="preserve">(i) 51% de 150.809 t = 76.913 t, e não 77.516 t. (ii) A Tabela 5 dá orgânicos de 73.951 t (49,0%) e recicláveis de 45.895 t (30,4%) em 2027, contra 51% e 32% da Tabela 3. (iii) Os orgânicos passam de 82.043 t (2040) para 88.133 t (2046) com RSU bruto crescendo cerca de 2%. (iv) A soma dos residuais por eixo em 2027 (Tabela 6) é 149.243 t, contra 142.379 t na Tabela 5, o que implicaria recuperação de 1,04%, e não 5,59%.</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C-132</w:t>
            </w:r>
          </w:p>
          <w:p>
            <w:pPr>
              <w:spacing w:after="40" w:line="240"/>
              <w:jc w:val="left"/>
            </w:pPr>
            <w:r>
              <w:rPr>
                <w:rFonts w:ascii="Times New Roman" w:cs="Times New Roman" w:eastAsia="Times New Roman" w:hAnsi="Times New Roman"/>
                <w:sz w:val="18"/>
                <w:szCs w:val="18"/>
              </w:rPr>
              <w:t xml:space="preserve">E6-013, E6-012, E5-035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V.5.1 e Figura 18 (PDF p. 37–38); P4 Tabela 6 (p. 20) e VII.1 (p. 30); P3 Tabelas 10 e 15; P6 Tabela 4 (p. 34); Anexo D Tabela 1 (p. 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Balanço de massa do P2 ("exemplo" ProteGEEr) incompatível com o projeto, com P3/P6 e lido incorretamente</w:t>
            </w:r>
          </w:p>
          <w:p>
            <w:pPr>
              <w:spacing w:after="40" w:line="240"/>
              <w:jc w:val="left"/>
            </w:pPr>
            <w:r>
              <w:rPr>
                <w:rFonts w:ascii="Times New Roman" w:cs="Times New Roman" w:eastAsia="Times New Roman" w:hAnsi="Times New Roman"/>
                <w:sz w:val="18"/>
                <w:szCs w:val="18"/>
              </w:rPr>
              <w:t xml:space="preserve">O cenário pressupõe coleta seletiva de 100% dos recicláveis (134,5 t/d) e dos orgânicos (216,7 t/d), com biodigestão anaeróbia não prevista no projeto, e resulta em desvio de 65,4%, contra metas de 2,29% a 7,84% (P4/Anexo D) e recuperação de 5,59% a 15,34% (P6). Na Figura 18, 167,4 t/d são materiais recuperados (80,7 de triagem + 86,7 de composto) e 108,4 t/d são evaporação; o texto lê 108,4 como encaminhado à compostagem e 421,6 t/d como massa que "entra no aterro". Não há balanço de massa do projeto efetivamente modelado (UVR, compostagem, CDR, RSS e rejeitos).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9.º, caput,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C-133</w:t>
            </w:r>
          </w:p>
          <w:p>
            <w:pPr>
              <w:spacing w:after="40" w:line="240"/>
              <w:jc w:val="left"/>
            </w:pPr>
            <w:r>
              <w:rPr>
                <w:rFonts w:ascii="Times New Roman" w:cs="Times New Roman" w:eastAsia="Times New Roman" w:hAnsi="Times New Roman"/>
                <w:sz w:val="18"/>
                <w:szCs w:val="18"/>
              </w:rPr>
              <w:t xml:space="preserve">E6-018, E6-020, E6-003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P3 Tabela 15, ano 2037 (PDF p. 26), Tabelas 13 e 14 (p. 24–25), Tabela 9 (p. 20) e p. 19; P2 VI.1 (p. 41), Tabela 16 (p. 46) e índices (p. 3–4)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Erros materiais nas tabelas de projeção do P3 e de rotulagem no capítulo de CAPEX/OPEX do P2</w:t>
            </w:r>
          </w:p>
          <w:p>
            <w:pPr>
              <w:spacing w:after="40" w:line="240"/>
              <w:jc w:val="left"/>
            </w:pPr>
            <w:r>
              <w:rPr>
                <w:rFonts w:ascii="Times New Roman" w:cs="Times New Roman" w:eastAsia="Times New Roman" w:hAnsi="Times New Roman"/>
                <w:sz w:val="18"/>
                <w:szCs w:val="18"/>
              </w:rPr>
              <w:t xml:space="preserve">P3: a massa residual de 2037 (152.435 t) não segue a fórmula declarada, que dá ≈ 149.136 t (recalculado; demais anos conferem com diferença ≤ 8 t); na Tabela 13 a coluna "Outros" do Alto Madeira tem 139 t onde 16,7% de 7.784 t ≈ 1.300 t; na Tabela 14 a coluna RLU replica o RDO; a projeção PLANARES de 2035 repete a de 2036 (9,20%); o texto diz meta de 20% "até 2024". P2: o texto anuncia "quatro naturezas" de investimento e lista três; a linha-total do OPEX é rotulada "TOTAL DE INVESTIMENTOS NO SISTEMA"; índice e corpo numeram as tabelas de forma diferente.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 (erro material)</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C-134</w:t>
            </w:r>
          </w:p>
          <w:p>
            <w:pPr>
              <w:spacing w:after="40" w:line="240"/>
              <w:jc w:val="left"/>
            </w:pPr>
            <w:r>
              <w:rPr>
                <w:rFonts w:ascii="Times New Roman" w:cs="Times New Roman" w:eastAsia="Times New Roman" w:hAnsi="Times New Roman"/>
                <w:sz w:val="18"/>
                <w:szCs w:val="18"/>
              </w:rPr>
              <w:t xml:space="preserve">E2-031, E5-025, E6-045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19 (PDF p. 23); Anexo III Tabela 13 (p. 22) e XIV.3 (p. 34); P4 IX (p. 36); P2 V.1 (p. 30–31); P3 IV.6.2 (p. 33–35); P6 p. 47–48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Ganho logístico do Jirau: 255 km de Nova Califórnia × redução anunciada de 355 → 80 km × redução de 100–120 km</w:t>
            </w:r>
          </w:p>
          <w:p>
            <w:pPr>
              <w:spacing w:after="40" w:line="240"/>
              <w:jc w:val="left"/>
            </w:pPr>
            <w:r>
              <w:rPr>
                <w:rFonts w:ascii="Times New Roman" w:cs="Times New Roman" w:eastAsia="Times New Roman" w:hAnsi="Times New Roman"/>
                <w:sz w:val="18"/>
                <w:szCs w:val="18"/>
              </w:rPr>
              <w:t xml:space="preserve">As tabelas logísticas dão 255 km de Nova Califórnia até a "CTR Jirau", igual à DMT mínima atual até o Ecoparque (255–355 km). O P4 e o Anexo III afirmam que a reativação do Jirau reduziria a DMT de ~355 km para ~80 km; o P3 indica redução de 100 km e P2/P6 de cerca de 120 km. Os números do ganho logístico que justificam o investimento no Jirau não fecham entre si.</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18, § 1.º, inciso IV, da Lei n.º 14.133/2021 (aplicação subsidiária)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C-135</w:t>
            </w:r>
          </w:p>
          <w:p>
            <w:pPr>
              <w:spacing w:after="40" w:line="240"/>
              <w:jc w:val="left"/>
            </w:pPr>
            <w:r>
              <w:rPr>
                <w:rFonts w:ascii="Times New Roman" w:cs="Times New Roman" w:eastAsia="Times New Roman" w:hAnsi="Times New Roman"/>
                <w:sz w:val="18"/>
                <w:szCs w:val="18"/>
              </w:rPr>
              <w:t xml:space="preserve">E2-032, E5-023, E6-045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19 (PDF p. 23); Anexo III Tabela 13 (p. 22); P3 Tabela 18 (p. 33–35); P1 Tabelas 4 e 5 (p. 27–28); Edital 2.11.2 (p. 12)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Distâncias do Baixo/Médio Madeira: Demarcação 83 + 94,98 + 24,50 = 202,48 ≠ 193 km; P1 × Caderno (73 × 83 km; Abunã 223 × 204 km)</w:t>
            </w:r>
          </w:p>
          <w:p>
            <w:pPr>
              <w:spacing w:after="40" w:line="240"/>
              <w:jc w:val="left"/>
            </w:pPr>
            <w:r>
              <w:rPr>
                <w:rFonts w:ascii="Times New Roman" w:cs="Times New Roman" w:eastAsia="Times New Roman" w:hAnsi="Times New Roman"/>
                <w:sz w:val="18"/>
                <w:szCs w:val="18"/>
              </w:rPr>
              <w:t xml:space="preserve">No Caderno, no Anexo III e no P3, 83 + 94,98 + 24,50 = 202,48 km, e não 193 km. O P1 indica 73 km terrestres até a Foz do Jamari (total de 193 km, que fecha) e Abunã a 223 km; o Caderno indica 83 km e Abunã a 204 km. O texto do P3 dá 105 km entre a estação de transbordo e o aterro, e há referência à "BR 367". Como o Caderno prevalece sobre o EVTEA (Edital 2.11.2), a base de distâncias contratual pode não ser a modelada.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da Lei n.º 14.133/2021; 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C-136</w:t>
            </w:r>
          </w:p>
          <w:p>
            <w:pPr>
              <w:spacing w:after="40" w:line="240"/>
              <w:jc w:val="left"/>
            </w:pPr>
            <w:r>
              <w:rPr>
                <w:rFonts w:ascii="Times New Roman" w:cs="Times New Roman" w:eastAsia="Times New Roman" w:hAnsi="Times New Roman"/>
                <w:sz w:val="18"/>
                <w:szCs w:val="18"/>
              </w:rPr>
              <w:t xml:space="preserve">E5-021, E5-022, E5-024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Tabela 5 (PDF p. 28) e p. 49; P4 Sumário (p. 6) e Tabela 6 (p. 19) × Tabelas 1, 2, 4 e III.6 (p. 10–16); Matriz (risco Jirau, p. 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Erros internos de distância no P1 e no P4 (Calama via Humaitá; Nazaré; DMT do Alto Madeira até 378 km)</w:t>
            </w:r>
          </w:p>
          <w:p>
            <w:pPr>
              <w:spacing w:after="40" w:line="240"/>
              <w:jc w:val="left"/>
            </w:pPr>
            <w:r>
              <w:rPr>
                <w:rFonts w:ascii="Times New Roman" w:cs="Times New Roman" w:eastAsia="Times New Roman" w:hAnsi="Times New Roman"/>
                <w:sz w:val="18"/>
                <w:szCs w:val="18"/>
              </w:rPr>
              <w:t xml:space="preserve">Na Tabela 5 do P1, a rota de Calama via Humaitá soma 205 km terrestres e 63,70 km fluviais (~268,7 km), mas o total registrado é 137 km; as demais linhas fecham. O trecho fluvial de Nazaré é 28,84 milhas no texto e 24,84 milhas na tabela (esta coerente com o total de 113 km). O P4 dá DMT de 255–378 km para o Alto Madeira, sem origem para 378 km (máximo de 355 km no P1 e nas demais tabelas do P4); a Matriz reproduz 255–378 km.</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 (erro material); art. 18, § 1.º, inciso IV, da Lei n.º 14.133/2021 (aplicação subsidiária) como referência geral</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C-137</w:t>
            </w:r>
          </w:p>
          <w:p>
            <w:pPr>
              <w:spacing w:after="40" w:line="240"/>
              <w:jc w:val="left"/>
            </w:pPr>
            <w:r>
              <w:rPr>
                <w:rFonts w:ascii="Times New Roman" w:cs="Times New Roman" w:eastAsia="Times New Roman" w:hAnsi="Times New Roman"/>
                <w:sz w:val="18"/>
                <w:szCs w:val="18"/>
              </w:rPr>
              <w:t xml:space="preserve">E6-061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pp. 12 e 49; P4 pp. 20 e 36; Anexo III p. 16 × P3 (integral)</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Estimativa de biogás (4.851 kWh/dia) atribuída ao Caderno 3 inexistente no P3</w:t>
            </w:r>
          </w:p>
          <w:p>
            <w:pPr>
              <w:spacing w:after="40" w:line="240"/>
              <w:jc w:val="left"/>
            </w:pPr>
            <w:r>
              <w:rPr>
                <w:rFonts w:ascii="Times New Roman" w:cs="Times New Roman" w:eastAsia="Times New Roman" w:hAnsi="Times New Roman"/>
                <w:sz w:val="18"/>
                <w:szCs w:val="18"/>
              </w:rPr>
              <w:t xml:space="preserve">P6, P4 e Anexo III citam 4.851 kWh/dia como estimativa do Caderno 3, e o Anexo III a associa a medida de controle com prazo M24. A 3.ª revisão do P3 não contém estimativa de biogás, curva de geração nem valor em kWh (busca textual sem ocorrência). A base da estimativa usada nos demais documentos não está disponível.</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21 da Lei n.º 8.987/1995 c/c art. 3.º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bl>
    <w:p>
      <w:pPr>
        <w:pStyle w:val="Heading2"/>
        <w:keepNext/>
        <w:spacing w:after="120" w:before="240" w:line="360"/>
      </w:pPr>
      <w:r>
        <w:rPr>
          <w:rFonts w:ascii="Times New Roman" w:cs="Times New Roman" w:eastAsia="Times New Roman" w:hAnsi="Times New Roman"/>
          <w:b/>
          <w:bCs/>
          <w:sz w:val="26"/>
          <w:szCs w:val="26"/>
        </w:rPr>
        <w:t xml:space="preserve">Remuneração, desempenho e reajuste (23)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C-154</w:t>
            </w:r>
          </w:p>
          <w:p>
            <w:pPr>
              <w:spacing w:after="40" w:line="240"/>
              <w:jc w:val="left"/>
            </w:pPr>
            <w:r>
              <w:rPr>
                <w:rFonts w:ascii="Times New Roman" w:cs="Times New Roman" w:eastAsia="Times New Roman" w:hAnsi="Times New Roman"/>
                <w:sz w:val="18"/>
                <w:szCs w:val="18"/>
              </w:rPr>
              <w:t xml:space="preserve">E1-077, E3-052, E4-011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itens 12.2 a 12.2.3 (PDF p. 30–31); Anexo C, Carta de Proposta, itens 2–2.3 (p. 26); Contrato cl. 15.5.2, 15.6.1 a 15.6.5 (p. 38); P6 Tabela 14 (p. 46)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Proposta em valor mensal único, sem regra de decomposição em Parcelas A/B nem de aplicação do ramp-up</w:t>
            </w:r>
          </w:p>
          <w:p>
            <w:pPr>
              <w:spacing w:after="40" w:line="240"/>
              <w:jc w:val="left"/>
            </w:pPr>
            <w:r>
              <w:rPr>
                <w:rFonts w:ascii="Times New Roman" w:cs="Times New Roman" w:eastAsia="Times New Roman" w:hAnsi="Times New Roman"/>
                <w:sz w:val="18"/>
                <w:szCs w:val="18"/>
              </w:rPr>
              <w:t xml:space="preserve">O Contrato remunera por duas parcelas com regimes distintos: Parcela A (CAPEX) com ramp-up e Parcela B (OPEX) reduzida no 1.º ano e liquidada por volume, além do desconto por IQD. Edital e Carta de Proposta pedem um único valor mensal. A divisão A/B só existe para o teto (P6 Tabela 14). Não há critério (proporcional, fixo ou declarado pela licitante) para distribuir o deságio entre as parcelas, nem regra sobre os percentuais de ramp-up aplicáveis ao valor ofertado, embora o Contrato diga que o escalonamento integra as premissas da proposta.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IV, da Lei n.º 11.079/2004; art. 18, inciso IX, da Lei n.º 8.987/1995 c/c art. 11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C-155</w:t>
            </w:r>
          </w:p>
          <w:p>
            <w:pPr>
              <w:spacing w:after="40" w:line="240"/>
              <w:jc w:val="left"/>
            </w:pPr>
            <w:r>
              <w:rPr>
                <w:rFonts w:ascii="Times New Roman" w:cs="Times New Roman" w:eastAsia="Times New Roman" w:hAnsi="Times New Roman"/>
                <w:sz w:val="18"/>
                <w:szCs w:val="18"/>
              </w:rPr>
              <w:t xml:space="preserve">E3-052, E4-010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15.5.2.2 e 15.6.3 (PDF p. 38) × P6 Tabela 14 (p. 46) × Matriz TO-01 (p. 3) e TO-06 (p. 7–8)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Parcela B "liquidada conforme medição dos volumes" sem preço unitário, volume-base ou fórmula; P6 a trata como fixa</w:t>
            </w:r>
          </w:p>
          <w:p>
            <w:pPr>
              <w:spacing w:after="40" w:line="240"/>
              <w:jc w:val="left"/>
            </w:pPr>
            <w:r>
              <w:rPr>
                <w:rFonts w:ascii="Times New Roman" w:cs="Times New Roman" w:eastAsia="Times New Roman" w:hAnsi="Times New Roman"/>
                <w:sz w:val="18"/>
                <w:szCs w:val="18"/>
              </w:rPr>
              <w:t xml:space="preserve">O Contrato vincula a Parcela B à medição de volumes, mas nenhum documento fixa preço por tonelada, volume de referência, faixas ou fórmula de liquidação. O P6 trata a Parcela B como valor mensal fixo (R$ 4.737.940,12) e a Matriz prevê reequilíbrio só fora de banda de ±10% por 6 meses. Sem a regra de conversão, a Contraprestação Mensal Efetiva fica indeterminada.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IV, e art. 6.º, § 1.º, da Lei n.º 11.079/2004; art. 92, incisos V e VI, da Lei n.º 14.133/2021; art. 23, inciso IV, da Lei n.º 8.987/1995 c/c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C-156</w:t>
            </w:r>
          </w:p>
          <w:p>
            <w:pPr>
              <w:spacing w:after="40" w:line="240"/>
              <w:jc w:val="left"/>
            </w:pPr>
            <w:r>
              <w:rPr>
                <w:rFonts w:ascii="Times New Roman" w:cs="Times New Roman" w:eastAsia="Times New Roman" w:hAnsi="Times New Roman"/>
                <w:sz w:val="18"/>
                <w:szCs w:val="18"/>
              </w:rPr>
              <w:t xml:space="preserve">E4-007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15.6.3 (PDF p. 38) × P6 Tabela 14 e Figura 3 (p. 46)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Parcela B reduzida no 1.º ano sem valor ou percentual; P6 modela a Parcela B integral</w:t>
            </w:r>
          </w:p>
          <w:p>
            <w:pPr>
              <w:spacing w:after="40" w:line="240"/>
              <w:jc w:val="left"/>
            </w:pPr>
            <w:r>
              <w:rPr>
                <w:rFonts w:ascii="Times New Roman" w:cs="Times New Roman" w:eastAsia="Times New Roman" w:hAnsi="Times New Roman"/>
                <w:sz w:val="18"/>
                <w:szCs w:val="18"/>
              </w:rPr>
              <w:t xml:space="preserve">O Contrato remete o "valor reduzido" da Parcela B no 1.º ano aos Anexos, "inclusive o EVTEA", mas o P6 aplica Parcela B integral desde o primeiro pagamento. Não há percentual nem critério de redução, o que deixa indeterminada a remuneração do 1.º ano.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IV, da Lei n.º 11.079/2004; art. 92, inciso V,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C-159</w:t>
            </w:r>
          </w:p>
          <w:p>
            <w:pPr>
              <w:spacing w:after="40" w:line="240"/>
              <w:jc w:val="left"/>
            </w:pPr>
            <w:r>
              <w:rPr>
                <w:rFonts w:ascii="Times New Roman" w:cs="Times New Roman" w:eastAsia="Times New Roman" w:hAnsi="Times New Roman"/>
                <w:sz w:val="18"/>
                <w:szCs w:val="18"/>
              </w:rPr>
              <w:t xml:space="preserve">E3-050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15.6.1 (PDF p. 38) e definições (cl. 1.3); Anexo D VI.1.1 (p. 21)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"Etapa de Operação" — marco inicial dos pagamentos e do ramp-up — não definida</w:t>
            </w:r>
          </w:p>
          <w:p>
            <w:pPr>
              <w:spacing w:after="40" w:line="240"/>
              <w:jc w:val="left"/>
            </w:pPr>
            <w:r>
              <w:rPr>
                <w:rFonts w:ascii="Times New Roman" w:cs="Times New Roman" w:eastAsia="Times New Roman" w:hAnsi="Times New Roman"/>
                <w:sz w:val="18"/>
                <w:szCs w:val="18"/>
              </w:rPr>
              <w:t xml:space="preserve">O termo não consta das definições do Contrato, do Edital nem do Caderno; o Anexo D usa "Assunção dos Serviços" e "Início da Operação Comercial". Não se sabe se a Etapa de Operação começa com a Ordem de Início, com a assunção dos serviços ou com a operação de alguma unidade. É o marco inicial de todo o fluxo de pagamentos, do ramp-up e da redução da Parcela B.</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92, inciso V, da Lei n.º 14.133/2021; art. 5.º, inciso IV,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C-161</w:t>
            </w:r>
          </w:p>
          <w:p>
            <w:pPr>
              <w:spacing w:after="40" w:line="240"/>
              <w:jc w:val="left"/>
            </w:pPr>
            <w:r>
              <w:rPr>
                <w:rFonts w:ascii="Times New Roman" w:cs="Times New Roman" w:eastAsia="Times New Roman" w:hAnsi="Times New Roman"/>
                <w:sz w:val="18"/>
                <w:szCs w:val="18"/>
              </w:rPr>
              <w:t xml:space="preserve">E3-034, E4-091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8.6.1.2.2 (PDF p. 18–19); P6 VI.7 (p. 55–57), Equação PPPt e Figura 7; Edital (sem menção a aporte)</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Aporte público previsto no Contrato (excedente do rito GAC) e no VfM, sem autorização no Edital nem cronograma</w:t>
            </w:r>
          </w:p>
          <w:p>
            <w:pPr>
              <w:spacing w:after="40" w:line="240"/>
              <w:jc w:val="left"/>
            </w:pPr>
            <w:r>
              <w:rPr>
                <w:rFonts w:ascii="Times New Roman" w:cs="Times New Roman" w:eastAsia="Times New Roman" w:hAnsi="Times New Roman"/>
                <w:sz w:val="18"/>
                <w:szCs w:val="18"/>
              </w:rPr>
              <w:t xml:space="preserve">O Edital não menciona aporte de recursos (busca textual sem ocorrência). O Contrato admite "aporte público" para o excedente das medidas de intervenção do rito GAC, sem cronograma nem marcos de repasse, e o P6 analisa aportes de 0% a 60% do CAPEX de 5 anos e inclui o termo Apt no fluxo da PPP. O aporte em contrato de PPP depende de autorização no edital (contratos novos) e de cronograma e marcos contratuais, e destina-se a obras e aquisição de bens reversíveis; não está demonstrado que o custeio de remediação se enquadre nessa finalidade.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6.º, § 2.º, art. 5.º, inciso XI, e art. 7.º, § 2.º,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C-162</w:t>
            </w:r>
          </w:p>
          <w:p>
            <w:pPr>
              <w:spacing w:after="40" w:line="240"/>
              <w:jc w:val="left"/>
            </w:pPr>
            <w:r>
              <w:rPr>
                <w:rFonts w:ascii="Times New Roman" w:cs="Times New Roman" w:eastAsia="Times New Roman" w:hAnsi="Times New Roman"/>
                <w:sz w:val="18"/>
                <w:szCs w:val="18"/>
              </w:rPr>
              <w:t xml:space="preserve">E3-041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10.3.10.4 e 10.6 (PDF p. 29–30) e 18.2.2 (p. 42)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Menções a "tarifa" (diferenciada, especial, tabela de referência) em concessão administrativa sem estrutura tarifária</w:t>
            </w:r>
          </w:p>
          <w:p>
            <w:pPr>
              <w:spacing w:after="40" w:line="240"/>
              <w:jc w:val="left"/>
            </w:pPr>
            <w:r>
              <w:rPr>
                <w:rFonts w:ascii="Times New Roman" w:cs="Times New Roman" w:eastAsia="Times New Roman" w:hAnsi="Times New Roman"/>
                <w:sz w:val="18"/>
                <w:szCs w:val="18"/>
              </w:rPr>
              <w:t xml:space="preserve">Na concessão administrativa a Administração é a usuária direta ou indireta e não há tarifa ao usuário. O Contrato fala em "tarifa diferenciada" associada à falha de segregação de RSS (redação que mistura sanção e recomposição), em "tabela de tarifas de referência" e em "tarifa especial" (18.2.2), sem defini-las nem indicar quem as fixa e quem as paga.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2.º, § 2.º,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C-164</w:t>
            </w:r>
          </w:p>
          <w:p>
            <w:pPr>
              <w:spacing w:after="40" w:line="240"/>
              <w:jc w:val="left"/>
            </w:pPr>
            <w:r>
              <w:rPr>
                <w:rFonts w:ascii="Times New Roman" w:cs="Times New Roman" w:eastAsia="Times New Roman" w:hAnsi="Times New Roman"/>
                <w:sz w:val="18"/>
                <w:szCs w:val="18"/>
              </w:rPr>
              <w:t xml:space="preserve">E2-050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seção VI (PDF p. 21) × Tabela 5 (p. 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Fórmula do IQS soma os 17 indicadores em pontos percentuais, sem pesos e sem comparação com a meta</w:t>
            </w:r>
          </w:p>
          <w:p>
            <w:pPr>
              <w:spacing w:after="40" w:line="240"/>
              <w:jc w:val="left"/>
            </w:pPr>
            <w:r>
              <w:rPr>
                <w:rFonts w:ascii="Times New Roman" w:cs="Times New Roman" w:eastAsia="Times New Roman" w:hAnsi="Times New Roman"/>
                <w:sz w:val="18"/>
                <w:szCs w:val="18"/>
              </w:rPr>
              <w:t xml:space="preserve">A fórmula soma os indicadores sem aplicar os pesos da Tabela 5 (que somam 100%) e sem comparar cada resultado com a meta do ano. O resultado é um número sem escala (até ~1.700) que não se converte em fator de remuneração. O próprio texto diz que cada indicador "deverá ser comparado com a respectiva meta", mas a regra de comparação e pontuação não existe.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e art. 6.º, § 1.º, da Lei n.º 11.079/2004; art. 23, inciso III, da Lei n.º 8.987/1995 c/c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C-165</w:t>
            </w:r>
          </w:p>
          <w:p>
            <w:pPr>
              <w:spacing w:after="40" w:line="240"/>
              <w:jc w:val="left"/>
            </w:pPr>
            <w:r>
              <w:rPr>
                <w:rFonts w:ascii="Times New Roman" w:cs="Times New Roman" w:eastAsia="Times New Roman" w:hAnsi="Times New Roman"/>
                <w:sz w:val="18"/>
                <w:szCs w:val="18"/>
              </w:rPr>
              <w:t xml:space="preserve">E2-052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V.1.2, IO4 (PDF p. 17) e Tabela 5 (p. 14); Edital 3.1, viii (p. 13)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IO4 (RSS): fórmula invertida (coletado ÷ incinerado) e dependente de incineração</w:t>
            </w:r>
          </w:p>
          <w:p>
            <w:pPr>
              <w:spacing w:after="40" w:line="240"/>
              <w:jc w:val="left"/>
            </w:pPr>
            <w:r>
              <w:rPr>
                <w:rFonts w:ascii="Times New Roman" w:cs="Times New Roman" w:eastAsia="Times New Roman" w:hAnsi="Times New Roman"/>
                <w:sz w:val="18"/>
                <w:szCs w:val="18"/>
              </w:rPr>
              <w:t xml:space="preserve">A fórmula divide o RSS coletado pelo incinerado: se parte do RSS não for tratada, o índice passa de 100%; se o tratamento for por autoclave, como prevê o objeto (Edital 3.1, viii), o denominador é zero. A forma coerente seria tratado sobre coletado, por qualquer tecnologia licenciada.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C-166</w:t>
            </w:r>
          </w:p>
          <w:p>
            <w:pPr>
              <w:spacing w:after="40" w:line="240"/>
              <w:jc w:val="left"/>
            </w:pPr>
            <w:r>
              <w:rPr>
                <w:rFonts w:ascii="Times New Roman" w:cs="Times New Roman" w:eastAsia="Times New Roman" w:hAnsi="Times New Roman"/>
                <w:sz w:val="18"/>
                <w:szCs w:val="18"/>
              </w:rPr>
              <w:t xml:space="preserve">E2-053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V.1.2, IO5 (PDF p. 17) e Tabela 5 (p. 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IO5 (chorume): fórmula dá 1 com zero ocorrências e valores negativos com mais de uma (erro de parênteses)</w:t>
            </w:r>
          </w:p>
          <w:p>
            <w:pPr>
              <w:spacing w:after="40" w:line="240"/>
              <w:jc w:val="left"/>
            </w:pPr>
            <w:r>
              <w:rPr>
                <w:rFonts w:ascii="Times New Roman" w:cs="Times New Roman" w:eastAsia="Times New Roman" w:hAnsi="Times New Roman"/>
                <w:sz w:val="18"/>
                <w:szCs w:val="18"/>
              </w:rPr>
              <w:t xml:space="preserve">Com zero ocorrências o IO5 vale 1, e não 100 como exige a meta da Tabela 5; com 1 ocorrência em 100 rotas vale 0 e com 2 vale −1. A forma coerente com a meta seria (1 − QODC/QRRM) × 100. Também não se define a unidade "rota em rodovia ou rio".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C-167</w:t>
            </w:r>
          </w:p>
          <w:p>
            <w:pPr>
              <w:spacing w:after="40" w:line="240"/>
              <w:jc w:val="left"/>
            </w:pPr>
            <w:r>
              <w:rPr>
                <w:rFonts w:ascii="Times New Roman" w:cs="Times New Roman" w:eastAsia="Times New Roman" w:hAnsi="Times New Roman"/>
                <w:sz w:val="18"/>
                <w:szCs w:val="18"/>
              </w:rPr>
              <w:t xml:space="preserve">E2-054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Tabela 5 (PDF p. 14) × V.1.4 (p. 19–20); Tabela 2 (p. 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Indicadores estruturais com numeração divergente; incinerador (IE4) e IE5 sem fórmula</w:t>
            </w:r>
          </w:p>
          <w:p>
            <w:pPr>
              <w:spacing w:after="40" w:line="240"/>
              <w:jc w:val="left"/>
            </w:pPr>
            <w:r>
              <w:rPr>
                <w:rFonts w:ascii="Times New Roman" w:cs="Times New Roman" w:eastAsia="Times New Roman" w:hAnsi="Times New Roman"/>
                <w:sz w:val="18"/>
                <w:szCs w:val="18"/>
              </w:rPr>
              <w:t xml:space="preserve">Na Tabela 5, IE4 é o incinerador e IE5 a Vila Princesa; nas fórmulas (V.1.4), IE4 é o GAC da Vila Princesa, não há IE5 e o incinerador não tem fórmula. A Tabela 2 usa a legenda "AS – Socioambiental" para códigos "SA". Há indicador com peso e sem método de cálculo.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C-168</w:t>
            </w:r>
          </w:p>
          <w:p>
            <w:pPr>
              <w:spacing w:after="40" w:line="240"/>
              <w:jc w:val="left"/>
            </w:pPr>
            <w:r>
              <w:rPr>
                <w:rFonts w:ascii="Times New Roman" w:cs="Times New Roman" w:eastAsia="Times New Roman" w:hAnsi="Times New Roman"/>
                <w:sz w:val="18"/>
                <w:szCs w:val="18"/>
              </w:rPr>
              <w:t xml:space="preserve">E2-056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Tabela 5, cabeçalho e linhas (PDF p. 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Tabela de metas: Ano 13 = 2040 (seria 2039), Anos 9, 11 e 12 sem meta e células vazias sem regra de pesos</w:t>
            </w:r>
          </w:p>
          <w:p>
            <w:pPr>
              <w:spacing w:after="40" w:line="240"/>
              <w:jc w:val="left"/>
            </w:pPr>
            <w:r>
              <w:rPr>
                <w:rFonts w:ascii="Times New Roman" w:cs="Times New Roman" w:eastAsia="Times New Roman" w:hAnsi="Times New Roman"/>
                <w:sz w:val="18"/>
                <w:szCs w:val="18"/>
              </w:rPr>
              <w:t xml:space="preserve">Se o Ano 1 é 2027, o Ano 13 é 2039, não 2040. Os Anos 9, 11 e 12 não têm meta. No Ano 1, IC1, IC2, IO2, IO3, IO4, IQ1, IQ2 e todos os IE exceto o IE2 estão em branco, sem regra de redistribuição dos pesos. O cálculo anual do IQS fica indeterminado em vários exercícios.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 art. 11, § 2.º, inciso II,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C-169</w:t>
            </w:r>
          </w:p>
          <w:p>
            <w:pPr>
              <w:spacing w:after="40" w:line="240"/>
              <w:jc w:val="left"/>
            </w:pPr>
            <w:r>
              <w:rPr>
                <w:rFonts w:ascii="Times New Roman" w:cs="Times New Roman" w:eastAsia="Times New Roman" w:hAnsi="Times New Roman"/>
                <w:sz w:val="18"/>
                <w:szCs w:val="18"/>
              </w:rPr>
              <w:t xml:space="preserve">E2-057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V.1.2, IO2 e IO3 (PDF p. 16), Tabela 5 (p. 14) e Tabela 3 (p. 10); P6 Tabela 9 (p. 43)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IO2/IO3 medidos contra "horas de operação do aterro" (Ecoparque nos Anos 1–4); triagem a 100% antes da UVR</w:t>
            </w:r>
          </w:p>
          <w:p>
            <w:pPr>
              <w:spacing w:after="40" w:line="240"/>
              <w:jc w:val="left"/>
            </w:pPr>
            <w:r>
              <w:rPr>
                <w:rFonts w:ascii="Times New Roman" w:cs="Times New Roman" w:eastAsia="Times New Roman" w:hAnsi="Times New Roman"/>
                <w:sz w:val="18"/>
                <w:szCs w:val="18"/>
              </w:rPr>
              <w:t xml:space="preserve">O denominador comum é "horas de operação do aterro", sem dizer qual; nos Anos 1 a 4 o aterro é o Ecoparque, privado e fora da gestão da concessionária. O IO3 (funcionamento da triagem da CTR) tem meta de 100% desde o Ano 2, quando a CTR está 50% implantada (Anexo D, Tabela 3 e IE1). Balanças de transbordos e unidades distritais não entram no IO2.</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C-171</w:t>
            </w:r>
          </w:p>
          <w:p>
            <w:pPr>
              <w:spacing w:after="40" w:line="240"/>
              <w:jc w:val="left"/>
            </w:pPr>
            <w:r>
              <w:rPr>
                <w:rFonts w:ascii="Times New Roman" w:cs="Times New Roman" w:eastAsia="Times New Roman" w:hAnsi="Times New Roman"/>
                <w:sz w:val="18"/>
                <w:szCs w:val="18"/>
              </w:rPr>
              <w:t xml:space="preserve">E2-060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V.1.1, IC1 e IC2 (PDF p. 15–16); Anexo III Tabela 15 (p. 26); Caderno IV.5 e IV.6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Indicadores de cobertura (IC1, IC2) medem só a população urbana e excluem distritos e Baixo Madeira</w:t>
            </w:r>
          </w:p>
          <w:p>
            <w:pPr>
              <w:spacing w:after="40" w:line="240"/>
              <w:jc w:val="left"/>
            </w:pPr>
            <w:r>
              <w:rPr>
                <w:rFonts w:ascii="Times New Roman" w:cs="Times New Roman" w:eastAsia="Times New Roman" w:hAnsi="Times New Roman"/>
                <w:sz w:val="18"/>
                <w:szCs w:val="18"/>
              </w:rPr>
              <w:t xml:space="preserve">IC1 e IC2 usam a população urbana residente como denominador. A cobertura dos distritos, inclusive do Baixo Madeira (acesso só fluvial), não é medida no IQS, embora o Caderno detalhe esses encargos e o Anexo III fixe metas de cobertura rural (70%/80%) e do Baixo Madeira (90%/100%).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2.º, inciso I, e art. 11, § 2.º, inciso II, da Lei n.º 11.445/2007; art. 5.º, inciso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C-172</w:t>
            </w:r>
          </w:p>
          <w:p>
            <w:pPr>
              <w:spacing w:after="40" w:line="240"/>
              <w:jc w:val="left"/>
            </w:pPr>
            <w:r>
              <w:rPr>
                <w:rFonts w:ascii="Times New Roman" w:cs="Times New Roman" w:eastAsia="Times New Roman" w:hAnsi="Times New Roman"/>
                <w:sz w:val="18"/>
                <w:szCs w:val="18"/>
              </w:rPr>
              <w:t xml:space="preserve">E2-061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Tabelas 4 e 5 (PDF p. 11–14); Contrato cl. 41.14.1, d (p. 80); Caderno VIII.1.1 (p. 36)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Encargos centrais sem indicador no IQS: disposição final, compostagem (Meta 7), Meta 4, monitoramento, satisfação</w:t>
            </w:r>
          </w:p>
          <w:p>
            <w:pPr>
              <w:spacing w:after="40" w:line="240"/>
              <w:jc w:val="left"/>
            </w:pPr>
            <w:r>
              <w:rPr>
                <w:rFonts w:ascii="Times New Roman" w:cs="Times New Roman" w:eastAsia="Times New Roman" w:hAnsi="Times New Roman"/>
                <w:sz w:val="18"/>
                <w:szCs w:val="18"/>
              </w:rPr>
              <w:t xml:space="preserve">O IQS não mede a operação do aterro e da disposição final, a compostagem e a Meta 7, a Meta 4, a conformidade do monitoramento ambiental, o atendimento no Baixo Madeira nem o rito GAC após o Ano 4. O Contrato (41.14.1, d) refere "pesquisa de satisfação dos usuários ... indicador que compõe o IQD", que não existe no Anexo D.</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 art. 23, inciso I,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C-173</w:t>
            </w:r>
          </w:p>
          <w:p>
            <w:pPr>
              <w:spacing w:after="40" w:line="240"/>
              <w:jc w:val="left"/>
            </w:pPr>
            <w:r>
              <w:rPr>
                <w:rFonts w:ascii="Times New Roman" w:cs="Times New Roman" w:eastAsia="Times New Roman" w:hAnsi="Times New Roman"/>
                <w:sz w:val="18"/>
                <w:szCs w:val="18"/>
              </w:rPr>
              <w:t xml:space="preserve">E2-062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seção V (PDF p. 15) e VI.1.1–VI.1.2 (p. 21); Anexo VII item 12 (p. 6); Contrato cl. 15.4, 15.4.1 e 15.7.5 (p. 37–39)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Calendário de apuração do IQS inexequível e incompatível entre Anexo D, Anexo VII e Contrato</w:t>
            </w:r>
          </w:p>
          <w:p>
            <w:pPr>
              <w:spacing w:after="40" w:line="240"/>
              <w:jc w:val="left"/>
            </w:pPr>
            <w:r>
              <w:rPr>
                <w:rFonts w:ascii="Times New Roman" w:cs="Times New Roman" w:eastAsia="Times New Roman" w:hAnsi="Times New Roman"/>
                <w:sz w:val="18"/>
                <w:szCs w:val="18"/>
              </w:rPr>
              <w:t xml:space="preserve">O relatório anual deve ser entregue no mesmo dia em que termina o período avaliado (31/out). O Anexo D concentra em novembro e dezembro a auditoria do VI, a defesa e a homologação, para aplicar os descontos de janeiro a dezembro. O Anexo VII fixa o relatório do VI até o 15.º dia útil após o fim do ano civil, e o Contrato (15.7.5) prevê 10 + 10 dias de contestação e decisão. As datas não fecham.</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e art. 6.º, § 1.º,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C-175</w:t>
            </w:r>
          </w:p>
          <w:p>
            <w:pPr>
              <w:spacing w:after="40" w:line="240"/>
              <w:jc w:val="left"/>
            </w:pPr>
            <w:r>
              <w:rPr>
                <w:rFonts w:ascii="Times New Roman" w:cs="Times New Roman" w:eastAsia="Times New Roman" w:hAnsi="Times New Roman"/>
                <w:sz w:val="18"/>
                <w:szCs w:val="18"/>
              </w:rPr>
              <w:t xml:space="preserve">E2-067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15 (PDF p. 26–27) × Anexo D Tabela 5 (p. 14); Contrato cl. 10.2.35 (p. 27)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Metas do "Ano 5" no Anexo III divergem das do Ano 5 no Anexo D</w:t>
            </w:r>
          </w:p>
          <w:p>
            <w:pPr>
              <w:spacing w:after="40" w:line="240"/>
              <w:jc w:val="left"/>
            </w:pPr>
            <w:r>
              <w:rPr>
                <w:rFonts w:ascii="Times New Roman" w:cs="Times New Roman" w:eastAsia="Times New Roman" w:hAnsi="Times New Roman"/>
                <w:sz w:val="18"/>
                <w:szCs w:val="18"/>
              </w:rPr>
              <w:t xml:space="preserve">O Anexo III fixa para o Ano 5 recuperação de 3,64% e coleta seletiva de 70% na Sede; o Anexo D fixa para o Ano 5 (2031) 3,28% e 64,9%, e 3,64% só no Ano 6. Os dois anexos estabelecem metas contratuais diferentes para o mesmo ano, e o Contrato (10.2.35) trata as metas como piso de exigibilidade.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 art. 11, § 2.º, inciso II,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C-176</w:t>
            </w:r>
          </w:p>
          <w:p>
            <w:pPr>
              <w:spacing w:after="40" w:line="240"/>
              <w:jc w:val="left"/>
            </w:pPr>
            <w:r>
              <w:rPr>
                <w:rFonts w:ascii="Times New Roman" w:cs="Times New Roman" w:eastAsia="Times New Roman" w:hAnsi="Times New Roman"/>
                <w:sz w:val="18"/>
                <w:szCs w:val="18"/>
              </w:rPr>
              <w:t xml:space="preserve">E2-068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14, PCOS, coluna KPI (PDF p. 25–26) × Anexo D IO1 (p. 14 e 16); Matriz TO-04 (p. 6); Contrato cl. 8.9 (p. 20)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PCOS admite cobertura reduzida (95/90/80%); IO1 exige 100% das rotas sem exceção sazonal</w:t>
            </w:r>
          </w:p>
          <w:p>
            <w:pPr>
              <w:spacing w:after="40" w:line="240"/>
              <w:jc w:val="left"/>
            </w:pPr>
            <w:r>
              <w:rPr>
                <w:rFonts w:ascii="Times New Roman" w:cs="Times New Roman" w:eastAsia="Times New Roman" w:hAnsi="Times New Roman"/>
                <w:sz w:val="18"/>
                <w:szCs w:val="18"/>
              </w:rPr>
              <w:t xml:space="preserve">O PCOS é acionado automaticamente por cota e tolera cobertura de 95%, 90% e 80% nos Níveis 2 a 4. O IO1 (peso 38,5%) exige 100% das rotas programadas a partir do Ano 2 e não neutraliza rotas suspensas pelo PCOS. A Matriz (TO-04) só admite reequilíbrio com cota abaixo de 2,0 m por mais de 45 dias e decreto de calamidade.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incisos III e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C-177</w:t>
            </w:r>
          </w:p>
          <w:p>
            <w:pPr>
              <w:spacing w:after="40" w:line="240"/>
              <w:jc w:val="left"/>
            </w:pPr>
            <w:r>
              <w:rPr>
                <w:rFonts w:ascii="Times New Roman" w:cs="Times New Roman" w:eastAsia="Times New Roman" w:hAnsi="Times New Roman"/>
                <w:sz w:val="18"/>
                <w:szCs w:val="18"/>
              </w:rPr>
              <w:t xml:space="preserve">E3-056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15.7.3 e 15.7.4 (PDF p. 39), 10.2.33.2 (p. 26) e 26.3; Anexo D (indicadores)</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Desconto por IQD cumulável com multa pelo mesmo fato; vedação de bis in idem só nas cláusulas sociais</w:t>
            </w:r>
          </w:p>
          <w:p>
            <w:pPr>
              <w:spacing w:after="40" w:line="240"/>
              <w:jc w:val="left"/>
            </w:pPr>
            <w:r>
              <w:rPr>
                <w:rFonts w:ascii="Times New Roman" w:cs="Times New Roman" w:eastAsia="Times New Roman" w:hAnsi="Times New Roman"/>
                <w:sz w:val="18"/>
                <w:szCs w:val="18"/>
              </w:rPr>
              <w:t xml:space="preserve">A regra geral (15.7.3–15.7.4) admite desconto do IQD e multa sobre o mesmo descumprimento; só as cláusulas sociais (10.2.33.2) ressalvam o bis in idem. Indicadores e tipos de multa se sobrepõem (RSS, coleta, cobertura).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 da Lei n.º 11.079/2004; art. 156, § 1.º,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C-178</w:t>
            </w:r>
          </w:p>
          <w:p>
            <w:pPr>
              <w:spacing w:after="40" w:line="240"/>
              <w:jc w:val="left"/>
            </w:pPr>
            <w:r>
              <w:rPr>
                <w:rFonts w:ascii="Times New Roman" w:cs="Times New Roman" w:eastAsia="Times New Roman" w:hAnsi="Times New Roman"/>
                <w:sz w:val="18"/>
                <w:szCs w:val="18"/>
              </w:rPr>
              <w:t xml:space="preserve">E3-057, E2-103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15.7.5 a 15.7.7 (PDF p. 39) × Anexo VII item 14 (p. 6) × Anexo VI itens 4.4, 6.3 e 7.1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Pagamento durante controvérsia sobre o IQD: "parcela incontroversa" (Contrato) × fluxo ordinário (Anexo VII) × Anexo VI</w:t>
            </w:r>
          </w:p>
          <w:p>
            <w:pPr>
              <w:spacing w:after="40" w:line="240"/>
              <w:jc w:val="left"/>
            </w:pPr>
            <w:r>
              <w:rPr>
                <w:rFonts w:ascii="Times New Roman" w:cs="Times New Roman" w:eastAsia="Times New Roman" w:hAnsi="Times New Roman"/>
                <w:sz w:val="18"/>
                <w:szCs w:val="18"/>
              </w:rPr>
              <w:t xml:space="preserve">Durante a divergência sobre o relatório do VI, o Contrato manda o Agente pagar só a parcela incontroversa; o Anexo VII preserva o fluxo ordinário de pagamento. O Anexo VI não prevê pagamento parcial nem recebe informação sobre controvérsias: o Agente paga o valor mensal e, em caso de não pagamento, executa a garantia em 48 h. As três regras divergem quanto ao valor pago enquanto pende a controvérsia. Há ainda erro de grafia ("Verificados Independente", 15.7.5).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incisos IV, VI e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C-179</w:t>
            </w:r>
          </w:p>
          <w:p>
            <w:pPr>
              <w:spacing w:after="40" w:line="240"/>
              <w:jc w:val="left"/>
            </w:pPr>
            <w:r>
              <w:rPr>
                <w:rFonts w:ascii="Times New Roman" w:cs="Times New Roman" w:eastAsia="Times New Roman" w:hAnsi="Times New Roman"/>
                <w:sz w:val="18"/>
                <w:szCs w:val="18"/>
              </w:rPr>
              <w:t xml:space="preserve">E3-059, E4-059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16.1 (PDF p. 40); Matriz EF-03 (p. 30), EF-06 e EF-07 (p. 31); P6 (sem fórmula); P7 III.6.4 (p. 33); Edital 12.3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Fórmula e índice de reajuste inexistentes nos Anexos; Contrato e Matriz remetem um ao outro</w:t>
            </w:r>
          </w:p>
          <w:p>
            <w:pPr>
              <w:spacing w:after="40" w:line="240"/>
              <w:jc w:val="left"/>
            </w:pPr>
            <w:r>
              <w:rPr>
                <w:rFonts w:ascii="Times New Roman" w:cs="Times New Roman" w:eastAsia="Times New Roman" w:hAnsi="Times New Roman"/>
                <w:sz w:val="18"/>
                <w:szCs w:val="18"/>
              </w:rPr>
              <w:t xml:space="preserve">O Contrato remete o reajuste anual a uma fórmula de indexação "prevista nos Anexos", que não consta de nenhum anexo nem do P6 (busca textual por "reajust" e "indexa"); a Matriz (EF-03) diz que a fórmula é definida no contrato. O P7 fala ora em reajuste vinculado ao IPCA, ora em reajuste paramétrico, e a Matriz cita IPCA, INCC e a diferença entre o custo da sociedade e o "índice de indexação do contrato". O Contrato também não data o "Orçamento Estimado" (o Edital indica maio/2026). Sem índice e fórmula, o reajuste automático é inaplicável.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25, § 7.º, e art. 92, inciso V, da Lei n.º 14.133/2021; art. 5.º, inciso IV e § 1.º, da Lei n.º 11.079/2004; art. 3.º, § 1.º, da Lei n.º 10.192/2001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C-180</w:t>
            </w:r>
          </w:p>
          <w:p>
            <w:pPr>
              <w:spacing w:after="40" w:line="240"/>
              <w:jc w:val="left"/>
            </w:pPr>
            <w:r>
              <w:rPr>
                <w:rFonts w:ascii="Times New Roman" w:cs="Times New Roman" w:eastAsia="Times New Roman" w:hAnsi="Times New Roman"/>
                <w:sz w:val="18"/>
                <w:szCs w:val="18"/>
              </w:rPr>
              <w:t xml:space="preserve">E3-061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8.6.4, 13.7, 15.8.1 e 28.7.12 (PDF p. 18–19, 35, 39–40 e 65); Anexo VI item 5.6 (p. 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Quatro índices diferentes para atualização de valores (IPCA, IPC/FIPE, "índice do Contrato", INPC)</w:t>
            </w:r>
          </w:p>
          <w:p>
            <w:pPr>
              <w:spacing w:after="40" w:line="240"/>
              <w:jc w:val="left"/>
            </w:pPr>
            <w:r>
              <w:rPr>
                <w:rFonts w:ascii="Times New Roman" w:cs="Times New Roman" w:eastAsia="Times New Roman" w:hAnsi="Times New Roman"/>
                <w:sz w:val="18"/>
                <w:szCs w:val="18"/>
              </w:rPr>
              <w:t xml:space="preserve">O Contrato usa IPCA para diferenças de pagamento e mora, IPC/FIPE para valores retidos na indenização e "índice de reajuste do Contrato" (inexistente, ver ponto anterior) para o regresso ambiental; o Anexo VI usa INPC para a remuneração da instituição financeira.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92, inciso V,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C-181</w:t>
            </w:r>
          </w:p>
          <w:p>
            <w:pPr>
              <w:spacing w:after="40" w:line="240"/>
              <w:jc w:val="left"/>
            </w:pPr>
            <w:r>
              <w:rPr>
                <w:rFonts w:ascii="Times New Roman" w:cs="Times New Roman" w:eastAsia="Times New Roman" w:hAnsi="Times New Roman"/>
                <w:sz w:val="18"/>
                <w:szCs w:val="18"/>
              </w:rPr>
              <w:t xml:space="preserve">E3-063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17.1 a 17.3 (PDF p. 41) e 29.4 (p. 66); P7 p. 35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Revisão ordinária sem periodicidade definida, procedimento, prazos nem efeito sobre a contraprestação</w:t>
            </w:r>
          </w:p>
          <w:p>
            <w:pPr>
              <w:spacing w:after="40" w:line="240"/>
              <w:jc w:val="left"/>
            </w:pPr>
            <w:r>
              <w:rPr>
                <w:rFonts w:ascii="Times New Roman" w:cs="Times New Roman" w:eastAsia="Times New Roman" w:hAnsi="Times New Roman"/>
                <w:sz w:val="18"/>
                <w:szCs w:val="18"/>
              </w:rPr>
              <w:t xml:space="preserve">Não se sabe se a revisão é única (após 5 anos) ou quinquenal, como diz o P7, nem o marco "início da Concessão". Não há rito, prazos, metodologia ou consequência sobre a contraprestação: o item 17.1 menciona distribuição de ganhos de produtividade, mas o 17.2 só admite variação por reequilíbrio. A cl. 29.4 refere-se à "última Revisão", pressupondo periodicidade não estabelecida.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38 da Lei n.º 11.445/2007; art. 9.º, § 2.º, e art. 23, inciso IV, da Lei n.º 8.987/1995 c/c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C-185</w:t>
            </w:r>
          </w:p>
          <w:p>
            <w:pPr>
              <w:spacing w:after="40" w:line="240"/>
              <w:jc w:val="left"/>
            </w:pPr>
            <w:r>
              <w:rPr>
                <w:rFonts w:ascii="Times New Roman" w:cs="Times New Roman" w:eastAsia="Times New Roman" w:hAnsi="Times New Roman"/>
                <w:sz w:val="18"/>
                <w:szCs w:val="18"/>
              </w:rPr>
              <w:t xml:space="preserve">E3-078, E4-058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18.2, e, × 18.5.2 (PDF p. 42–43); P6 III.7 (p. 21) e V.5 (p. 48); Anexo III CS-01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Recicláveis listados como receita acessória da SPE, mas revertidos integralmente às cooperativas</w:t>
            </w:r>
          </w:p>
          <w:p>
            <w:pPr>
              <w:spacing w:after="40" w:line="240"/>
              <w:jc w:val="left"/>
            </w:pPr>
            <w:r>
              <w:rPr>
                <w:rFonts w:ascii="Times New Roman" w:cs="Times New Roman" w:eastAsia="Times New Roman" w:hAnsi="Times New Roman"/>
                <w:sz w:val="18"/>
                <w:szCs w:val="18"/>
              </w:rPr>
              <w:t xml:space="preserve">O rol de receitas acessórias inclui a comercialização de recicláveis, e o P6 a apresenta como a principal, admitindo na mesma seção que ela não transita integralmente pelo caixa da SPE. O Contrato reverte integralmente às cooperativas a receita dos recicláveis triados na UVR (operada pela concessionária, com triagem mecanizada) e a exclui da partilha. Fica indefinida a titularidade dos materiais e quem custeia a operação da UVR.</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11 da Lei n.º 8.987/1995; art. 18, § 1.º, inciso II, e art. 36, § 1.º,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Riscos e garantias (38)</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C-192</w:t>
            </w:r>
          </w:p>
          <w:p>
            <w:pPr>
              <w:spacing w:after="40" w:line="240"/>
              <w:jc w:val="left"/>
            </w:pPr>
            <w:r>
              <w:rPr>
                <w:rFonts w:ascii="Times New Roman" w:cs="Times New Roman" w:eastAsia="Times New Roman" w:hAnsi="Times New Roman"/>
                <w:sz w:val="18"/>
                <w:szCs w:val="18"/>
              </w:rPr>
              <w:t xml:space="preserve">E3-089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10.1.5 (PDF p. 22) e 10.2.13 (p. 24); cf. 10.13.2.1 e 18.3.2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Aprovação de projetos pelo Poder Concedente sem prazo nem efeito do silêncio</w:t>
            </w:r>
          </w:p>
          <w:p>
            <w:pPr>
              <w:spacing w:after="40" w:line="240"/>
              <w:jc w:val="left"/>
            </w:pPr>
            <w:r>
              <w:rPr>
                <w:rFonts w:ascii="Times New Roman" w:cs="Times New Roman" w:eastAsia="Times New Roman" w:hAnsi="Times New Roman"/>
                <w:sz w:val="18"/>
                <w:szCs w:val="18"/>
              </w:rPr>
              <w:t xml:space="preserve">Diferentemente de outros procedimentos do Contrato que fixam prazo e efeito do silêncio (10.13.2.1: 30 dias, silêncio como ausência de objeção; 18.3.2: 20 dias úteis, silêncio autorizativo), a aprovação dos projetos da CTR e das demais obras não tem prazo nem regra de silêncio. O tempo de análise do Poder Concedente incide sobre o cronograma de implantação sem alocação expressa de risco.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C-193</w:t>
            </w:r>
          </w:p>
          <w:p>
            <w:pPr>
              <w:spacing w:after="40" w:line="240"/>
              <w:jc w:val="left"/>
            </w:pPr>
            <w:r>
              <w:rPr>
                <w:rFonts w:ascii="Times New Roman" w:cs="Times New Roman" w:eastAsia="Times New Roman" w:hAnsi="Times New Roman"/>
                <w:sz w:val="18"/>
                <w:szCs w:val="18"/>
              </w:rPr>
              <w:t xml:space="preserve">E3-106, E3-142, E4-017, E7-018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23.2, III, e 23.3 (PDF p. 53); Anexo VI considerandos (PDF p. 3), cl. 4.5 e 5.4 (p. 5-6); P6 VI.10 e Tabela 19 (p. 59-61); Matriz EF-02 (p. 29-30); P7 V.1 a V.3 (p. 39-40)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Garantia pública lastreada em vinculação e cessão fiduciária de repasses do FPM</w:t>
            </w:r>
          </w:p>
          <w:p>
            <w:pPr>
              <w:spacing w:after="40" w:line="240"/>
              <w:jc w:val="left"/>
            </w:pPr>
            <w:r>
              <w:rPr>
                <w:rFonts w:ascii="Times New Roman" w:cs="Times New Roman" w:eastAsia="Times New Roman" w:hAnsi="Times New Roman"/>
                <w:sz w:val="18"/>
                <w:szCs w:val="18"/>
              </w:rPr>
              <w:t xml:space="preserve">A garantia da contraprestação (Conta Garantia e, segundo o P6, também a Conta Vinculada) tem como única fonte nomeada os repasses do FPM, receita de impostos repartida pelo art. 159, I, 'b', da CF. O art. 167, IV, da CF veda a vinculação de receita de impostos a despesa, e o § 4.º só admite vincular as receitas do art. 159 para pagamento de débitos com a União e para prestar-lhe garantia ou contragarantia. O art. 8.º, I, da Lei 11.079 admite a vinculação de receitas 'observado o disposto no inciso IV do art. 167'. O Anexo VI invoca como fundamento o próprio art. 159, I, 'b' (regra de repartição) e o art. 54, I, da LC municipal 592/2015, e o P7 não enfrenta a restrição constitucional. Há controvérsia sobre o alcance do art. 167, IV, em garantias de PPP (ex.: tese de que o FPM, após o repasse, integra a receita própria do Município), a ser desenvolvida na Fase 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167, inciso IV e § 4.º, da CF/1988 (redação dada pela EC n.º 132/2023 — conferir); art. 159, inciso I, alínea 'b', da CF/1988; art. 8.º, inciso 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C-194</w:t>
            </w:r>
          </w:p>
          <w:p>
            <w:pPr>
              <w:spacing w:after="40" w:line="240"/>
              <w:jc w:val="left"/>
            </w:pPr>
            <w:r>
              <w:rPr>
                <w:rFonts w:ascii="Times New Roman" w:cs="Times New Roman" w:eastAsia="Times New Roman" w:hAnsi="Times New Roman"/>
                <w:sz w:val="18"/>
                <w:szCs w:val="18"/>
              </w:rPr>
              <w:t xml:space="preserve">E1-013, E3-141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itens 5.3 (PDF p. 15), 6.3, iii (p. 16), 1.1.14 e 1.1.19 (p. 7); Anexo VI nota preliminar (PDF p. 3) e cl. 2.2 (p. 4); Contrato cl. 10.2.31 (PDF p. 26) e 23.3 (p. 53)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Garantia da contraprestação não especificada no Edital; Anexo VI 'exemplificativo' e livremente alterável</w:t>
            </w:r>
          </w:p>
          <w:p>
            <w:pPr>
              <w:spacing w:after="40" w:line="240"/>
              <w:jc w:val="left"/>
            </w:pPr>
            <w:r>
              <w:rPr>
                <w:rFonts w:ascii="Times New Roman" w:cs="Times New Roman" w:eastAsia="Times New Roman" w:hAnsi="Times New Roman"/>
                <w:sz w:val="18"/>
                <w:szCs w:val="18"/>
              </w:rPr>
              <w:t xml:space="preserve">O Edital não identifica a garantia: remete à 'estrutura de garantias públicas prevista no Contrato e seus anexos' e menciona 'recursos vinculados' e 'fluxo de receitas dadas em garantia' sem nomear a receita; a cessão fiduciária do FPM só aparece no Contrato (cl. 23) e no Anexo VI. O Anexo VI, por sua vez, declara-se 'meramente exemplificativo' e 'livre e inteiramente' alterável, inclusive por uma só das partes ('e/ou'), sob a justificativa de que a instituição financeira não participou da licitação. Isso contradiz a cl. 23.3 do Contrato, que manda o Anexo VI reger a garantia, e a própria cl. 2.2 do Anexo VI, que exige instrumento assinado por todas as partes para alterar o mecanismo. O licitante não dispõe de garantia definida e vinculante para precificar o risco de crédito público.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11, parágrafo único, e art. 8.º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C-195</w:t>
            </w:r>
          </w:p>
          <w:p>
            <w:pPr>
              <w:spacing w:after="40" w:line="240"/>
              <w:jc w:val="left"/>
            </w:pPr>
            <w:r>
              <w:rPr>
                <w:rFonts w:ascii="Times New Roman" w:cs="Times New Roman" w:eastAsia="Times New Roman" w:hAnsi="Times New Roman"/>
                <w:sz w:val="18"/>
                <w:szCs w:val="18"/>
              </w:rPr>
              <w:t xml:space="preserve">E3-143, E4-018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 preâmbulo (PDF p. 3), cl. 1.1.8 (p. 4), 2.1 (p. 4), 4.1 (p. 5), 5.6 (p. 6), 6.1 (p. 7) e 15.1 (p. 9); P6 Tabela 19 (PDF p. 61); Edital 5.2 (p. 15) e 6.3, iii (p. 16)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Elementos essenciais da garantia em branco: agente, remuneração, data de pagamento e fonte do aporte inicial</w:t>
            </w:r>
          </w:p>
          <w:p>
            <w:pPr>
              <w:spacing w:after="40" w:line="240"/>
              <w:jc w:val="left"/>
            </w:pPr>
            <w:r>
              <w:rPr>
                <w:rFonts w:ascii="Times New Roman" w:cs="Times New Roman" w:eastAsia="Times New Roman" w:hAnsi="Times New Roman"/>
                <w:sz w:val="18"/>
                <w:szCs w:val="18"/>
              </w:rPr>
              <w:t xml:space="preserve">A instituição financeira, sua remuneração mensal (paga pelo Poder Concedente), o VCM, a data de pagamento e os endereços estão em branco ('[*]') no Anexo VI. O P6 deixa a fonte do aporte inicial da Conta Garantia (~R$ 13 mi) 'a definir na estruturação contratual do Caderno 6', sendo o próprio P6 o Caderno 6, e o agente fiduciário 'a definir em processo seletivo'. O Edital condiciona a Ordem de Início à transferência de 2 contraprestações à Conta Garantia (6.3, iii), e a dotação orçamentária (5.2) está em branco. Também não se demonstra como o FPM seria capturado (domicílio bancário do repasse no mesmo agente ou ordem irrevogável de transferência).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art. 10, incisos III e IV, e art. 11, parágrafo único,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C-196</w:t>
            </w:r>
          </w:p>
          <w:p>
            <w:pPr>
              <w:spacing w:after="40" w:line="240"/>
              <w:jc w:val="left"/>
            </w:pPr>
            <w:r>
              <w:rPr>
                <w:rFonts w:ascii="Times New Roman" w:cs="Times New Roman" w:eastAsia="Times New Roman" w:hAnsi="Times New Roman"/>
                <w:sz w:val="18"/>
                <w:szCs w:val="18"/>
              </w:rPr>
              <w:t xml:space="preserve">E3-144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1.3.15 (PDF p. 8), 23.1 e 23.2, I (p. 52-53); Anexo VI título e cl. 4.1 (PDF p. 1-5); P6 Tabela 19 (p. 61)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Conta Vinculada (escrow), canal primário de pagamento, sem instrumento, fonte nem regras</w:t>
            </w:r>
          </w:p>
          <w:p>
            <w:pPr>
              <w:spacing w:after="40" w:line="240"/>
              <w:jc w:val="left"/>
            </w:pPr>
            <w:r>
              <w:rPr>
                <w:rFonts w:ascii="Times New Roman" w:cs="Times New Roman" w:eastAsia="Times New Roman" w:hAnsi="Times New Roman"/>
                <w:sz w:val="18"/>
                <w:szCs w:val="18"/>
              </w:rPr>
              <w:t xml:space="preserve">O Contrato prevê uma Conta Vinculada para os pagamentos ordinários, e o P6 a descreve como canal primário com 100% da contraprestação mensal, alimentada pelo 'FPM e demais receitas vinculadas'. O Anexo VI, embora intitulado 'administração de Conta Vinculada', regula apenas a Conta Garantia e remete a um 'Contrato de Gerenciamento da Conta Vinculada' com instituição em branco, não juntado. Não há fonte, regra de aporte mensal, gatilhos nem relação definida entre as duas contas nos documentos contratuais. A nomenclatura do agente também varia ('Agente de Pagamento e Garantia', 'agente fiduciário', 'agente de garantia') — ver E1-116/E3-008 (QUESTOES_FORMAIS).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e art. 11, parágrafo único,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C-197</w:t>
            </w:r>
          </w:p>
          <w:p>
            <w:pPr>
              <w:spacing w:after="40" w:line="240"/>
              <w:jc w:val="left"/>
            </w:pPr>
            <w:r>
              <w:rPr>
                <w:rFonts w:ascii="Times New Roman" w:cs="Times New Roman" w:eastAsia="Times New Roman" w:hAnsi="Times New Roman"/>
                <w:sz w:val="18"/>
                <w:szCs w:val="18"/>
              </w:rPr>
              <w:t xml:space="preserve">E7-020, E3-142, E4-017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p. 6 e Tabela 19 (PDF p. 61); P7 III.3 (PDF p. 28) e V.3 (p. 40); Contrato cl. 6.2, III (p. 16) e 23.2, III (p. 53); Anexo VI cl. 3.2, 4.1 e 4.5 (PDF p. 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Papel do FPM divergente: fonte do pagamento ordinário (P6) × só repreenchimento (Contrato/P7) × só inadimplemento (Anexo VI)</w:t>
            </w:r>
          </w:p>
          <w:p>
            <w:pPr>
              <w:spacing w:after="40" w:line="240"/>
              <w:jc w:val="left"/>
            </w:pPr>
            <w:r>
              <w:rPr>
                <w:rFonts w:ascii="Times New Roman" w:cs="Times New Roman" w:eastAsia="Times New Roman" w:hAnsi="Times New Roman"/>
                <w:sz w:val="18"/>
                <w:szCs w:val="18"/>
              </w:rPr>
              <w:t xml:space="preserve">O P6 afirma que a Conta Vinculada, canal primário de pagamento, é lastreada nos repasses do FPM (~R$ 410,4 mi/ano). O Contrato e o P7 tratam o FPM apenas como fonte de repreenchimento da Conta Garantia. O Anexo VI diz que o FPM será usado exclusivamente quando configurado o inadimplemento (4.1), mas também prevê seu uso no depósito inicial (3.2) e na recomposição automática (4.5). As 'receitas vinculadas' que a Conta Vinculada canalizaria e o 'fluxo de receitas dadas em garantia' exigido para a Ordem de Início (Contrato 6.2, III) não são identificados.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11, parágrafo único, e art. 8.º, inciso I,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C-198</w:t>
            </w:r>
          </w:p>
          <w:p>
            <w:pPr>
              <w:spacing w:after="40" w:line="240"/>
              <w:jc w:val="left"/>
            </w:pPr>
            <w:r>
              <w:rPr>
                <w:rFonts w:ascii="Times New Roman" w:cs="Times New Roman" w:eastAsia="Times New Roman" w:hAnsi="Times New Roman"/>
                <w:sz w:val="18"/>
                <w:szCs w:val="18"/>
              </w:rPr>
              <w:t xml:space="preserve">E1-047, E3-109, E7-027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1.1.14 (PDF p. 7) e 6.3, iii (p. 16); Contrato cl. 1.3.14 (p. 8), 6.2, III (p. 16), 23.2, II, e 23.4.3 (p. 53); Anexo VI cl. 1.1.7 e 1.1.8 (PDF p. 4), 3.2 e 4.5 (p. 5); P6 VI.10 (p. 60); P7 III.3 e III.6.1 (PDF p. 28 e 32)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Base do saldo mínimo da Conta Garantia indefinida (CME inexistente antes da OI, ramp-up, VCM em branco)</w:t>
            </w:r>
          </w:p>
          <w:p>
            <w:pPr>
              <w:spacing w:after="40" w:line="240"/>
              <w:jc w:val="left"/>
            </w:pPr>
            <w:r>
              <w:rPr>
                <w:rFonts w:ascii="Times New Roman" w:cs="Times New Roman" w:eastAsia="Times New Roman" w:hAnsi="Times New Roman"/>
                <w:sz w:val="18"/>
                <w:szCs w:val="18"/>
              </w:rPr>
              <w:t xml:space="preserve">O saldo mínimo é definido por quatro bases diferentes: 'contraprestações mensais devidas' (Contrato 23.2, II), 'Contraprestações Mensais Efetivas' (23.4.3 e Edital 1.1.14), 'Contraprestações Públicas Mensais', termo não definido (Edital 6.3, iii), e um VCM fixo de 'R$ [*]' (Anexo VI 1.1.8). O depósito é exigido antes da Ordem de Início, quando ainda não há CME apurada, e nos primeiros anos a CME varia com o ramp-up da Parcela A (60/80/100%), a redução da Parcela B no 1.º ano e os descontos de IQD. O P6 estima ~R$ 13,0 mi, valor que corresponde à contraprestação plena (2 × R$ 6.505.697,97). O valor exigido para a Ordem de Início e o nível de proteção ao longo do contrato ficam indeterminados.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e art. 11, parágrafo único,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C-199</w:t>
            </w:r>
          </w:p>
          <w:p>
            <w:pPr>
              <w:spacing w:after="40" w:line="240"/>
              <w:jc w:val="left"/>
            </w:pPr>
            <w:r>
              <w:rPr>
                <w:rFonts w:ascii="Times New Roman" w:cs="Times New Roman" w:eastAsia="Times New Roman" w:hAnsi="Times New Roman"/>
                <w:sz w:val="18"/>
                <w:szCs w:val="18"/>
              </w:rPr>
              <w:t xml:space="preserve">E3-083, E7-025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13.1.1 (PDF p. 34-35) × cl. 23.4.4 e 23.4.5 (p. 53); Anexo VI cl. 5.1, 7.3 e 7.4 (PDF p. 5 e 7); P7 V.4 (p. 40) e V.11 (p. 44)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TRCF deduzida automaticamente da Conta Garantia, cujo saldo mínimo não pode ter outra finalidade</w:t>
            </w:r>
          </w:p>
          <w:p>
            <w:pPr>
              <w:spacing w:after="40" w:line="240"/>
              <w:jc w:val="left"/>
            </w:pPr>
            <w:r>
              <w:rPr>
                <w:rFonts w:ascii="Times New Roman" w:cs="Times New Roman" w:eastAsia="Times New Roman" w:hAnsi="Times New Roman"/>
                <w:sz w:val="18"/>
                <w:szCs w:val="18"/>
              </w:rPr>
              <w:t xml:space="preserve">A cl. 13.1.1 manda deduzir mensalmente da Conta Garantia a TRCF (1,5% da receita operacional bruta), tributo devido pela Concessionária à ARDPV. A cl. 23.4.5 veda qualquer outra finalidade para o saldo mínimo, a cl. 23.4.4 veda movimentação direta pelo Poder Concedente, e o Anexo VI só admite instruções conjuntas e não prevê essa movimentação. A dedução reduz o saldo abaixo de 2 CME a cada mês e mistura a garantia pública com o recolhimento de tributo.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inciso I,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C-200</w:t>
            </w:r>
          </w:p>
          <w:p>
            <w:pPr>
              <w:spacing w:after="40" w:line="240"/>
              <w:jc w:val="left"/>
            </w:pPr>
            <w:r>
              <w:rPr>
                <w:rFonts w:ascii="Times New Roman" w:cs="Times New Roman" w:eastAsia="Times New Roman" w:hAnsi="Times New Roman"/>
                <w:sz w:val="18"/>
                <w:szCs w:val="18"/>
              </w:rPr>
              <w:t xml:space="preserve">E3-110, E7-021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15.8.5 (PDF p. 40), 23.4, 23.4.1 e 23.4.2 (p. 53); Anexo VI cl. 6.3 e 7.1 (PDF p. 7); P6 VI.10 (p. 60); P7 III.6.3, V.4 e V.5 (PDF p. 33, 40-41)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Gatilho de execução da garantia descrito de formas incompatíveis (48 h automático × notificação após 5 dias úteis × relatório do VI)</w:t>
            </w:r>
          </w:p>
          <w:p>
            <w:pPr>
              <w:spacing w:after="40" w:line="240"/>
              <w:jc w:val="left"/>
            </w:pPr>
            <w:r>
              <w:rPr>
                <w:rFonts w:ascii="Times New Roman" w:cs="Times New Roman" w:eastAsia="Times New Roman" w:hAnsi="Times New Roman"/>
                <w:sz w:val="18"/>
                <w:szCs w:val="18"/>
              </w:rPr>
              <w:t xml:space="preserve">O Contrato prevê (i) notificação da Concessionária ao agente após atraso superior a 5 dias úteis (15.8.5), (ii) transferência automática em 48 h sem solicitação (23.4; Anexo VI 6.3 e 7.1) e (iii) utilização dos valores 'mediante relatório fundamentado do Verificador Independente', que calcula o valor devido (23.4.1-23.4.2). O P6 descreve saque pela Concessionária após 'prazo de cura', e o P7 descreve ora a excussão automática, ora a notificação. O termo inicial, o legitimado e o procedimento de acionamento ficam indefinidos.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 e art. 8.º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C-201</w:t>
            </w:r>
          </w:p>
          <w:p>
            <w:pPr>
              <w:spacing w:after="40" w:line="240"/>
              <w:jc w:val="left"/>
            </w:pPr>
            <w:r>
              <w:rPr>
                <w:rFonts w:ascii="Times New Roman" w:cs="Times New Roman" w:eastAsia="Times New Roman" w:hAnsi="Times New Roman"/>
                <w:sz w:val="18"/>
                <w:szCs w:val="18"/>
              </w:rPr>
              <w:t xml:space="preserve">E3-097, E3-146, E3-057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 cl. 5.1 e 5.3, a (PDF p. 5-6), 6.3 e 7.1 (p. 7) × Contrato cl. 5.1.3.1, a (PDF p. 14), 9.6 (p. 21), 10.13.5.3 (p. 32), 12.5 (p. 34), 13.1.1 (p. 34-35), 13.5.7 (p. 36), 15.7.5 e 15.7.7 (p. 39), 23.4.1 (p. 53) e 27.5, ii (p. 63)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Retenções, deduções unilaterais e pagamento parcial previstos no Contrato não são instruções aceitas pelo agente (Anexo VI)</w:t>
            </w:r>
          </w:p>
          <w:p>
            <w:pPr>
              <w:spacing w:after="40" w:line="240"/>
              <w:jc w:val="left"/>
            </w:pPr>
            <w:r>
              <w:rPr>
                <w:rFonts w:ascii="Times New Roman" w:cs="Times New Roman" w:eastAsia="Times New Roman" w:hAnsi="Times New Roman"/>
                <w:sz w:val="18"/>
                <w:szCs w:val="18"/>
              </w:rPr>
              <w:t xml:space="preserve">O Contrato prevê retenções e deduções unilaterais do Poder Concedente (5.1.3.1, 9.6, 10.13.5.3, 12.5, 13.5.7, 27.5), dedução automática da TRCF (13.1.1), pagamento só da parcela incontroversa durante contestação de IQD (15.7.7) e cálculo do valor devido pelo VI (23.4.1). O Anexo VI só obriga o agente a cumprir instruções conjuntas, judiciais ou do mediador, não prevê pagamento parcial e determina pagamento ou execução da garantia em 48 h. Ou as retenções são inoperantes, ou o Poder Concedente as fará deixando de pagar, o que aciona a garantia. A cl. 5.3, a, do Anexo VI remete à cl. 5.2 em vez da 5.1, e a cl. 12.5 do Contrato importa regra de dedicação exclusiva de mão de obra.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incisos VI e X, e art. 8.º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C-202</w:t>
            </w:r>
          </w:p>
          <w:p>
            <w:pPr>
              <w:spacing w:after="40" w:line="240"/>
              <w:jc w:val="left"/>
            </w:pPr>
            <w:r>
              <w:rPr>
                <w:rFonts w:ascii="Times New Roman" w:cs="Times New Roman" w:eastAsia="Times New Roman" w:hAnsi="Times New Roman"/>
                <w:sz w:val="18"/>
                <w:szCs w:val="18"/>
              </w:rPr>
              <w:t xml:space="preserve">E3-111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23.5.1 (PDF p. 54) e 15.8.7 (p. 40); Anexo VI cl. 7.7.1 (PDF p. 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Recomposição do saldo sem fonte alternativa vinculada se o FPM falhar</w:t>
            </w:r>
          </w:p>
          <w:p>
            <w:pPr>
              <w:spacing w:after="40" w:line="240"/>
              <w:jc w:val="left"/>
            </w:pPr>
            <w:r>
              <w:rPr>
                <w:rFonts w:ascii="Times New Roman" w:cs="Times New Roman" w:eastAsia="Times New Roman" w:hAnsi="Times New Roman"/>
                <w:sz w:val="18"/>
                <w:szCs w:val="18"/>
              </w:rPr>
              <w:t xml:space="preserve">Se o repasse do FPM faltar ou for suspenso, a recomposição do saldo mínimo passa a depender de ato do Poder Concedente, sem fonte substituta vinculada, prazo próprio ou consequência específica além da suspensão de investimentos (15.8.7) e das hipóteses de rescisão. A garantia deixa de ser autoexecutável no cenário de restrição fiscal, que o P6 descreve com CAPAG C.</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C-203</w:t>
            </w:r>
          </w:p>
          <w:p>
            <w:pPr>
              <w:spacing w:after="40" w:line="240"/>
              <w:jc w:val="left"/>
            </w:pPr>
            <w:r>
              <w:rPr>
                <w:rFonts w:ascii="Times New Roman" w:cs="Times New Roman" w:eastAsia="Times New Roman" w:hAnsi="Times New Roman"/>
                <w:sz w:val="18"/>
                <w:szCs w:val="18"/>
              </w:rPr>
              <w:t xml:space="preserve">E3-145, E3-113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 cl. 3.1, 4.3 e 5.3, d (PDF p. 5-6) × Contrato cl. 1.3.14 (PDF p. 8) e 23.4.6 (p. 53); Anexo VI cl. 7.5 (p. 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Titularidade dos recursos da Conta Garantia contraditória e impenhorabilidade afirmada só por contrato</w:t>
            </w:r>
          </w:p>
          <w:p>
            <w:pPr>
              <w:spacing w:after="40" w:line="240"/>
              <w:jc w:val="left"/>
            </w:pPr>
            <w:r>
              <w:rPr>
                <w:rFonts w:ascii="Times New Roman" w:cs="Times New Roman" w:eastAsia="Times New Roman" w:hAnsi="Times New Roman"/>
                <w:sz w:val="18"/>
                <w:szCs w:val="18"/>
              </w:rPr>
              <w:t xml:space="preserve">A conta é aberta em nome do Município (Contrato 1.3.14; Anexo VI 3.1), mas os recursos seriam de propriedade da Concessionária até o valor inadimplido e 'patrimônio de afetação' (4.3), enquanto a instituição financeira deteria 'apenas a posse' (5.3, d). O Contrato declara o saldo impenhorável e incomunicável com o patrimônio municipal (23.4.6), mas cláusula contratual não vincula terceiros nem o Judiciário, e não se indica lei que institua a afetação. A indefinição repercute na oponibilidade a credores do Município (inclusive sequestro em precatórios) e na contabilização orçamentária.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incisos I e VI, da Lei n.º 11.079/2004; arts. 100 e 167, inciso IV, da CF/1988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C-204</w:t>
            </w:r>
          </w:p>
          <w:p>
            <w:pPr>
              <w:spacing w:after="40" w:line="240"/>
              <w:jc w:val="left"/>
            </w:pPr>
            <w:r>
              <w:rPr>
                <w:rFonts w:ascii="Times New Roman" w:cs="Times New Roman" w:eastAsia="Times New Roman" w:hAnsi="Times New Roman"/>
                <w:sz w:val="18"/>
                <w:szCs w:val="18"/>
              </w:rPr>
              <w:t xml:space="preserve">E3-147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 cl. 5 (título), 5.5 (PDF p. 5-6) e 11.1 (p. 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Renúncia do agente e procedimento de substituição não regulados</w:t>
            </w:r>
          </w:p>
          <w:p>
            <w:pPr>
              <w:spacing w:after="40" w:line="240"/>
              <w:jc w:val="left"/>
            </w:pPr>
            <w:r>
              <w:rPr>
                <w:rFonts w:ascii="Times New Roman" w:cs="Times New Roman" w:eastAsia="Times New Roman" w:hAnsi="Times New Roman"/>
                <w:sz w:val="18"/>
                <w:szCs w:val="18"/>
              </w:rPr>
              <w:t xml:space="preserve">O título da cl. 5 anuncia 'renúncia', mas não há regra de renúncia, aviso prévio, transferência de saldo ou nomeação de substituto; a destituição depende de decisão conjunta das partes (5.5). Em contrato de 30 anos, a continuidade da garantia depende da sucessão do agente.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C-206</w:t>
            </w:r>
          </w:p>
          <w:p>
            <w:pPr>
              <w:spacing w:after="40" w:line="240"/>
              <w:jc w:val="left"/>
            </w:pPr>
            <w:r>
              <w:rPr>
                <w:rFonts w:ascii="Times New Roman" w:cs="Times New Roman" w:eastAsia="Times New Roman" w:hAnsi="Times New Roman"/>
                <w:sz w:val="18"/>
                <w:szCs w:val="18"/>
              </w:rPr>
              <w:t xml:space="preserve">E1-045, E3-013, E7-051, E3-012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itens 6.1 (PDF p. 15), 6.3 (p. 16) e def. 1.1.36 (p. 9); Contrato cl. 6.1, 6.2, I a VI, e 6.4 (PDF p. 16), 15.6.1 (p. 38) e 41.1 (p. 78); P7 III.3 (PDF p. 28-29); Matriz RJ-05 (p. 28)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Prazo de 30 anos corre da assinatura, mas a eficácia depende de condições a cargo do PC sem prazo</w:t>
            </w:r>
          </w:p>
          <w:p>
            <w:pPr>
              <w:spacing w:after="40" w:line="240"/>
              <w:jc w:val="left"/>
            </w:pPr>
            <w:r>
              <w:rPr>
                <w:rFonts w:ascii="Times New Roman" w:cs="Times New Roman" w:eastAsia="Times New Roman" w:hAnsi="Times New Roman"/>
                <w:sz w:val="18"/>
                <w:szCs w:val="18"/>
              </w:rPr>
              <w:t xml:space="preserve">O prazo flui desde a assinatura, mas obrigações e remuneração só começam após a Ordem de Início, que depende de condições quase todas a cargo do Poder Concedente (agente de garantia, depósito de 2 contraprestações na Conta Garantia, designação de áreas, LPs, manuais). Não há prazo máximo para essas condições, suspensão da contagem do prazo, consequência pelo atraso imputável ao Poder Concedente nem critério de ressarcimento dos custos pré-OI da SPE (garantia de execução, seguros, ressarcimento de R$ 3,14 mi dos estudos). A única saída prevista é o distrato consensual 'sem culpa' (6.4). O P7 afirma que o desenho evita a fluência do prazo antes das condições de início, o que o texto da cl. 6.1 não reflete; o P6 pressupõe 357 meses de pagamento dentro dos 30 anos. A Matriz (RJ-05) cobre só parcialmente o atraso na cessão de áreas.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incisos I e III, e art. 8.º da Lei n.º 11.079/2004; art. 23, inciso V, da Lei n.º 8.987/1995</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C-209</w:t>
            </w:r>
          </w:p>
          <w:p>
            <w:pPr>
              <w:spacing w:after="40" w:line="240"/>
              <w:jc w:val="left"/>
            </w:pPr>
            <w:r>
              <w:rPr>
                <w:rFonts w:ascii="Times New Roman" w:cs="Times New Roman" w:eastAsia="Times New Roman" w:hAnsi="Times New Roman"/>
                <w:sz w:val="18"/>
                <w:szCs w:val="18"/>
              </w:rPr>
              <w:t xml:space="preserve">E4-078, E4-079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TO-20 (p. 17), SA-08 (p. 23), RJ-01 (p. 26) e SA-13 (p. 25-26)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Riscos rotulados 'Compartilhado' sem regra de partilha ou com consequências integralmente na concessionária</w:t>
            </w:r>
          </w:p>
          <w:p>
            <w:pPr>
              <w:spacing w:after="40" w:line="240"/>
              <w:jc w:val="left"/>
            </w:pPr>
            <w:r>
              <w:rPr>
                <w:rFonts w:ascii="Times New Roman" w:cs="Times New Roman" w:eastAsia="Times New Roman" w:hAnsi="Times New Roman"/>
                <w:sz w:val="18"/>
                <w:szCs w:val="18"/>
              </w:rPr>
              <w:t xml:space="preserve">A TO-20 (nova área de disposição antes de outubro/2028) é 'Compartilhado' com reequilíbrio 'parcial', sem definir a parcela de cada parte; o P6 prevê uso do Ecoparque até o Ano 4, além do vencimento da LAO. A SA-08 (descarte irregular e vetores, dependente de fiscalização pública), a RJ-01 (conformidade com PNRS e Marco do Saneamento) e a SA-13 (monitoramento pós-encerramento do Jirau por 20 anos) também são 'Compartilhado', mas as consequências preveem apenas sanção ou custo da concessionária, sem gatilho a seu favor. O P6 não tem custo de monitoramento do Jirau por 20 anos.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C-212</w:t>
            </w:r>
          </w:p>
          <w:p>
            <w:pPr>
              <w:spacing w:after="40" w:line="240"/>
              <w:jc w:val="left"/>
            </w:pPr>
            <w:r>
              <w:rPr>
                <w:rFonts w:ascii="Times New Roman" w:cs="Times New Roman" w:eastAsia="Times New Roman" w:hAnsi="Times New Roman"/>
                <w:sz w:val="18"/>
                <w:szCs w:val="18"/>
              </w:rPr>
              <w:t xml:space="preserve">E2-072, E5-054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item VII.2, § 3.º (PDF p. 17) e Tabela 10 (p. 18); Contrato cl. 8.6.1.2 a 8.6.1.2.4 (PDF p. 18-19) e 8.8, i (p. 19); P1 VII.2.7 (p. 93-95); P4 VI.2 (p. 27); Caderno Tabela 24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Vila Princesa: só a Avaliação Preliminar foi feita; escopo da remediação desconhecido e teto cobre só a intervenção</w:t>
            </w:r>
          </w:p>
          <w:p>
            <w:pPr>
              <w:spacing w:after="40" w:line="240"/>
              <w:jc w:val="left"/>
            </w:pPr>
            <w:r>
              <w:rPr>
                <w:rFonts w:ascii="Times New Roman" w:cs="Times New Roman" w:eastAsia="Times New Roman" w:hAnsi="Times New Roman"/>
                <w:sz w:val="18"/>
                <w:szCs w:val="18"/>
              </w:rPr>
              <w:t xml:space="preserve">Do rito GAC só a Avaliação Preliminar (E1, EcoRondônia/Neomax, 2024) foi concluída; investigação confirmatória, investigação detalhada e avaliação de risco ficam com a concessionária após a Ordem de Início (8.8, i), e o escopo da intervenção só será conhecido após a avaliação de risco (M12-M18). O teto (8.6.1.2) limita apenas as 'medidas de intervenção'; investigação, avaliação de risco, monitoramento de 10 anos, cercamento, comunicação e recuperação de APP ficam sem limite, e não está claro se a base do teto inclui as etapas de investigação. O excedente da intervenção, risco do Poder Concedente, não é quantificado como passivo fiscal.</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e art. 10, inciso I, alínea 'b', da Lei n.º 11.079/2004; art. 14, § 1.º, da Lei n.º 6.938/1981; art. 29 da Lei n.º 12.305/2010; Resolução CONAMA n.º 420/2009</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C-214</w:t>
            </w:r>
          </w:p>
          <w:p>
            <w:pPr>
              <w:spacing w:after="40" w:line="240"/>
              <w:jc w:val="left"/>
            </w:pPr>
            <w:r>
              <w:rPr>
                <w:rFonts w:ascii="Times New Roman" w:cs="Times New Roman" w:eastAsia="Times New Roman" w:hAnsi="Times New Roman"/>
                <w:sz w:val="18"/>
                <w:szCs w:val="18"/>
              </w:rPr>
              <w:t xml:space="preserve">E2-075, E5-059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10, etapa E5 (PDF p. 18); P4 Tabela 10, etapa E6 (p. 28) × Contrato cl. 8.6.1.2.2 e 8.6.1.2.4 (PDF p. 18-19)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Execução da intervenção: compartilhada com SEINFRA/SEMUSB (Anexo III, P4) × integral da concessionária, inclusive do excedente (Contrato)</w:t>
            </w:r>
          </w:p>
          <w:p>
            <w:pPr>
              <w:spacing w:after="40" w:line="240"/>
              <w:jc w:val="left"/>
            </w:pPr>
            <w:r>
              <w:rPr>
                <w:rFonts w:ascii="Times New Roman" w:cs="Times New Roman" w:eastAsia="Times New Roman" w:hAnsi="Times New Roman"/>
                <w:sz w:val="18"/>
                <w:szCs w:val="18"/>
              </w:rPr>
              <w:t xml:space="preserve">O Anexo III atribui a etapa de medidas de intervenção a 'SEINFRA + Concessionária' (E5, M18-M48) e o P4 a 'SEMUSB + Concessionária' (E6, M1-M36), sem dividir tarefas. O Contrato atribui a execução integral à concessionária, inclusive da parte que exceder o teto, cujo custo só é recomposto depois, via Cláusula 20 ou 'aporte público', após apuração com base em relatórios aprovados pelo órgão ambiental e pelo VI (8.6.1.2.2). A concessionária executa e financia o excedente antes de qualquer recomposição, sem prazo para a decisão. Sobre o 'aporte público' sem autorização no Edital, ver E3-034/E4-091 (REMUNERACAO_REAJUSTE).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9.º, § 4.º, da Lei n.º 8.987/1995 (por analogia; não consta do rol do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C-216</w:t>
            </w:r>
          </w:p>
          <w:p>
            <w:pPr>
              <w:spacing w:after="40" w:line="240"/>
              <w:jc w:val="left"/>
            </w:pPr>
            <w:r>
              <w:rPr>
                <w:rFonts w:ascii="Times New Roman" w:cs="Times New Roman" w:eastAsia="Times New Roman" w:hAnsi="Times New Roman"/>
                <w:sz w:val="18"/>
                <w:szCs w:val="18"/>
              </w:rPr>
              <w:t xml:space="preserve">E4-068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TO-02, consequências (p. 3-4)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Matriz TO-02 inverte o sentido do reequilíbrio no risco do Jirau ('reembolso ao Poder Concedente')</w:t>
            </w:r>
          </w:p>
          <w:p>
            <w:pPr>
              <w:spacing w:after="40" w:line="240"/>
              <w:jc w:val="left"/>
            </w:pPr>
            <w:r>
              <w:rPr>
                <w:rFonts w:ascii="Times New Roman" w:cs="Times New Roman" w:eastAsia="Times New Roman" w:hAnsi="Times New Roman"/>
                <w:sz w:val="18"/>
                <w:szCs w:val="18"/>
              </w:rPr>
              <w:t xml:space="preserve">O risco de não reativação do Jirau até o Mês 24 é alocado ao Poder Concedente, mas a consequência fala em reembolso 'ao' Poder Concedente dos custos adicionais, apurado o líquido com investimentos não realizados. Fica ambíguo quem reembolsa quem.</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C-217</w:t>
            </w:r>
          </w:p>
          <w:p>
            <w:pPr>
              <w:spacing w:after="40" w:line="240"/>
              <w:jc w:val="left"/>
            </w:pPr>
            <w:r>
              <w:rPr>
                <w:rFonts w:ascii="Times New Roman" w:cs="Times New Roman" w:eastAsia="Times New Roman" w:hAnsi="Times New Roman"/>
                <w:sz w:val="18"/>
                <w:szCs w:val="18"/>
              </w:rPr>
              <w:t xml:space="preserve">E2-046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Tabela 3 'Passivo Centro de Triagem' (PDF p. 10) e IE6 (p. 20); Contrato cl. 8.6.1 e 8.6.1.1 (PDF p. 18); P6 Tabela 7, item 7.2.1 (p. 40); Anexo III Tabela 9 (p. 16) e Tabela 16 (p. 27)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Desativação e recuperação do Centro de Triagem: medida no IQS e orçada, mas ausente do Caderno e fora das exceções do Contrato</w:t>
            </w:r>
          </w:p>
          <w:p>
            <w:pPr>
              <w:spacing w:after="40" w:line="240"/>
              <w:jc w:val="left"/>
            </w:pPr>
            <w:r>
              <w:rPr>
                <w:rFonts w:ascii="Times New Roman" w:cs="Times New Roman" w:eastAsia="Times New Roman" w:hAnsi="Times New Roman"/>
                <w:sz w:val="18"/>
                <w:szCs w:val="18"/>
              </w:rPr>
              <w:t xml:space="preserve">O Anexo D mede como indicador estrutural (IE6) a desativação do Centro de Triagem e a recuperação da área (GAC) da Vila Princesa, e o P6 orça R$ 0,8 mi. O Caderno não prevê esse encargo, e o Contrato (8.6.1) atribui ao Poder Concedente os passivos preexistentes, ressalvando só a Lixeira da Vila Princesa e o Jirau. Desativar o galpão da CATANORTE também conflita com a obrigação do Anexo III de contratar a cooperativa para triagem a partir do Mês 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36, § 1.º,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C-219</w:t>
            </w:r>
          </w:p>
          <w:p>
            <w:pPr>
              <w:spacing w:after="40" w:line="240"/>
              <w:jc w:val="left"/>
            </w:pPr>
            <w:r>
              <w:rPr>
                <w:rFonts w:ascii="Times New Roman" w:cs="Times New Roman" w:eastAsia="Times New Roman" w:hAnsi="Times New Roman"/>
                <w:sz w:val="18"/>
                <w:szCs w:val="18"/>
              </w:rPr>
              <w:t xml:space="preserve">E2-088, E5-027, E5-028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item X e Tabela 14 (PDF p. 25-26); P4 VI.3 e Tabela 11 (p. 28-29); Caderno Tabela 32 (PDF p. 36-37); Contrato cl. 8.9 (PDF p. 20); Matriz TO-04 (p. 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Gatilhos do PCOS divergentes entre Anexo III, P4 e Caderno; cheia sem gatilho; estação única de referência</w:t>
            </w:r>
          </w:p>
          <w:p>
            <w:pPr>
              <w:spacing w:after="40" w:line="240"/>
              <w:jc w:val="left"/>
            </w:pPr>
            <w:r>
              <w:rPr>
                <w:rFonts w:ascii="Times New Roman" w:cs="Times New Roman" w:eastAsia="Times New Roman" w:hAnsi="Times New Roman"/>
                <w:sz w:val="18"/>
                <w:szCs w:val="18"/>
              </w:rPr>
              <w:t xml:space="preserve">O texto do Anexo III e do P4 diz adotar as cotas da Defesa Civil (alerta 5,0 m, emergência 4,0 m, calamidade abaixo de 2,0 m), mas as tabelas usam faixas acima de 10 m, 7-10 m, 4-7 m e abaixo de 4 m, só para estiagem. O Caderno (Tabela 32), que prevalece, define os níveis por critérios qualitativos e inclui a cheia. A cl. 8.9 do Contrato manda acionar o PCOS 'de forma automática conforme as cotas hidrométricas de referência', e a cobertura mínima exigida varia por nível (100/95/90/80%). Nenhum documento fixa gatilho numérico para cheia, e o P4 não demonstra a correlação entre a estação de Porto Velho e os pontos de atracação a até ~100 km a jusante e no Rio Ji-Paraná.</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incisos III e VII, da Lei n.º 11.079/2004; art. 10-A, inciso IV, da Lei n.º 11.445/2007;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C-220</w:t>
            </w:r>
          </w:p>
          <w:p>
            <w:pPr>
              <w:spacing w:after="40" w:line="240"/>
              <w:jc w:val="left"/>
            </w:pPr>
            <w:r>
              <w:rPr>
                <w:rFonts w:ascii="Times New Roman" w:cs="Times New Roman" w:eastAsia="Times New Roman" w:hAnsi="Times New Roman"/>
                <w:sz w:val="18"/>
                <w:szCs w:val="18"/>
              </w:rPr>
              <w:t xml:space="preserve">E4-069, E4-070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TO-04 (p. 6), TO-16 (p. 14-15) e RJ-04 (p. 28); Contrato cl. 19.5 (PDF p. 46) e 34.4.1 (p. 72)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Reequilíbrio por estiagem exige cota &lt; 2 m por 45 dias + decreto; gatilhos distintos em TO-04, TO-16 e RJ-04; 'segurável' indefinido</w:t>
            </w:r>
          </w:p>
          <w:p>
            <w:pPr>
              <w:spacing w:after="40" w:line="240"/>
              <w:jc w:val="left"/>
            </w:pPr>
            <w:r>
              <w:rPr>
                <w:rFonts w:ascii="Times New Roman" w:cs="Times New Roman" w:eastAsia="Times New Roman" w:hAnsi="Times New Roman"/>
                <w:sz w:val="18"/>
                <w:szCs w:val="18"/>
              </w:rPr>
              <w:t xml:space="preserve">A TO-04 classifica a estiagem extrema como 'Muito provável (5)', registra cotas de 0,25 m (2024), 1,20 m (2023) e 1,88 m (2020) e afirma que a sazonalidade não é caso fortuito, mas condiciona o reequilíbrio, com invocação do art. 124, II, 'd', da Lei 14.133 (álea extraordinária), a cota &lt; 2 m por mais de 45 dias cumulada com decreto de calamidade, ato discricionário do poder público. Para eventos que se sobrepõem, a TO-16 exige superar os 4 níveis do PCOS, decreto e ao menos 1 dia de paralisação, e a RJ-04 exige decreto e evento não segurável. O critério de 'segurável' (TO-16; Contrato 19.5 e 34.4.1) não é definido (cobertura existente a qualquer custo ou em condições ordinárias de mercado), e a TO-16 usa 'contratada' em vez de 'concessionária'.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124, inciso II, alínea 'd',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C-221</w:t>
            </w:r>
          </w:p>
          <w:p>
            <w:pPr>
              <w:spacing w:after="40" w:line="240"/>
              <w:jc w:val="left"/>
            </w:pPr>
            <w:r>
              <w:rPr>
                <w:rFonts w:ascii="Times New Roman" w:cs="Times New Roman" w:eastAsia="Times New Roman" w:hAnsi="Times New Roman"/>
                <w:sz w:val="18"/>
                <w:szCs w:val="18"/>
              </w:rPr>
              <w:t xml:space="preserve">E5-026, E5-029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Sumário (p. 6), I.1 (p. 7), Tab. 2 (p. 12), Tab. 4 (p. 14), Tab. 6 (p. 19), V.4 (p. 24), VI.3 e Tab. 11 (p. 29); P1 p. 13, 14, 38 e 102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Envelope hidrológico divergente nos estudos (amplitude 'até 12 m' × 0,25-19,73 m; períodos secos distintos)</w:t>
            </w:r>
          </w:p>
          <w:p>
            <w:pPr>
              <w:spacing w:after="40" w:line="240"/>
              <w:jc w:val="left"/>
            </w:pPr>
            <w:r>
              <w:rPr>
                <w:rFonts w:ascii="Times New Roman" w:cs="Times New Roman" w:eastAsia="Times New Roman" w:hAnsi="Times New Roman"/>
                <w:sz w:val="18"/>
                <w:szCs w:val="18"/>
              </w:rPr>
              <w:t xml:space="preserve">O P4 qualifica como estrutural uma variação 'de até 12 metros', mas o mesmo caderno informa extremos de 0,25 m (2024) e 19,73 m (2014), amplitude de ~19,5 m; no P1, os 'mais de 12 metros' referem-se ao Rio Abunã. Os períodos sazonais também divergem: seca em jun-ago ou mai-set e chuvas em out-abr ou nov-abr (P1), estiagem em jun-nov (P4 Tab. 2) e contingência severa em jun-set (P4 Tab. 11). Essas premissas fundamentam a alocação do risco hidrológico à concessionária e o planejamento do PCOS.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C-222</w:t>
            </w:r>
          </w:p>
          <w:p>
            <w:pPr>
              <w:spacing w:after="40" w:line="240"/>
              <w:jc w:val="left"/>
            </w:pPr>
            <w:r>
              <w:rPr>
                <w:rFonts w:ascii="Times New Roman" w:cs="Times New Roman" w:eastAsia="Times New Roman" w:hAnsi="Times New Roman"/>
                <w:sz w:val="18"/>
                <w:szCs w:val="18"/>
              </w:rPr>
              <w:t xml:space="preserve">E4-084, E3-072, E3-082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de Riscos (conjunto TO-01 a EF-07, PDF p. 3-33); Contrato cl. 19.1 a 19.4 e 20.1 (PDF p. 45-46) e 10.3.9 (p. 28)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Riscos sem alocação na Matriz (juros/financiamento, câmbio, mercado de CDR e carbono, desapropriação, extinção etc.)</w:t>
            </w:r>
          </w:p>
          <w:p>
            <w:pPr>
              <w:spacing w:after="40" w:line="240"/>
              <w:jc w:val="left"/>
            </w:pPr>
            <w:r>
              <w:rPr>
                <w:rFonts w:ascii="Times New Roman" w:cs="Times New Roman" w:eastAsia="Times New Roman" w:hAnsi="Times New Roman"/>
                <w:sz w:val="18"/>
                <w:szCs w:val="18"/>
              </w:rPr>
              <w:t xml:space="preserve">As cl. 19.2 a 19.4 não alocam riscos específicos e remetem à Matriz. No texto da Matriz não há ocorrência de 'câmbio', 'juros', 'inflação', 'financiamento', 'CDR', 'carbono', 'desapropriação', 'extinção', 'arqueológ' ou 'obsolescência'. Ficam sem alocação, entre outros: disponibilidade e custo do financiamento; câmbio de equipamentos importados (separadores ópticos, autoclave); mercado e preço de CDR, composto e créditos de carbono (o Contrato obriga a produzir CDR sem regra para o material não vendido); desapropriação; atraso na Ordem de Início por condições do Poder Concedente; instalação efetiva da ARDPV; extinção antecipada; achados arqueológicos; obsolescência tecnológica. Esses riscos ficam sob as regras residuais conflitantes do Contrato (ver G3-056).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92, inciso IX, da Lei n.º 14.133/2021; art. 10-A, inciso IV,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C-223</w:t>
            </w:r>
          </w:p>
          <w:p>
            <w:pPr>
              <w:spacing w:after="40" w:line="240"/>
              <w:jc w:val="left"/>
            </w:pPr>
            <w:r>
              <w:rPr>
                <w:rFonts w:ascii="Times New Roman" w:cs="Times New Roman" w:eastAsia="Times New Roman" w:hAnsi="Times New Roman"/>
                <w:sz w:val="18"/>
                <w:szCs w:val="18"/>
              </w:rPr>
              <w:t xml:space="preserve">E4-063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Sumário (PDF p. 6), I.2, objetivo (vi) (p. 7) e I.3 (p. 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Matriz de Riscos Econômico-Financeiros anunciada no P6 e não apresentada</w:t>
            </w:r>
          </w:p>
          <w:p>
            <w:pPr>
              <w:spacing w:after="40" w:line="240"/>
              <w:jc w:val="left"/>
            </w:pPr>
            <w:r>
              <w:rPr>
                <w:rFonts w:ascii="Times New Roman" w:cs="Times New Roman" w:eastAsia="Times New Roman" w:hAnsi="Times New Roman"/>
                <w:sz w:val="18"/>
                <w:szCs w:val="18"/>
              </w:rPr>
              <w:t xml:space="preserve">O Sumário e os objetivos do P6 anunciam uma Matriz de Riscos Econômico-Financeiros com criticidade e mitigação, que não consta do índice nem do corpo do documento. Também não há conexão explícita entre as premissas do modelo (o que está precificado) e a alocação do Anexo V.</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e 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C-225</w:t>
            </w:r>
          </w:p>
          <w:p>
            <w:pPr>
              <w:spacing w:after="40" w:line="240"/>
              <w:jc w:val="left"/>
            </w:pPr>
            <w:r>
              <w:rPr>
                <w:rFonts w:ascii="Times New Roman" w:cs="Times New Roman" w:eastAsia="Times New Roman" w:hAnsi="Times New Roman"/>
                <w:sz w:val="18"/>
                <w:szCs w:val="18"/>
              </w:rPr>
              <w:t xml:space="preserve">E4-072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TO-10 (p. 10) × RJ-03 (p. 27) e SA-10 (p. 24); Contrato Cláusula 19ª</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Metas de reciclagem 'compartilhadas' sem reequilíbrio nem por fato do príncipe (TO-10 × RJ-03/SA-10)</w:t>
            </w:r>
          </w:p>
          <w:p>
            <w:pPr>
              <w:spacing w:after="40" w:line="240"/>
              <w:jc w:val="left"/>
            </w:pPr>
            <w:r>
              <w:rPr>
                <w:rFonts w:ascii="Times New Roman" w:cs="Times New Roman" w:eastAsia="Times New Roman" w:hAnsi="Times New Roman"/>
                <w:sz w:val="18"/>
                <w:szCs w:val="18"/>
              </w:rPr>
              <w:t xml:space="preserve">Nas metas de recicláveis e de coleta seletiva (TO-10), a alocação é 'Compartilhado', mas a única proteção da concessionária é a isenção de sanção ou de desconto do IQD, sem reequilíbrio nem mesmo por fato do príncipe. A RJ-03 e a SA-10 alocam o fato do príncipe ao Poder Concedente, com reequilíbrio.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C-226</w:t>
            </w:r>
          </w:p>
          <w:p>
            <w:pPr>
              <w:spacing w:after="40" w:line="240"/>
              <w:jc w:val="left"/>
            </w:pPr>
            <w:r>
              <w:rPr>
                <w:rFonts w:ascii="Times New Roman" w:cs="Times New Roman" w:eastAsia="Times New Roman" w:hAnsi="Times New Roman"/>
                <w:sz w:val="18"/>
                <w:szCs w:val="18"/>
              </w:rPr>
              <w:t xml:space="preserve">E4-083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EF-04 (p. 30)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Risco de ultrapassagem do limite de 5% da RCL alocado ao PC sem consequência contratual</w:t>
            </w:r>
          </w:p>
          <w:p>
            <w:pPr>
              <w:spacing w:after="40" w:line="240"/>
              <w:jc w:val="left"/>
            </w:pPr>
            <w:r>
              <w:rPr>
                <w:rFonts w:ascii="Times New Roman" w:cs="Times New Roman" w:eastAsia="Times New Roman" w:hAnsi="Times New Roman"/>
                <w:sz w:val="18"/>
                <w:szCs w:val="18"/>
              </w:rPr>
              <w:t xml:space="preserve">A EF-04 classifica o risco como 'Improvável (2)', embora o P6 não projete a RCL (ver E4-014, MODELAGEM_ECONOMICA). A alocação ao Poder Concedente não vem acompanhada de efeito contratual, mitigação ou relação com a Conta Garantia.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28 e art. 5.º, inciso VI,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C-228</w:t>
            </w:r>
          </w:p>
          <w:p>
            <w:pPr>
              <w:spacing w:after="40" w:line="240"/>
              <w:jc w:val="left"/>
            </w:pPr>
            <w:r>
              <w:rPr>
                <w:rFonts w:ascii="Times New Roman" w:cs="Times New Roman" w:eastAsia="Times New Roman" w:hAnsi="Times New Roman"/>
                <w:sz w:val="18"/>
                <w:szCs w:val="18"/>
              </w:rPr>
              <w:t xml:space="preserve">E3-053, E4-067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15.5.2.2 (PDF p. 38) × Matriz TO-01 (p. 3) e TO-06 (p. 7-8)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Risco de demanda: Parcela B liquidada por volume (risco do PC) × banda 'sugerida' de ±10% da Matriz (risco da concessionária)</w:t>
            </w:r>
          </w:p>
          <w:p>
            <w:pPr>
              <w:spacing w:after="40" w:line="240"/>
              <w:jc w:val="left"/>
            </w:pPr>
            <w:r>
              <w:rPr>
                <w:rFonts w:ascii="Times New Roman" w:cs="Times New Roman" w:eastAsia="Times New Roman" w:hAnsi="Times New Roman"/>
                <w:sz w:val="18"/>
                <w:szCs w:val="18"/>
              </w:rPr>
              <w:t xml:space="preserve">Se a Parcela B é liquidada por volume medido, a variação de demanda já se transfere ao pagamento (risco do Poder Concedente); a Matriz trata a variação como risco da concessionária dentro de banda de ±10%, com reequilíbrio fora dela por 6 meses consecutivos, medida contra a projeção do P3. A justificativa mantém a linguagem de recomendação ('sugere-se'), a mitigação cita 'revisão tarifária' sem tarifa ao usuário, e não se define a métrica (t/mês coletada, processada ou residual) nem a base (P3 diverge do P6). O Contrato não reproduz a banda. Sobre a falta de preço unitário da Parcela B, ver E3-052/E4-010 (REMUNERACAO_REAJUSTE).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incisos III e IV, da Lei n.º 11.079/2004; art. 92, inciso IX,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C-229</w:t>
            </w:r>
          </w:p>
          <w:p>
            <w:pPr>
              <w:spacing w:after="40" w:line="240"/>
              <w:jc w:val="left"/>
            </w:pPr>
            <w:r>
              <w:rPr>
                <w:rFonts w:ascii="Times New Roman" w:cs="Times New Roman" w:eastAsia="Times New Roman" w:hAnsi="Times New Roman"/>
                <w:sz w:val="18"/>
                <w:szCs w:val="18"/>
              </w:rPr>
              <w:t xml:space="preserve">E3-064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20.7 (PDF p. 48) × 17.1 e 17.2 (p. 41) e 19.1 (p. 45)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Revisão ordinária autorizada a alterar a alocação de riscos, sem critérios</w:t>
            </w:r>
          </w:p>
          <w:p>
            <w:pPr>
              <w:spacing w:after="40" w:line="240"/>
              <w:jc w:val="left"/>
            </w:pPr>
            <w:r>
              <w:rPr>
                <w:rFonts w:ascii="Times New Roman" w:cs="Times New Roman" w:eastAsia="Times New Roman" w:hAnsi="Times New Roman"/>
                <w:sz w:val="18"/>
                <w:szCs w:val="18"/>
              </w:rPr>
              <w:t xml:space="preserve">A ressalva permite reabrir a alocação de riscos na revisão ordinária quinquenal, sem critérios, limites ou procedimento. A cl. 17.1 descreve a revisão ordinária como avaliação de desempenho, metas e tecnologia, e a cl. 17.2 limita alterações da CMM ao reequilíbrio; a relação entre as três cláusulas não é definida.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124, inciso II, alínea 'd',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C-234</w:t>
            </w:r>
          </w:p>
          <w:p>
            <w:pPr>
              <w:spacing w:after="40" w:line="240"/>
              <w:jc w:val="left"/>
            </w:pPr>
            <w:r>
              <w:rPr>
                <w:rFonts w:ascii="Times New Roman" w:cs="Times New Roman" w:eastAsia="Times New Roman" w:hAnsi="Times New Roman"/>
                <w:sz w:val="18"/>
                <w:szCs w:val="18"/>
              </w:rPr>
              <w:t xml:space="preserve">E3-021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4.6 (PDF p. 13), 10.2.8.4 a 10.2.8.6 (p. 24) e 13.3 (p. 35) × Matriz RJ-03 (p. 27); Contrato 20.1.2, ii e iii (p. 46-47)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Risco regulatório: limiares restritivos do Contrato ('significativa', 'impassível de amortização') × Matriz RJ-03</w:t>
            </w:r>
          </w:p>
          <w:p>
            <w:pPr>
              <w:spacing w:after="40" w:line="240"/>
              <w:jc w:val="left"/>
            </w:pPr>
            <w:r>
              <w:rPr>
                <w:rFonts w:ascii="Times New Roman" w:cs="Times New Roman" w:eastAsia="Times New Roman" w:hAnsi="Times New Roman"/>
                <w:sz w:val="18"/>
                <w:szCs w:val="18"/>
              </w:rPr>
              <w:t xml:space="preserve">A Matriz (RJ-03) aloca ao Poder Concedente o impacto de ato normativo dos três entes. O Contrato exige alteração 'significativa' dos encargos para avaliar o pleito (4.6), só admite reequilíbrio por atualização tecnológica se o investimento for 'totalmente imprevisto' e 'impassível de amortização' no prazo remanescente (10.2.8.6) e dá à concessionária 10 dias úteis para cumprir novas determinações da ARDPV sem menção a reequilíbrio (13.3).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124, inciso II, alínea 'd', da Lei n.º 14.133/2021; art. 9.º, § 4.º, da Lei n.º 8.987/1995 (por analogia; não consta do rol do art. 3.º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C-235</w:t>
            </w:r>
          </w:p>
          <w:p>
            <w:pPr>
              <w:spacing w:after="40" w:line="240"/>
              <w:jc w:val="left"/>
            </w:pPr>
            <w:r>
              <w:rPr>
                <w:rFonts w:ascii="Times New Roman" w:cs="Times New Roman" w:eastAsia="Times New Roman" w:hAnsi="Times New Roman"/>
                <w:sz w:val="18"/>
                <w:szCs w:val="18"/>
              </w:rPr>
              <w:t xml:space="preserve">E4-081, E7-055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20.9 (PDF p. 48) e 10.2.8 (p. 24); Matriz RJ-03 (p. 27); P7 IV.4 (PDF p. 38) e II.7 (p. 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Exclusão de reequilíbrio para exigências regulatórias ligadas a 'serviço adequado' (cl. 20.9; RJ-03), combinada com atualidade dinâmica</w:t>
            </w:r>
          </w:p>
          <w:p>
            <w:pPr>
              <w:spacing w:after="40" w:line="240"/>
              <w:jc w:val="left"/>
            </w:pPr>
            <w:r>
              <w:rPr>
                <w:rFonts w:ascii="Times New Roman" w:cs="Times New Roman" w:eastAsia="Times New Roman" w:hAnsi="Times New Roman"/>
                <w:sz w:val="18"/>
                <w:szCs w:val="18"/>
              </w:rPr>
              <w:t xml:space="preserve">A cl. 20.9 e a RJ-03 excluem do reequilíbrio a exigência 'razoável' da agência para manter serviço adequado, conceito aberto que abrange regularidade, continuidade, eficiência, segurança, atualidade e generalidade; combinada com a obrigação dinâmica de atualidade tecnológica (10.2.8), normas novas da ARDPV com custo podem ser enquadradas na exceção, o que reduz o alcance da alocação do fato do príncipe ao Poder Concedente. O fundamento citado (art. 6.º da Lei 8.987) não está entre os dispositivos aplicáveis à concessão administrativa pelo art. 3.º da Lei 11.079. A cl. 10.2.33.5 também fixa a CS-01 pela ARDPV sem reequilíbrio.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incisos III e V, e art. 3.º da Lei n.º 11.079/2004; arts. 124, inciso II, alínea 'd', e 130 da Lei n.º 14.133/2021; art. 10-A, inciso IV,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C-236</w:t>
            </w:r>
          </w:p>
          <w:p>
            <w:pPr>
              <w:spacing w:after="40" w:line="240"/>
              <w:jc w:val="left"/>
            </w:pPr>
            <w:r>
              <w:rPr>
                <w:rFonts w:ascii="Times New Roman" w:cs="Times New Roman" w:eastAsia="Times New Roman" w:hAnsi="Times New Roman"/>
                <w:sz w:val="18"/>
                <w:szCs w:val="18"/>
              </w:rPr>
              <w:t xml:space="preserve">E3-069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10.2.25.1 (PDF p. 25) × 20.1.2, ii (p. 46) e 20.10.2 (p. 49)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Risco tributário: revisão facultativa ('poderá') e, na reforma do consumo, condicionada a extrapolar a álea ordinária</w:t>
            </w:r>
          </w:p>
          <w:p>
            <w:pPr>
              <w:spacing w:after="40" w:line="240"/>
              <w:jc w:val="left"/>
            </w:pPr>
            <w:r>
              <w:rPr>
                <w:rFonts w:ascii="Times New Roman" w:cs="Times New Roman" w:eastAsia="Times New Roman" w:hAnsi="Times New Roman"/>
                <w:sz w:val="18"/>
                <w:szCs w:val="18"/>
              </w:rPr>
              <w:t xml:space="preserve">A cl. 20.1.2, ii, arrola a criação ou alteração de tributos após a proposta como causa de revisão, 'em conformidade com' o art. 9.º, § 3.º, da Lei 8.987, enquanto a cl. 10.2.25.1 diz que novo regime fiscal 'poderá' ensejar reequilíbrio. Para a reforma tributária do consumo (IBS/CBS), a cl. 20.10.2 exige, além da prova do nexo, que o impacto extrapole a álea ordinária e não esteja neutralizado por reajuste ou revisão. A lei prevê revisão sempre que comprovado o impacto, sem exigência de extrapolar a álea ordinária.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134 da Lei n.º 14.133/2021 (aplicação subsidiária, art. 186); art. 9.º, § 3.º, da Lei n.º 8.987/1995 (aplicação à concessão administrativa a verificar, pois não consta do art. 3.º da Lei n.º 11.079/2004); EC n.º 132/2023 e LC n.º 214/2025</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C-239</w:t>
            </w:r>
          </w:p>
          <w:p>
            <w:pPr>
              <w:spacing w:after="40" w:line="240"/>
              <w:jc w:val="left"/>
            </w:pPr>
            <w:r>
              <w:rPr>
                <w:rFonts w:ascii="Times New Roman" w:cs="Times New Roman" w:eastAsia="Times New Roman" w:hAnsi="Times New Roman"/>
                <w:sz w:val="18"/>
                <w:szCs w:val="18"/>
              </w:rPr>
              <w:t xml:space="preserve">E3-091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12.4 (PDF p. 34)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Contrato de concessão comina nulidade a contratos privados com fornecedores</w:t>
            </w:r>
          </w:p>
          <w:p>
            <w:pPr>
              <w:spacing w:after="40" w:line="240"/>
              <w:jc w:val="left"/>
            </w:pPr>
            <w:r>
              <w:rPr>
                <w:rFonts w:ascii="Times New Roman" w:cs="Times New Roman" w:eastAsia="Times New Roman" w:hAnsi="Times New Roman"/>
                <w:sz w:val="18"/>
                <w:szCs w:val="18"/>
              </w:rPr>
              <w:t xml:space="preserve">A consequência de nulidade de negócio entre a SPE e fornecedores, terceiros ao contrato de concessão, não pode ser instituída por este; o efeito útil (continuidade dos serviços na extinção antecipada) dependeria de obrigação da concessionária com sanção própria.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C-240</w:t>
            </w:r>
          </w:p>
          <w:p>
            <w:pPr>
              <w:spacing w:after="40" w:line="240"/>
              <w:jc w:val="left"/>
            </w:pPr>
            <w:r>
              <w:rPr>
                <w:rFonts w:ascii="Times New Roman" w:cs="Times New Roman" w:eastAsia="Times New Roman" w:hAnsi="Times New Roman"/>
                <w:sz w:val="18"/>
                <w:szCs w:val="18"/>
              </w:rPr>
              <w:t xml:space="preserve">E1-093, E3-094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item 20.1.4 (PDF p. 49) e 12.2.3 (p. 31); Contrato cl. 9.5, 9.6 (PDF p. 21), 22.1 e 22.1.1 (p. 51)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Base e reajuste da garantia de execução indefinidos ('valor anual do contrato'; 'Contraprestação Anual Máxima')</w:t>
            </w:r>
          </w:p>
          <w:p>
            <w:pPr>
              <w:spacing w:after="40" w:line="240"/>
              <w:jc w:val="left"/>
            </w:pPr>
            <w:r>
              <w:rPr>
                <w:rFonts w:ascii="Times New Roman" w:cs="Times New Roman" w:eastAsia="Times New Roman" w:hAnsi="Times New Roman"/>
                <w:sz w:val="18"/>
                <w:szCs w:val="18"/>
              </w:rPr>
              <w:t xml:space="preserve">O Edital só remete ao Contrato. O Contrato fixa 10% do 'valor anual do contrato' sem defini-lo: com ramp-up, o valor anual varia nos Anos 1 a 3, e não se sabe se a base é a CMM × 12 da proposta (~R$ 7,81 mi de garantia no regime pleno), a média (Valor do Contrato/30) ou a CME. O reajuste remete à 'Contraprestação Anual Máxima', termo não definido (22.1.1), enquanto a cl. 9.6 menciona a 'Contraprestação Mensal Efetiva'.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96, caput, art. 98, parágrafo único, e art. 92, inciso XII, da Lei n.º 14.133/2021; art. 5.º, inciso VIII,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C-241</w:t>
            </w:r>
          </w:p>
          <w:p>
            <w:pPr>
              <w:spacing w:after="40" w:line="240"/>
              <w:jc w:val="left"/>
            </w:pPr>
            <w:r>
              <w:rPr>
                <w:rFonts w:ascii="Times New Roman" w:cs="Times New Roman" w:eastAsia="Times New Roman" w:hAnsi="Times New Roman"/>
                <w:sz w:val="18"/>
                <w:szCs w:val="18"/>
              </w:rPr>
              <w:t xml:space="preserve">E3-095, E1-093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9.5, a a d (PDF p. 21) × 22.2, i a iii (p. 51); P7 V.7 (PDF p. 42)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Modalidades da garantia de execução divergentes: quatro (cl. 9.5, com título de capitalização) × três (cl. 22.2)</w:t>
            </w:r>
          </w:p>
          <w:p>
            <w:pPr>
              <w:spacing w:after="40" w:line="240"/>
              <w:jc w:val="left"/>
            </w:pPr>
            <w:r>
              <w:rPr>
                <w:rFonts w:ascii="Times New Roman" w:cs="Times New Roman" w:eastAsia="Times New Roman" w:hAnsi="Times New Roman"/>
                <w:sz w:val="18"/>
                <w:szCs w:val="18"/>
              </w:rPr>
              <w:t xml:space="preserve">A cl. 9.5 admite as quatro modalidades do art. 96, § 1.º, da Lei 14.133, inclusive título de capitalização; a cl. 22.2 e o P7 admitem apenas três. A cl. 9.5 também restringe o seguro-garantia a seguradora com 'grau de investimento', requisito ausente da cl. 22.2. A escolha da modalidade cabe ao contratado.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96, § 1.º, incisos I a IV,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C-242</w:t>
            </w:r>
          </w:p>
          <w:p>
            <w:pPr>
              <w:spacing w:after="40" w:line="240"/>
              <w:jc w:val="left"/>
            </w:pPr>
            <w:r>
              <w:rPr>
                <w:rFonts w:ascii="Times New Roman" w:cs="Times New Roman" w:eastAsia="Times New Roman" w:hAnsi="Times New Roman"/>
                <w:sz w:val="18"/>
                <w:szCs w:val="18"/>
              </w:rPr>
              <w:t xml:space="preserve">E3-098, E4-034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21.1.6.1 e 21.1.7 (PDF p. 50); P6 Tabela 13 (PDF p. 45-46); Caderno XI.1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Importâncias seguradas mínimas 'por ativo' inexistentes; P6 só traz prêmios patrimoniais, sem risco de engenharia e RC</w:t>
            </w:r>
          </w:p>
          <w:p>
            <w:pPr>
              <w:spacing w:after="40" w:line="240"/>
              <w:jc w:val="left"/>
            </w:pPr>
            <w:r>
              <w:rPr>
                <w:rFonts w:ascii="Times New Roman" w:cs="Times New Roman" w:eastAsia="Times New Roman" w:hAnsi="Times New Roman"/>
                <w:sz w:val="18"/>
                <w:szCs w:val="18"/>
              </w:rPr>
              <w:t xml:space="preserve">Nenhum anexo traz importância segurada por ativo. O único quadro (P6 Tabela 13) lista custo anual de prêmio por ativo (total calculado de R$ 2,42 mi/ano, incluindo 'Ônibus Escolar'), sem prêmios de risco de engenharia e de responsabilidade civil exigidos pela cl. 21.1.6.1 e sem ativos como ETRs, ecopontos e incinerador. Se aplicada à Tabela 13, a cl. 21.1.7 tomaria prêmios como piso de importância segurada (ex.: R$ 633,6 mil para a CTR). O critério de segurabilidade para força maior (19.5, 34.4.1) depende dessas coberturas.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23, inciso V, da Lei n.º 8.987/1995;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C-243</w:t>
            </w:r>
          </w:p>
          <w:p>
            <w:pPr>
              <w:spacing w:after="40" w:line="240"/>
              <w:jc w:val="left"/>
            </w:pPr>
            <w:r>
              <w:rPr>
                <w:rFonts w:ascii="Times New Roman" w:cs="Times New Roman" w:eastAsia="Times New Roman" w:hAnsi="Times New Roman"/>
                <w:sz w:val="18"/>
                <w:szCs w:val="18"/>
              </w:rPr>
              <w:t xml:space="preserve">E3-119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27.1 (PDF p. 62), 27.2.3 (p. 62) e 27.4 (p. 63)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Intervenção suspende integralmente a contraprestação enquanto os serviços continuam</w:t>
            </w:r>
          </w:p>
          <w:p>
            <w:pPr>
              <w:spacing w:after="40" w:line="240"/>
              <w:jc w:val="left"/>
            </w:pPr>
            <w:r>
              <w:rPr>
                <w:rFonts w:ascii="Times New Roman" w:cs="Times New Roman" w:eastAsia="Times New Roman" w:hAnsi="Times New Roman"/>
                <w:sz w:val="18"/>
                <w:szCs w:val="18"/>
              </w:rPr>
              <w:t xml:space="preserve">Na intervenção os serviços continuam sendo prestados com os meios da concessionária, sob gestão do interventor (27.1); a suspensão total da CME a priva da única receita e compromete o serviço da dívida. A cl. 27.2.3 confunde intervenção com reversão ao exigir a disponibilização de 'todos os Bens Reversíveis'.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32 a 34 da Lei n.º 8.987/1995 c/c art. 3.º da Lei n.º 11.079/2004; art. 7.º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C-250</w:t>
            </w:r>
          </w:p>
          <w:p>
            <w:pPr>
              <w:spacing w:after="40" w:line="240"/>
              <w:jc w:val="left"/>
            </w:pPr>
            <w:r>
              <w:rPr>
                <w:rFonts w:ascii="Times New Roman" w:cs="Times New Roman" w:eastAsia="Times New Roman" w:hAnsi="Times New Roman"/>
                <w:sz w:val="18"/>
                <w:szCs w:val="18"/>
              </w:rPr>
              <w:t xml:space="preserve">E3-029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5.3 (PDF p. 15), 10.13.4 (p. 32) e 29.6 (p. 66); Caderno XI (reposição no Ano 25); Contrato 10.13.5.3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Vedação de indenização de investimentos não amortizados no advento do termo, inclusive investimentos tardios exigidos</w:t>
            </w:r>
          </w:p>
          <w:p>
            <w:pPr>
              <w:spacing w:after="40" w:line="240"/>
              <w:jc w:val="left"/>
            </w:pPr>
            <w:r>
              <w:rPr>
                <w:rFonts w:ascii="Times New Roman" w:cs="Times New Roman" w:eastAsia="Times New Roman" w:hAnsi="Times New Roman"/>
                <w:sz w:val="18"/>
                <w:szCs w:val="18"/>
              </w:rPr>
              <w:t xml:space="preserve">A lei assegura, na reversão ao fim do prazo, indenização das parcelas não amortizadas de investimentos realizados para garantir a continuidade e a atualidade do serviço. O Contrato exige investimentos tardios (reposição no Ano 25 do Caderno XI; ampliação do aterro para manter 30 anos de vida útil remanescente, cl. 10.13.5.3) e veda a indenização, ressalvado o reequilíbrio (5.4).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36 da Lei n.º 8.987/1995 c/c art. 3.º da Lei n.º 11.079/2004; art. 10-A, inciso III,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C-254</w:t>
            </w:r>
          </w:p>
          <w:p>
            <w:pPr>
              <w:spacing w:after="40" w:line="240"/>
              <w:jc w:val="left"/>
            </w:pPr>
            <w:r>
              <w:rPr>
                <w:rFonts w:ascii="Times New Roman" w:cs="Times New Roman" w:eastAsia="Times New Roman" w:hAnsi="Times New Roman"/>
                <w:sz w:val="18"/>
                <w:szCs w:val="18"/>
              </w:rPr>
              <w:t xml:space="preserve">E3-028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1.3.5 (PDF p. 7), 5.1.3, 5.1.5 e 5.1.8 (p. 14-15) e 28.3 a 28.4 (p. 63)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Definição de bens reversíveis inconsistente (todos os necessários × só os inventariados × 'reversão facultativa')</w:t>
            </w:r>
          </w:p>
          <w:p>
            <w:pPr>
              <w:spacing w:after="40" w:line="240"/>
              <w:jc w:val="left"/>
            </w:pPr>
            <w:r>
              <w:rPr>
                <w:rFonts w:ascii="Times New Roman" w:cs="Times New Roman" w:eastAsia="Times New Roman" w:hAnsi="Times New Roman"/>
                <w:sz w:val="18"/>
                <w:szCs w:val="18"/>
              </w:rPr>
              <w:t xml:space="preserve">A definição ampla (1.3.5: ativos necessários à continuidade operacional) convive com regra que condiciona a reversibilidade dos bens incorporados à prévia inclusão no Inventário (5.1.5) e com categoria de 'reversão facultativa' não definida (28.3-28.4). A cl. 5.1.8 admite bens de terceiros, mas a cl. 5.1.3 exige que estejam livres para transferência, o que não ocorre com bens locados. Resulta risco de não reversão de ativos essenciais.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X, e art. 23, inciso X, da Lei n.º 8.987/1995 c/c art. 11 da Lei n.º 11.079/2004; art. 10-A, inciso III,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Regulação e fiscalização (22)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C-278</w:t>
            </w:r>
          </w:p>
          <w:p>
            <w:pPr>
              <w:spacing w:after="40" w:line="240"/>
              <w:jc w:val="left"/>
            </w:pPr>
            <w:r>
              <w:rPr>
                <w:rFonts w:ascii="Times New Roman" w:cs="Times New Roman" w:eastAsia="Times New Roman" w:hAnsi="Times New Roman"/>
                <w:sz w:val="18"/>
                <w:szCs w:val="18"/>
              </w:rPr>
              <w:t xml:space="preserve">E2-090, E3-019, E7-035, E7-038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4.7 a 4.7.3 (PDF p. 13-14); Anexo III Tabela 18 (PDF p. 28), Tabela 20 (p. 31-32) e item XIII (p. 31); P7 Sumário (PDF p. 9), II.1 (p. 14) e II.5 (p. 17-18)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Funções regulatórias exercidas pelo próprio Poder Concedente (CGP/PVH ou SEINFRA) enquanto a ARDPV não se instala, sem prazo final</w:t>
            </w:r>
          </w:p>
          <w:p>
            <w:pPr>
              <w:spacing w:after="40" w:line="240"/>
              <w:jc w:val="left"/>
            </w:pPr>
            <w:r>
              <w:rPr>
                <w:rFonts w:ascii="Times New Roman" w:cs="Times New Roman" w:eastAsia="Times New Roman" w:hAnsi="Times New Roman"/>
                <w:sz w:val="18"/>
                <w:szCs w:val="18"/>
              </w:rPr>
              <w:t xml:space="preserve">As competências da Entidade Reguladora serão exercidas pela ARDPV 'a partir de sua efetiva instalação e operação' (4.7); até lá, e sem prazo final, cabem ao CGP/PVH ou à SEINFRA, órgãos do Poder Concedente sem independência decisória (4.7.1). O Anexo III já atribui ao CGP/PVH a aprovação de relatórios, do POF e do rito GAC. O P7 reconhece que a ARDPV, criada pela LC 1.013/2025, pode não estar instalada, e no capítulo II.1 atribui a regulação ao próprio Poder Concedente. O CGP/PVH também aprovou o procedimento de manifestação de interesse e os estudos, acumulando funções. A designação de entidade reguladora autárquica com independência decisória é condição de validade dos contratos de saneamento; o estágio de instalação da ARDPV não consta dos documentos.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 5.º, art. 11, inciso III, art. 21 e art. 23 da Lei n.º 11.445/2007; arts. 71, 76, 80 e 88 da NR n.º 7/2024 da ANA (Resolução ANA n.º 187/2024) — conferir</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C-279</w:t>
            </w:r>
          </w:p>
          <w:p>
            <w:pPr>
              <w:spacing w:after="40" w:line="240"/>
              <w:jc w:val="left"/>
            </w:pPr>
            <w:r>
              <w:rPr>
                <w:rFonts w:ascii="Times New Roman" w:cs="Times New Roman" w:eastAsia="Times New Roman" w:hAnsi="Times New Roman"/>
                <w:sz w:val="18"/>
                <w:szCs w:val="18"/>
              </w:rPr>
              <w:t xml:space="preserve">E2-043, E5-091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itens X.1 (PDF p. 26), XIV.2 (p. 33) e Tabela 11, PA-10 (p. 20); Caderno X.6.1 (PDF p. 42); Contrato cl. 8.10 (p. 20) e 10.2.33.4 (p. 27); P4 V.3 (p. 23), Tab. 9 (p. 26-27), Tab. 10 (p. 28), VII.2 (p. 31) e Tab. 13 (p. 33-34)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Autoridade aprovadora indefinida entre documentos: ARDPV, CGP/PVH, SEINFRA, 'fiscalização', VI e SEMA</w:t>
            </w:r>
          </w:p>
          <w:p>
            <w:pPr>
              <w:spacing w:after="40" w:line="240"/>
              <w:jc w:val="left"/>
            </w:pPr>
            <w:r>
              <w:rPr>
                <w:rFonts w:ascii="Times New Roman" w:cs="Times New Roman" w:eastAsia="Times New Roman" w:hAnsi="Times New Roman"/>
                <w:sz w:val="18"/>
                <w:szCs w:val="18"/>
              </w:rPr>
              <w:t xml:space="preserve">O Plano Operacional Fluvial é apresentado à ARDPV (Anexo III X.1), mas aprovado pelo CGP/PVH (XIV.2 e PA-10); os relatórios ambientais vão ao 'CGP/PVH e SEMA' (PA-02). O Caderno exige aprovação prévia da 'fiscalização' para soluções alternativas (X.6.1), enquanto o Contrato (8.10) exige autorização da Entidade Reguladora após parecer do VI. O P4 confere ao CGP/PVH a aprovação do POF/PCOS, o recebimento de relatórios e a vistoria da CS-03, prevê assento das cooperativas no CGP/PVH e não menciona a ARDPV, enquanto o Contrato atribui à Entidade Reguladora, por exemplo, a calibração da CS-01.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21, 22 e 23 da Lei n.º 11.445/2007; arts. 71, 76, 80 e 88 da NR n.º 7/2024 da ANA (Resolução ANA n.º 187/2024) — conferir;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C-280</w:t>
            </w:r>
          </w:p>
          <w:p>
            <w:pPr>
              <w:spacing w:after="40" w:line="240"/>
              <w:jc w:val="left"/>
            </w:pPr>
            <w:r>
              <w:rPr>
                <w:rFonts w:ascii="Times New Roman" w:cs="Times New Roman" w:eastAsia="Times New Roman" w:hAnsi="Times New Roman"/>
                <w:sz w:val="18"/>
                <w:szCs w:val="18"/>
              </w:rPr>
              <w:t xml:space="preserve">E1-115, E3-007, E2-063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def. 1.1.2 (PDF p. 6) e 1.1.28 (p. 8); Contrato cl. 1.3.2, 1.3.27, 1.3.33 (PDF p. 6-9), 13.5.2 (p. 35), 15.4 (p. 37), 15.7.5 (p. 39) e 41.19-41.20 (p. 81); Anexo D item VI.1.2 (PDF p. 21); Anexo VII item 13 (p. 6); P7 p. 35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Competência para apurar e homologar o IQD/RAA atribuída de forma conflitante (ARDPV, VI e Poder Concedente)</w:t>
            </w:r>
          </w:p>
          <w:p>
            <w:pPr>
              <w:spacing w:after="40" w:line="240"/>
              <w:jc w:val="left"/>
            </w:pPr>
            <w:r>
              <w:rPr>
                <w:rFonts w:ascii="Times New Roman" w:cs="Times New Roman" w:eastAsia="Times New Roman" w:hAnsi="Times New Roman"/>
                <w:sz w:val="18"/>
                <w:szCs w:val="18"/>
              </w:rPr>
              <w:t xml:space="preserve">O Edital e o Contrato definem a ARDPV ora como responsável pela 'análise e mensuração' dos IQD, ora pela 'homologação'; atribuem a apuração ao VI (1.3.33, 15.4) e a decisão final de contestação à ARDPV (15.7.5). O Anexo D atribui a homologação do RAA ao Poder Concedente, o Anexo VII trata a ARDPV como meio de atuação do Poder Concedente, e a cl. 41.20 permite ao Poder Concedente determinar auditoria ou perícia. A indefinição recai sobre o mecanismo que determina a parcela variável da contraprestação.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21, inciso I, art. 22, incisos I e II, e art. 23, inciso I, da Lei n.º 11.445/2007; art. 5.º, inciso VII,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C-281</w:t>
            </w:r>
          </w:p>
          <w:p>
            <w:pPr>
              <w:spacing w:after="40" w:line="240"/>
              <w:jc w:val="left"/>
            </w:pPr>
            <w:r>
              <w:rPr>
                <w:rFonts w:ascii="Times New Roman" w:cs="Times New Roman" w:eastAsia="Times New Roman" w:hAnsi="Times New Roman"/>
                <w:sz w:val="18"/>
                <w:szCs w:val="18"/>
              </w:rPr>
              <w:t xml:space="preserve">E3-065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10.1.10 (PDF p. 22), 20.1.1 (p. 46) e 20.4 a 20.6 (p. 48) × 17.1 (p. 41) e 4.7.1 (p. 13-14)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Reequilíbrio extraordinário instruído e decidido pelo Poder Concedente, sem a entidade reguladora</w:t>
            </w:r>
          </w:p>
          <w:p>
            <w:pPr>
              <w:spacing w:after="40" w:line="240"/>
              <w:jc w:val="left"/>
            </w:pPr>
            <w:r>
              <w:rPr>
                <w:rFonts w:ascii="Times New Roman" w:cs="Times New Roman" w:eastAsia="Times New Roman" w:hAnsi="Times New Roman"/>
                <w:sz w:val="18"/>
                <w:szCs w:val="18"/>
              </w:rPr>
              <w:t xml:space="preserve">A ARDPV não participa do procedimento de reequilíbrio extraordinário, que é instruído e decidido pela parte contratante, com apoio do VI contratado pela concessionária, e cuja forma de recomposição é escolhida a critério exclusivo do Poder Concedente; a revisão ordinária, ao contrário, cabe à Entidade Reguladora (17.1). Revisões e seus procedimentos são matéria de regulação no saneamento. Sobre metodologia, taxa de desconto e prazos do reequilíbrio, ver E3-066, E3-067 e E3-068 (REMUNERACAO_REAJUSTE).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22, inciso IV, art. 23, inciso IV, e art. 38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C-282</w:t>
            </w:r>
          </w:p>
          <w:p>
            <w:pPr>
              <w:spacing w:after="40" w:line="240"/>
              <w:jc w:val="left"/>
            </w:pPr>
            <w:r>
              <w:rPr>
                <w:rFonts w:ascii="Times New Roman" w:cs="Times New Roman" w:eastAsia="Times New Roman" w:hAnsi="Times New Roman"/>
                <w:sz w:val="18"/>
                <w:szCs w:val="18"/>
              </w:rPr>
              <w:t xml:space="preserve">E5-088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Tabela 5 (PDF p. 15) e V.3 (p. 24)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Prazo de universalização de 2033 aplicado à coleta de RSU sem base legal</w:t>
            </w:r>
          </w:p>
          <w:p>
            <w:pPr>
              <w:spacing w:after="40" w:line="240"/>
              <w:jc w:val="left"/>
            </w:pPr>
            <w:r>
              <w:rPr>
                <w:rFonts w:ascii="Times New Roman" w:cs="Times New Roman" w:eastAsia="Times New Roman" w:hAnsi="Times New Roman"/>
                <w:sz w:val="18"/>
                <w:szCs w:val="18"/>
              </w:rPr>
              <w:t xml:space="preserve">A meta de universalização até 31/12/2033 da Lei 11.445/2007 refere-se ao abastecimento de água potável e ao esgotamento sanitário. Não localizei fundamento normativo específico que fixe 2033 para a coleta de RSU; além disso, a meta de 100% de coleta seletiva vai a 2040-2042 nos próprios estudos.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11-B da Lei n.º 11.445/2007 (abrangência restrita a água e esgoto)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C-284</w:t>
            </w:r>
          </w:p>
          <w:p>
            <w:pPr>
              <w:spacing w:after="40" w:line="240"/>
              <w:jc w:val="left"/>
            </w:pPr>
            <w:r>
              <w:rPr>
                <w:rFonts w:ascii="Times New Roman" w:cs="Times New Roman" w:eastAsia="Times New Roman" w:hAnsi="Times New Roman"/>
                <w:sz w:val="18"/>
                <w:szCs w:val="18"/>
              </w:rPr>
              <w:t xml:space="preserve">E2-097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VII itens 6.2 (PDF p. 4-5) e 12 (p. 6); Contrato cl. 41.1 a 41.14.1 (PDF p. 78-80)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Escopo, produtos, SLAs, prazo e remuneração estimada do VI não definidos; TR remete a anexo que não os contém</w:t>
            </w:r>
          </w:p>
          <w:p>
            <w:pPr>
              <w:spacing w:after="40" w:line="240"/>
              <w:jc w:val="left"/>
            </w:pPr>
            <w:r>
              <w:rPr>
                <w:rFonts w:ascii="Times New Roman" w:cs="Times New Roman" w:eastAsia="Times New Roman" w:hAnsi="Times New Roman"/>
                <w:sz w:val="18"/>
                <w:szCs w:val="18"/>
              </w:rPr>
              <w:t xml:space="preserve">O TR remete escopo, produtos e SLAs a um anexo que não os contém (o Anexo III é de Diretrizes Ambientais e o Anexo D não trata do VI). Não fixa a duração do contrato do VI, a periodicidade de relatórios além do anual nem a remuneração estimada. As atribuições estão espalhadas no Contrato (cl. 41) e incluem aceite de obras, vida útil do aterro, excedente do GAC e reequilíbrio. Sobre o erro de remissão ao 'Anexo III', ver E2-096 (QUESTOES_FORMAIS).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 art. 6.º, inciso XXIII, da Lei n.º 14.133/2021 (aplicação subsidiária)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C-285</w:t>
            </w:r>
          </w:p>
          <w:p>
            <w:pPr>
              <w:spacing w:after="40" w:line="240"/>
              <w:jc w:val="left"/>
            </w:pPr>
            <w:r>
              <w:rPr>
                <w:rFonts w:ascii="Times New Roman" w:cs="Times New Roman" w:eastAsia="Times New Roman" w:hAnsi="Times New Roman"/>
                <w:sz w:val="18"/>
                <w:szCs w:val="18"/>
              </w:rPr>
              <w:t xml:space="preserve">E2-101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VII item 6.1.2 (PDF p. 4); Contrato cl. 8.6.1.2.2, 8.10, 10.13.2 e 10.13.5.2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Qualificação do VI sem capacidade técnica em engenharia sanitária e ambiental</w:t>
            </w:r>
          </w:p>
          <w:p>
            <w:pPr>
              <w:spacing w:after="40" w:line="240"/>
              <w:jc w:val="left"/>
            </w:pPr>
            <w:r>
              <w:rPr>
                <w:rFonts w:ascii="Times New Roman" w:cs="Times New Roman" w:eastAsia="Times New Roman" w:hAnsi="Times New Roman"/>
                <w:sz w:val="18"/>
                <w:szCs w:val="18"/>
              </w:rPr>
              <w:t xml:space="preserve">Os requisitos de credenciamento pedem experiência em gerenciamento de projetos (PMBok), desenho de processos (BPMN), verificação de indicadores e segurança de TI. Não pedem engenharia sanitária e ambiental, gerenciamento de áreas contaminadas, topografia ou balanço de massa, embora o VI deva opinar sobre o excedente do GAC (8.6.1.2.2), a vida útil do aterro (10.13.5.2), a aquisição de aterro (10.13.2) e rotas tecnológicas alternativas (8.10).</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 art. 67 da Lei n.º 14.133/2021 (referência subsidiária)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C-286</w:t>
            </w:r>
          </w:p>
          <w:p>
            <w:pPr>
              <w:spacing w:after="40" w:line="240"/>
              <w:jc w:val="left"/>
            </w:pPr>
            <w:r>
              <w:rPr>
                <w:rFonts w:ascii="Times New Roman" w:cs="Times New Roman" w:eastAsia="Times New Roman" w:hAnsi="Times New Roman"/>
                <w:sz w:val="18"/>
                <w:szCs w:val="18"/>
              </w:rPr>
              <w:t xml:space="preserve">E3-088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11.2 (PDF p. 33) × 41.14 (p. 80)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Demonstrações financeiras auditadas sujeitas a 'prévia aprovação' do VI</w:t>
            </w:r>
          </w:p>
          <w:p>
            <w:pPr>
              <w:spacing w:after="40" w:line="240"/>
              <w:jc w:val="left"/>
            </w:pPr>
            <w:r>
              <w:rPr>
                <w:rFonts w:ascii="Times New Roman" w:cs="Times New Roman" w:eastAsia="Times New Roman" w:hAnsi="Times New Roman"/>
                <w:sz w:val="18"/>
                <w:szCs w:val="18"/>
              </w:rPr>
              <w:t xml:space="preserve">O VI tem escopo técnico de verificação de desempenho (41.14); aprovar demonstrações financeiras anuais auditadas por auditoria independente não é atribuição sua, e não há critério para essa aprovação.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9.º, § 3.º, da Lei n.º 11.079/2004; art. 23, incisos XIII e XIV, da Lei n.º 8.987/1995</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C-287</w:t>
            </w:r>
          </w:p>
          <w:p>
            <w:pPr>
              <w:spacing w:after="40" w:line="240"/>
              <w:jc w:val="left"/>
            </w:pPr>
            <w:r>
              <w:rPr>
                <w:rFonts w:ascii="Times New Roman" w:cs="Times New Roman" w:eastAsia="Times New Roman" w:hAnsi="Times New Roman"/>
                <w:sz w:val="18"/>
                <w:szCs w:val="18"/>
              </w:rPr>
              <w:t xml:space="preserve">E2-081, E3-096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17, CS-01 a CS-04 (PDF p. 27-28); Contrato cl. 9.6 (PDF p. 21), 21.1.5 (p. 50), 26.3, caput (p. 56) e 26.4 (p. 57)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Multas sem valor ou base de cálculo, remetidas a regulamento ou à ARDPV após o contrato (incl. Cláusulas Sociais)</w:t>
            </w:r>
          </w:p>
          <w:p>
            <w:pPr>
              <w:spacing w:after="40" w:line="240"/>
              <w:jc w:val="left"/>
            </w:pPr>
            <w:r>
              <w:rPr>
                <w:rFonts w:ascii="Times New Roman" w:cs="Times New Roman" w:eastAsia="Times New Roman" w:hAnsi="Times New Roman"/>
                <w:sz w:val="18"/>
                <w:szCs w:val="18"/>
              </w:rPr>
              <w:t xml:space="preserve">As multas por falta de renovação da garantia e dos seguros não têm valor (9.6, 21.1.5), e a cl. 26.3 admite multas adicionais por regulamento da ARDPV, fora do teto do item 26.4. As quatro Cláusulas Sociais do Anexo III remetem à ARDPV a fixação posterior da penalidade (CS-01, CS-02), da retenção (CS-03) e do desconto na contraprestação (CS-04); o desconto da CS-04 pode sobrepor-se ao IQ4 do IQS. As penalidades, valores e bases de cálculo devem constar do contrato, de forma proporcional.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92, inciso XIV, da Lei n.º 14.133/2021; art. 23, inciso VIII, da Lei n.º 8.987/1995 c/c art. 3.º da Lei n.º 11.079/2004; art. 5.º, inciso 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C-288</w:t>
            </w:r>
          </w:p>
          <w:p>
            <w:pPr>
              <w:spacing w:after="40" w:line="240"/>
              <w:jc w:val="left"/>
            </w:pPr>
            <w:r>
              <w:rPr>
                <w:rFonts w:ascii="Times New Roman" w:cs="Times New Roman" w:eastAsia="Times New Roman" w:hAnsi="Times New Roman"/>
                <w:sz w:val="18"/>
                <w:szCs w:val="18"/>
              </w:rPr>
              <w:t xml:space="preserve">E3-099, E3-152, E7-063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26.3, i a ix (PDF p. 56-57), 26.9 a 26.12 (p. 58-59) e Cláusula 7ª; Anexo IV cl. 12.1 a 12.3 (PDF p. 9); P7 VII.10 (PDF p. 53)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Tipificação genérica: sem multa específica por atraso de implantação; violações de dados e 'Plano de Trabalho' indefinido no tipo residual</w:t>
            </w:r>
          </w:p>
          <w:p>
            <w:pPr>
              <w:spacing w:after="40" w:line="240"/>
              <w:jc w:val="left"/>
            </w:pPr>
            <w:r>
              <w:rPr>
                <w:rFonts w:ascii="Times New Roman" w:cs="Times New Roman" w:eastAsia="Times New Roman" w:hAnsi="Times New Roman"/>
                <w:sz w:val="18"/>
                <w:szCs w:val="18"/>
              </w:rPr>
              <w:t xml:space="preserve">Não há penalidade específica para atraso nos marcos de implantação (CTR, aterro, incinerador, Jirau, remediação); o enquadramento cai no tipo residual (26.3, vi), com multa de 0,5% a 30% do valor anual. O tipo (i), com faixa de 1% a 20%, pune violação a 'Plano de Trabalho' que o Contrato não define nem exige. As violações do acordo de dados (Anexo IV) também não têm tipo próprio nem gradação por gravidade do incidente. A amplitude das faixas depende da dosimetria das cl. 26.9-26.12. A faixa da cl. 26.3, viii, entre colchetes é tratada em E3-077 (QUESTOES_FORMAIS).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23, inciso VIII, da Lei n.º 8.987/1995 c/c art. 3.º da Lei n.º 11.079/2004; art. 5.º, inciso II, da Lei n.º 11.079/2004; art. 92, inciso XIV, e art. 156, § 1.º,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C-289</w:t>
            </w:r>
          </w:p>
          <w:p>
            <w:pPr>
              <w:spacing w:after="40" w:line="240"/>
              <w:jc w:val="left"/>
            </w:pPr>
            <w:r>
              <w:rPr>
                <w:rFonts w:ascii="Times New Roman" w:cs="Times New Roman" w:eastAsia="Times New Roman" w:hAnsi="Times New Roman"/>
                <w:sz w:val="18"/>
                <w:szCs w:val="18"/>
              </w:rPr>
              <w:t xml:space="preserve">E3-103, E7-063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26.1, iii (PDF p. 55), 26.19 e 26.20 (p. 60); P7 VII.10 (PDF p. 53) e XI.3.7 (p. 70)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Sanções com terminologia e hipóteses da Lei 8.666 ('suspensão temporária') em vez da Lei 14.133</w:t>
            </w:r>
          </w:p>
          <w:p>
            <w:pPr>
              <w:spacing w:after="40" w:line="240"/>
              <w:jc w:val="left"/>
            </w:pPr>
            <w:r>
              <w:rPr>
                <w:rFonts w:ascii="Times New Roman" w:cs="Times New Roman" w:eastAsia="Times New Roman" w:hAnsi="Times New Roman"/>
                <w:sz w:val="18"/>
                <w:szCs w:val="18"/>
              </w:rPr>
              <w:t xml:space="preserve">A Lei 14.133 prevê impedimento de licitar e contratar (até 3 anos) e declaração de inidoneidade (3 a 6 anos), não 'suspensão temporária'. As hipóteses da cl. 26.19 (fraude fiscal, atos para frustrar a licitação) correspondem a infrações que a lei sanciona com inidoneidade, não com impedimento.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155 e art. 156, incisos III e IV e §§ 4.º e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C-290</w:t>
            </w:r>
          </w:p>
          <w:p>
            <w:pPr>
              <w:spacing w:after="40" w:line="240"/>
              <w:jc w:val="left"/>
            </w:pPr>
            <w:r>
              <w:rPr>
                <w:rFonts w:ascii="Times New Roman" w:cs="Times New Roman" w:eastAsia="Times New Roman" w:hAnsi="Times New Roman"/>
                <w:sz w:val="18"/>
                <w:szCs w:val="18"/>
              </w:rPr>
              <w:t xml:space="preserve">E3-102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26.22, 26.25 e 26.27 (PDF p. 60-61) e 42.5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Prazo de recurso de 10 dias corridos, remetido à LC 745/2018 e inferior ao da Lei 14.133</w:t>
            </w:r>
          </w:p>
          <w:p>
            <w:pPr>
              <w:spacing w:after="40" w:line="240"/>
              <w:jc w:val="left"/>
            </w:pPr>
            <w:r>
              <w:rPr>
                <w:rFonts w:ascii="Times New Roman" w:cs="Times New Roman" w:eastAsia="Times New Roman" w:hAnsi="Times New Roman"/>
                <w:sz w:val="18"/>
                <w:szCs w:val="18"/>
              </w:rPr>
              <w:t xml:space="preserve">O recurso contra sanção é de 10 dias corridos, enquanto a lei geral prevê 15 dias úteis para recurso (advertência, multa e impedimento) e 15 dias úteis para defesa. A Lei 14.133 aplica-se subsidiariamente às concessões e PPPs, e a LC municipal 745/2018 é anterior a ela.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157, 158, 166 e 186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C-291</w:t>
            </w:r>
          </w:p>
          <w:p>
            <w:pPr>
              <w:spacing w:after="40" w:line="240"/>
              <w:jc w:val="left"/>
            </w:pPr>
            <w:r>
              <w:rPr>
                <w:rFonts w:ascii="Times New Roman" w:cs="Times New Roman" w:eastAsia="Times New Roman" w:hAnsi="Times New Roman"/>
                <w:sz w:val="18"/>
                <w:szCs w:val="18"/>
              </w:rPr>
              <w:t xml:space="preserve">E3-100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26.10, v a vii, e 26.11, v a vii (PDF p. 58-59)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Atenuantes e agravantes de 'tempo de atendimento' importados de outro setor</w:t>
            </w:r>
          </w:p>
          <w:p>
            <w:pPr>
              <w:spacing w:after="40" w:line="240"/>
              <w:jc w:val="left"/>
            </w:pPr>
            <w:r>
              <w:rPr>
                <w:rFonts w:ascii="Times New Roman" w:cs="Times New Roman" w:eastAsia="Times New Roman" w:hAnsi="Times New Roman"/>
                <w:sz w:val="18"/>
                <w:szCs w:val="18"/>
              </w:rPr>
              <w:t xml:space="preserve">Os critérios de dosimetria baseados em 'tempo de atendimento em valores absolutos/médios' não correspondem a indicadores do Anexo D para RSU, o que torna inaplicável parte das regras de atenuação e agravação.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156, § 1.º,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C-292</w:t>
            </w:r>
          </w:p>
          <w:p>
            <w:pPr>
              <w:spacing w:after="40" w:line="240"/>
              <w:jc w:val="left"/>
            </w:pPr>
            <w:r>
              <w:rPr>
                <w:rFonts w:ascii="Times New Roman" w:cs="Times New Roman" w:eastAsia="Times New Roman" w:hAnsi="Times New Roman"/>
                <w:sz w:val="18"/>
                <w:szCs w:val="18"/>
              </w:rPr>
              <w:t xml:space="preserve">E3-085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13.4.1 (PDF p. 35), 13.5.10 (p. 36) e 26.29 (p. 61)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Períodos de cura divergentes para a mesma falha (30 dias corridos × 5 dias úteis)</w:t>
            </w:r>
          </w:p>
          <w:p>
            <w:pPr>
              <w:spacing w:after="40" w:line="240"/>
              <w:jc w:val="left"/>
            </w:pPr>
            <w:r>
              <w:rPr>
                <w:rFonts w:ascii="Times New Roman" w:cs="Times New Roman" w:eastAsia="Times New Roman" w:hAnsi="Times New Roman"/>
                <w:sz w:val="18"/>
                <w:szCs w:val="18"/>
              </w:rPr>
              <w:t xml:space="preserve">O Contrato fixa período de cura mínimo de 30 dias antes do auto de infração (13.4.1 e 26.29) e, no auto de infração, prazo mínimo de 5 dias úteis com isenção de sanção se houver regularização (13.5.10). A sequência e a relação entre os prazos não estão claras.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 da Lei n.º 11.079/2004; art. 23, inciso VIII, da Lei n.º 8.987/1995</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C-293</w:t>
            </w:r>
          </w:p>
          <w:p>
            <w:pPr>
              <w:spacing w:after="40" w:line="240"/>
              <w:jc w:val="left"/>
            </w:pPr>
            <w:r>
              <w:rPr>
                <w:rFonts w:ascii="Times New Roman" w:cs="Times New Roman" w:eastAsia="Times New Roman" w:hAnsi="Times New Roman"/>
                <w:sz w:val="18"/>
                <w:szCs w:val="18"/>
              </w:rPr>
              <w:t xml:space="preserve">E3-148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IV cl. 2.1, 3.6 e 10.1 (PDF p. 4-5 e 8); Contrato cl. 10.2.36 e 14.1.5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Concessionária qualificada só como operadora de dados, embora decida finalidades e meios em vários tratamentos</w:t>
            </w:r>
          </w:p>
          <w:p>
            <w:pPr>
              <w:spacing w:after="40" w:line="240"/>
              <w:jc w:val="left"/>
            </w:pPr>
            <w:r>
              <w:rPr>
                <w:rFonts w:ascii="Times New Roman" w:cs="Times New Roman" w:eastAsia="Times New Roman" w:hAnsi="Times New Roman"/>
                <w:sz w:val="18"/>
                <w:szCs w:val="18"/>
              </w:rPr>
              <w:t xml:space="preserve">A concessionária decide sobre dados de empregados, cooperados, SAC, telemetria, câmeras e MTR em sua operação própria, atuando como controladora nesses tratamentos; o acordo a qualifica só como operadora e lhe veda atender titulares (10.1). A cl. 3.6 a torna 'única responsável' por dados anonimizados, que não são dados pessoais.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incisos VI, VII e IX, art. 12, art. 18 e art. 39 da Lei n.º 13.709/2018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C-294</w:t>
            </w:r>
          </w:p>
          <w:p>
            <w:pPr>
              <w:spacing w:after="40" w:line="240"/>
              <w:jc w:val="left"/>
            </w:pPr>
            <w:r>
              <w:rPr>
                <w:rFonts w:ascii="Times New Roman" w:cs="Times New Roman" w:eastAsia="Times New Roman" w:hAnsi="Times New Roman"/>
                <w:sz w:val="18"/>
                <w:szCs w:val="18"/>
              </w:rPr>
              <w:t xml:space="preserve">E3-149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IV cl. 4.1 a 4.3 (PDF p. 5); Contrato cl. 10.2.33 e 8.8, iii</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Acordo de dados não descreve categorias, titulares, finalidades, bases legais e prazos de retenção</w:t>
            </w:r>
          </w:p>
          <w:p>
            <w:pPr>
              <w:spacing w:after="40" w:line="240"/>
              <w:jc w:val="left"/>
            </w:pPr>
            <w:r>
              <w:rPr>
                <w:rFonts w:ascii="Times New Roman" w:cs="Times New Roman" w:eastAsia="Times New Roman" w:hAnsi="Times New Roman"/>
                <w:sz w:val="18"/>
                <w:szCs w:val="18"/>
              </w:rPr>
              <w:t xml:space="preserve">O escopo do tratamento é genérico: não há inventário de categorias de dados (inclusive sensíveis, como saúde em RSS e dados socioeconômicos de catadores), titulares, finalidades, hipóteses legais do tratamento pelo poder público nem prazos de retenção. Faltam as instruções que delimitam a atuação do operador.</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7.º, 11, 23, 37 e 39 da Lei n.º 13.709/2018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C-295</w:t>
            </w:r>
          </w:p>
          <w:p>
            <w:pPr>
              <w:spacing w:after="40" w:line="240"/>
              <w:jc w:val="left"/>
            </w:pPr>
            <w:r>
              <w:rPr>
                <w:rFonts w:ascii="Times New Roman" w:cs="Times New Roman" w:eastAsia="Times New Roman" w:hAnsi="Times New Roman"/>
                <w:sz w:val="18"/>
                <w:szCs w:val="18"/>
              </w:rPr>
              <w:t xml:space="preserve">E3-150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IV cl. 3.4 e 11.1 a 11.3 (PDF p. 5 e 8); Contrato cl. 41.16, 10.2.36 e 12.5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Restituição e eliminação de dados a qualquer tempo, em conflito com deveres legais e contratuais de guarda</w:t>
            </w:r>
          </w:p>
          <w:p>
            <w:pPr>
              <w:spacing w:after="40" w:line="240"/>
              <w:jc w:val="left"/>
            </w:pPr>
            <w:r>
              <w:rPr>
                <w:rFonts w:ascii="Times New Roman" w:cs="Times New Roman" w:eastAsia="Times New Roman" w:hAnsi="Times New Roman"/>
                <w:sz w:val="18"/>
                <w:szCs w:val="18"/>
              </w:rPr>
              <w:t xml:space="preserve">A devolução a pedido do Poder Concedente a qualquer tempo e a vedação de cópias conflitam com a guarda obrigatória de registros trabalhistas, MTR e bases de IQD auditáveis (Contrato 41.16, 10.2.36, 12.5) e com a exceção de cumprimento de obrigação legal prevista no próprio acordo (4.1).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16, inciso I, da Lei n.º 13.709/2018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C-296</w:t>
            </w:r>
          </w:p>
          <w:p>
            <w:pPr>
              <w:spacing w:after="40" w:line="240"/>
              <w:jc w:val="left"/>
            </w:pPr>
            <w:r>
              <w:rPr>
                <w:rFonts w:ascii="Times New Roman" w:cs="Times New Roman" w:eastAsia="Times New Roman" w:hAnsi="Times New Roman"/>
                <w:sz w:val="18"/>
                <w:szCs w:val="18"/>
              </w:rPr>
              <w:t xml:space="preserve">E3-151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IV cl. 5.1 e 6.1 (PDF p. 5-6) × Contrato cl. 41.8, iii, 41.16 e 23.4.1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Vedação de compartilhamento de dados sem ressalva para VI, ARDPV, agente de pagamento e financiadores</w:t>
            </w:r>
          </w:p>
          <w:p>
            <w:pPr>
              <w:spacing w:after="40" w:line="240"/>
              <w:jc w:val="left"/>
            </w:pPr>
            <w:r>
              <w:rPr>
                <w:rFonts w:ascii="Times New Roman" w:cs="Times New Roman" w:eastAsia="Times New Roman" w:hAnsi="Times New Roman"/>
                <w:sz w:val="18"/>
                <w:szCs w:val="18"/>
              </w:rPr>
              <w:t xml:space="preserve">O Contrato exige que a concessionária dê ao VI, por ela contratado, acesso a todas as bases, e que dados de medição circulem entre ARDPV, agente e mesa de conflitos; o acordo veda repasse a terceiros sem ressalvar esses fluxos e usa o termo 'CONTRATADA', não definido.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26 e 39 da Lei n.º 13.709/2018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C-297</w:t>
            </w:r>
          </w:p>
          <w:p>
            <w:pPr>
              <w:spacing w:after="40" w:line="240"/>
              <w:jc w:val="left"/>
            </w:pPr>
            <w:r>
              <w:rPr>
                <w:rFonts w:ascii="Times New Roman" w:cs="Times New Roman" w:eastAsia="Times New Roman" w:hAnsi="Times New Roman"/>
                <w:sz w:val="18"/>
                <w:szCs w:val="18"/>
              </w:rPr>
              <w:t xml:space="preserve">E3-133, E7-064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40.1 e 40.2 (PDF p. 77), 39.7.3 (p. 76), 15.8.8 (p. 40), 32.12 (p. 70) e 43; P7 VIII.9 e VIII.11 (PDF p. 59-60)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Arbitragem facultativa ('poderão') e sem câmara designada, embora outras cláusulas pressuponham o juízo arbitral</w:t>
            </w:r>
          </w:p>
          <w:p>
            <w:pPr>
              <w:spacing w:after="40" w:line="240"/>
              <w:jc w:val="left"/>
            </w:pPr>
            <w:r>
              <w:rPr>
                <w:rFonts w:ascii="Times New Roman" w:cs="Times New Roman" w:eastAsia="Times New Roman" w:hAnsi="Times New Roman"/>
                <w:sz w:val="18"/>
                <w:szCs w:val="18"/>
              </w:rPr>
              <w:t xml:space="preserve">O verbo 'poderão' não estabelece cláusula compromissória cheia, e nenhuma câmara nem critério de escolha é indicado. A cl. 39.7.3 remete à 'instituição prevista para a arbitragem' a nomeação do presidente da Mesa de Resolução de Conflitos, e as cl. 15.8.8 e 32.12 pressupõem o juízo arbitral para a suspensão e a rescisão. A instauração pode exigir execução judicial da cláusula e gerar disputa de foro (cl. 43).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4.º, 5.º e 7.º da Lei n.º 9.307/1996; art. 11, inciso III, da Lei n.º 11.079/2004; arts. 151 e 154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C-298</w:t>
            </w:r>
          </w:p>
          <w:p>
            <w:pPr>
              <w:spacing w:after="40" w:line="240"/>
              <w:jc w:val="left"/>
            </w:pPr>
            <w:r>
              <w:rPr>
                <w:rFonts w:ascii="Times New Roman" w:cs="Times New Roman" w:eastAsia="Times New Roman" w:hAnsi="Times New Roman"/>
                <w:sz w:val="18"/>
                <w:szCs w:val="18"/>
              </w:rPr>
              <w:t xml:space="preserve">E3-135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39.2, d, e 39.2.1, a (PDF p. 75) × 40.3.1 (p. 77)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Escopo da Mesa de Resolução de Conflitos inclui e exclui o cálculo de penalidades</w:t>
            </w:r>
          </w:p>
          <w:p>
            <w:pPr>
              <w:spacing w:after="40" w:line="240"/>
              <w:jc w:val="left"/>
            </w:pPr>
            <w:r>
              <w:rPr>
                <w:rFonts w:ascii="Times New Roman" w:cs="Times New Roman" w:eastAsia="Times New Roman" w:hAnsi="Times New Roman"/>
                <w:sz w:val="18"/>
                <w:szCs w:val="18"/>
              </w:rPr>
              <w:t xml:space="preserve">A mesma cláusula inclui as penalidades e seu cálculo na competência da Mesa e exclui a aplicação e a dosimetria das sanções; a arbitragem exclui o poder sancionatório em sentido estrito, mas admite seus reflexos patrimoniais (40.3.1).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151, parágrafo único, da Lei n.º 14.133/2021; art. 1.º, § 1.º, da Lei n.º 9.307/1996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C-299</w:t>
            </w:r>
          </w:p>
          <w:p>
            <w:pPr>
              <w:spacing w:after="40" w:line="240"/>
              <w:jc w:val="left"/>
            </w:pPr>
            <w:r>
              <w:rPr>
                <w:rFonts w:ascii="Times New Roman" w:cs="Times New Roman" w:eastAsia="Times New Roman" w:hAnsi="Times New Roman"/>
                <w:sz w:val="18"/>
                <w:szCs w:val="18"/>
              </w:rPr>
              <w:t xml:space="preserve">E3-136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1.3.23 (PDF p. 8) × 39.1, 39.5 e 39.7 (p. 75-76)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Dispute board definido como comitê permanente, regulado como Mesa ad hoc, sem previsão de custeio público</w:t>
            </w:r>
          </w:p>
          <w:p>
            <w:pPr>
              <w:spacing w:after="40" w:line="240"/>
              <w:jc w:val="left"/>
            </w:pPr>
            <w:r>
              <w:rPr>
                <w:rFonts w:ascii="Times New Roman" w:cs="Times New Roman" w:eastAsia="Times New Roman" w:hAnsi="Times New Roman"/>
                <w:sz w:val="18"/>
                <w:szCs w:val="18"/>
              </w:rPr>
              <w:t xml:space="preserve">A definição (1.3.23) descreve comitê técnico independente e permanente, que acompanha a execução; a Cláusula 39 cria uma 'Mesa' constituída para cada controvérsia. Os custos são adiantados por quem instaura e pagos pelo vencido, sem previsão orçamentária para o Município.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151 e 154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C-300</w:t>
            </w:r>
          </w:p>
          <w:p>
            <w:pPr>
              <w:spacing w:after="40" w:line="240"/>
              <w:jc w:val="left"/>
            </w:pPr>
            <w:r>
              <w:rPr>
                <w:rFonts w:ascii="Times New Roman" w:cs="Times New Roman" w:eastAsia="Times New Roman" w:hAnsi="Times New Roman"/>
                <w:sz w:val="18"/>
                <w:szCs w:val="18"/>
              </w:rPr>
              <w:t xml:space="preserve">E3-137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36.4 a 36.4.5 (PDF p. 73), 37.3 e 37.4 (p. 74), 39.8 e 39.10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Comitê de Interface (CIC) consultivo emite 'ata decisória'; 'Perícia Conjunta' citada e não regulada</w:t>
            </w:r>
          </w:p>
          <w:p>
            <w:pPr>
              <w:spacing w:after="40" w:line="240"/>
              <w:jc w:val="left"/>
            </w:pPr>
            <w:r>
              <w:rPr>
                <w:rFonts w:ascii="Times New Roman" w:cs="Times New Roman" w:eastAsia="Times New Roman" w:hAnsi="Times New Roman"/>
                <w:sz w:val="18"/>
                <w:szCs w:val="18"/>
              </w:rPr>
              <w:t xml:space="preserve">O Comitê de Interface do Contrato é definido como estritamente informativo e consultivo, sem competência deliberativa (36.4.2), mas a cl. 37.3 lhe atribui a emissão de 'ata decisória de controvérsia'. A 'Perícia Conjunta' aparece em três cláusulas como mecanismo autônomo, sem rito, nomeação ou custeio.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151 da Lei n.º 14.133/2021; art. 23, inciso XV, da Lei n.º 8.987/1995 c/c art. 3.º da Lei n.º 11.079/2004 — conferir</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Habilitação (24)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C-311</w:t>
            </w:r>
          </w:p>
          <w:p>
            <w:pPr>
              <w:spacing w:after="40" w:line="240"/>
              <w:jc w:val="left"/>
            </w:pPr>
            <w:r>
              <w:rPr>
                <w:rFonts w:ascii="Times New Roman" w:cs="Times New Roman" w:eastAsia="Times New Roman" w:hAnsi="Times New Roman"/>
                <w:sz w:val="18"/>
                <w:szCs w:val="18"/>
              </w:rPr>
              <w:t xml:space="preserve">E1-050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8.2, b (PDF p. 18), 19.5, c (p. 48) e 22.2.3 (p. 51); Anexo C, Declaração 3, iii (p. 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Impedimento de licitar estendido a toda a Administração (8.2, b), não só ao Município</w:t>
            </w:r>
          </w:p>
          <w:p>
            <w:pPr>
              <w:spacing w:after="40" w:line="240"/>
              <w:jc w:val="left"/>
            </w:pPr>
            <w:r>
              <w:rPr>
                <w:rFonts w:ascii="Times New Roman" w:cs="Times New Roman" w:eastAsia="Times New Roman" w:hAnsi="Times New Roman"/>
                <w:sz w:val="18"/>
                <w:szCs w:val="18"/>
              </w:rPr>
              <w:t xml:space="preserve">O impedimento de licitar e contratar alcança apenas a Administração do ente federativo que aplicou a sanção. O item 8.2, b, exclui quem esteja impedido perante 'a Administração Pública', sem esse limite. A Declaração 3 do Anexo C e o próprio Edital (19.5, c, e 22.2.3) limitam corretamente o impedimento ao Município, o que cria contradição interna.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14, inciso III, e art. 156, §§ 4.º e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C-313</w:t>
            </w:r>
          </w:p>
          <w:p>
            <w:pPr>
              <w:spacing w:after="40" w:line="240"/>
              <w:jc w:val="left"/>
            </w:pPr>
            <w:r>
              <w:rPr>
                <w:rFonts w:ascii="Times New Roman" w:cs="Times New Roman" w:eastAsia="Times New Roman" w:hAnsi="Times New Roman"/>
                <w:sz w:val="18"/>
                <w:szCs w:val="18"/>
              </w:rPr>
              <w:t xml:space="preserve">E1-053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8.3 (PDF p. 19); Anexo C, Declaração 3 (p. 9) e Declaração 8 (p. 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Anexo C não tem modelo que cubra todas as vedações do item 8.2</w:t>
            </w:r>
          </w:p>
          <w:p>
            <w:pPr>
              <w:spacing w:after="40" w:line="240"/>
              <w:jc w:val="left"/>
            </w:pPr>
            <w:r>
              <w:rPr>
                <w:rFonts w:ascii="Times New Roman" w:cs="Times New Roman" w:eastAsia="Times New Roman" w:hAnsi="Times New Roman"/>
                <w:sz w:val="18"/>
                <w:szCs w:val="18"/>
              </w:rPr>
              <w:t xml:space="preserve">O Anexo C não traz a declaração específica do item 8.2. A Declaração 3 (iii) cobre só impedimento municipal e inidoneidade; a Declaração 8, 'fato impeditivo' e restrições de dirigentes. Ficam sem modelo as vedações de controle e coligação, recuperação judicial, intervenção, CADE, ex-servidores e autores dos estudos (alíneas d, f, g, i, k, l e m). A vedação do art. 14, IV, deve constar expressamente do edital.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e art. 14, inciso IV,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C-314</w:t>
            </w:r>
          </w:p>
          <w:p>
            <w:pPr>
              <w:spacing w:after="40" w:line="240"/>
              <w:jc w:val="left"/>
            </w:pPr>
            <w:r>
              <w:rPr>
                <w:rFonts w:ascii="Times New Roman" w:cs="Times New Roman" w:eastAsia="Times New Roman" w:hAnsi="Times New Roman"/>
                <w:sz w:val="18"/>
                <w:szCs w:val="18"/>
              </w:rPr>
              <w:t xml:space="preserve">E1-054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8.4.1 (PDF p. 20), 10.13 e 10.13.1 (p. 25) × 13.29 (p. 39)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Tradução de documentos estrangeiros: livre até a assinatura × juramentada já na habilitação</w:t>
            </w:r>
          </w:p>
          <w:p>
            <w:pPr>
              <w:spacing w:after="40" w:line="240"/>
              <w:jc w:val="left"/>
            </w:pPr>
            <w:r>
              <w:rPr>
                <w:rFonts w:ascii="Times New Roman" w:cs="Times New Roman" w:eastAsia="Times New Roman" w:hAnsi="Times New Roman"/>
                <w:sz w:val="18"/>
                <w:szCs w:val="18"/>
              </w:rPr>
              <w:t xml:space="preserve">Os itens 8.4.1 e 10.13 admitem tradução livre na licitação e exigem tradução juramentada só antes da assinatura. O 13.29 exige tradução juramentada dos atestados estrangeiros já na habilitação, e o 10.13 exige certificação notarial no país de origem. A lei exige apenas tradução para o português dos atestados estrangeiros.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67, § 4.º, e art. 70, parágrafo único, da Lei n.º 14.133/2021; Decreto n.º 8.660/2016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C-315</w:t>
            </w:r>
          </w:p>
          <w:p>
            <w:pPr>
              <w:spacing w:after="40" w:line="240"/>
              <w:jc w:val="left"/>
            </w:pPr>
            <w:r>
              <w:rPr>
                <w:rFonts w:ascii="Times New Roman" w:cs="Times New Roman" w:eastAsia="Times New Roman" w:hAnsi="Times New Roman"/>
                <w:sz w:val="18"/>
                <w:szCs w:val="18"/>
              </w:rPr>
              <w:t xml:space="preserve">E1-055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8.5.1 (PDF p. 20) × 13.17.2 (p. 35); 13.4 e 13.5 (p. 32-33)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PL ou capital social (8.5.1) × só capital social (13.17.2); fundos e EFPC sem parâmetro</w:t>
            </w:r>
          </w:p>
          <w:p>
            <w:pPr>
              <w:spacing w:after="40" w:line="240"/>
              <w:jc w:val="left"/>
            </w:pPr>
            <w:r>
              <w:rPr>
                <w:rFonts w:ascii="Times New Roman" w:cs="Times New Roman" w:eastAsia="Times New Roman" w:hAnsi="Times New Roman"/>
                <w:sz w:val="18"/>
                <w:szCs w:val="18"/>
              </w:rPr>
              <w:t xml:space="preserve">O 8.5.1 menciona PL mínimo ou capital social mínimo, mas o 13.17.2 exige apenas capital social. Fundos de investimento e entidades de previdência complementar, admitidos como licitantes, não têm capital social, e o Edital não indica o parâmetro equivalente (PL) para eles.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69, § 4.º, e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C-316</w:t>
            </w:r>
          </w:p>
          <w:p>
            <w:pPr>
              <w:spacing w:after="40" w:line="240"/>
              <w:jc w:val="left"/>
            </w:pPr>
            <w:r>
              <w:rPr>
                <w:rFonts w:ascii="Times New Roman" w:cs="Times New Roman" w:eastAsia="Times New Roman" w:hAnsi="Times New Roman"/>
                <w:sz w:val="18"/>
                <w:szCs w:val="18"/>
              </w:rPr>
              <w:t xml:space="preserve">E1-056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8.5.2 (PDF p. 20), 11.2, c, e 11.2.1 (p. 27); Anexo C, Declarações 11 e 12 (p. 17-19)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Compromisso de consórcio chamado de compromisso de SPE; modelo do Anexo C incompleto</w:t>
            </w:r>
          </w:p>
          <w:p>
            <w:pPr>
              <w:spacing w:after="40" w:line="240"/>
              <w:jc w:val="left"/>
            </w:pPr>
            <w:r>
              <w:rPr>
                <w:rFonts w:ascii="Times New Roman" w:cs="Times New Roman" w:eastAsia="Times New Roman" w:hAnsi="Times New Roman"/>
                <w:sz w:val="18"/>
                <w:szCs w:val="18"/>
              </w:rPr>
              <w:t xml:space="preserve">O Edital chama de 'termo de compromisso de constituição de SPE' o instrumento cujo conteúdo é o compromisso de consórcio (denominação, composição, percentuais, líder, solidariedade). Os modelos 11 e 12 do Anexo C são declarações unilaterais de constituir SPE, assinadas por 'LICITANTE ou CONSORCIADA', sem nenhum desses elementos nem a outorga de poderes à líder prevista no 11.2.1.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15, incisos I e II, da Lei n.º 14.133/2021; art. 9.º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C-317</w:t>
            </w:r>
          </w:p>
          <w:p>
            <w:pPr>
              <w:spacing w:after="40" w:line="240"/>
              <w:jc w:val="left"/>
            </w:pPr>
            <w:r>
              <w:rPr>
                <w:rFonts w:ascii="Times New Roman" w:cs="Times New Roman" w:eastAsia="Times New Roman" w:hAnsi="Times New Roman"/>
                <w:sz w:val="18"/>
                <w:szCs w:val="18"/>
              </w:rPr>
              <w:t xml:space="preserve">E1-057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8.5.2 e 11.3 (PDF p. 20 e 27) × 13.8 (p. 33) e 13.23.2.1 (p. 37)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Compromisso de consórcio/SPE: Envelope 1 (8.5.2, 11.3) ou Envelope 3 (13.8, 13.23.2.1)?</w:t>
            </w:r>
          </w:p>
          <w:p>
            <w:pPr>
              <w:spacing w:after="40" w:line="240"/>
              <w:jc w:val="left"/>
            </w:pPr>
            <w:r>
              <w:rPr>
                <w:rFonts w:ascii="Times New Roman" w:cs="Times New Roman" w:eastAsia="Times New Roman" w:hAnsi="Times New Roman"/>
                <w:sz w:val="18"/>
                <w:szCs w:val="18"/>
              </w:rPr>
              <w:t xml:space="preserve">Os itens 8.5.2 e 11.3 situam o compromisso no Envelope 1; o 13.23.2.1, no Envelope 3; o 13.8 exige que a líder apresente na habilitação o 'Instrumento de Constituição ou de Compromisso de Constituição do Consórcio'. A ausência do documento no envelope tido por correto pode ser usada para excluir o consórcio.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e art. 15, inciso I,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C-318</w:t>
            </w:r>
          </w:p>
          <w:p>
            <w:pPr>
              <w:spacing w:after="40" w:line="240"/>
              <w:jc w:val="left"/>
            </w:pPr>
            <w:r>
              <w:rPr>
                <w:rFonts w:ascii="Times New Roman" w:cs="Times New Roman" w:eastAsia="Times New Roman" w:hAnsi="Times New Roman"/>
                <w:sz w:val="18"/>
                <w:szCs w:val="18"/>
              </w:rPr>
              <w:t xml:space="preserve">E1-060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13.1, a (PDF p. 31); Anexo C, Declaração 11, a (p. 18); Contrato (sem exigência)</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Requisitos da SPE divergentes: S.A. (Edital) × sede em Porto Velho (Anexo C)</w:t>
            </w:r>
          </w:p>
          <w:p>
            <w:pPr>
              <w:spacing w:after="40" w:line="240"/>
              <w:jc w:val="left"/>
            </w:pPr>
            <w:r>
              <w:rPr>
                <w:rFonts w:ascii="Times New Roman" w:cs="Times New Roman" w:eastAsia="Times New Roman" w:hAnsi="Times New Roman"/>
                <w:sz w:val="18"/>
                <w:szCs w:val="18"/>
              </w:rPr>
              <w:t xml:space="preserve">O Edital exige forma de sociedade por ações, que a Declaração 11 não menciona; a Declaração 11 exige sede no Município de Porto Velho, requisito ausente do Edital. Nenhum dos dois aparece no Contrato. Não localizei norma que imponha a forma de S.A.; a lei apenas faculta que a SPE seja companhia aberta.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9.º, §§ 2.º e 3.º,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C-319</w:t>
            </w:r>
          </w:p>
          <w:p>
            <w:pPr>
              <w:spacing w:after="40" w:line="240"/>
              <w:jc w:val="left"/>
            </w:pPr>
            <w:r>
              <w:rPr>
                <w:rFonts w:ascii="Times New Roman" w:cs="Times New Roman" w:eastAsia="Times New Roman" w:hAnsi="Times New Roman"/>
                <w:sz w:val="18"/>
                <w:szCs w:val="18"/>
              </w:rPr>
              <w:t xml:space="preserve">E1-061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8.5.5 (PDF p. 20) e 20.1.2.1 (p. 48); Contrato (sem cláusula de capital)</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Capital da SPE remetido ao Contrato, que não o regula; saldo sem cronograma</w:t>
            </w:r>
          </w:p>
          <w:p>
            <w:pPr>
              <w:spacing w:after="40" w:line="240"/>
              <w:jc w:val="left"/>
            </w:pPr>
            <w:r>
              <w:rPr>
                <w:rFonts w:ascii="Times New Roman" w:cs="Times New Roman" w:eastAsia="Times New Roman" w:hAnsi="Times New Roman"/>
                <w:sz w:val="18"/>
                <w:szCs w:val="18"/>
              </w:rPr>
              <w:t xml:space="preserve">O item 8.5.5 manda observar 'o estabelecido no CONTRATO' na composição do capital da SPE, mas o Contrato não contém cláusula sobre capital social (busca textual sem resultado). O Edital fixa subscrição de 1,5% do VE e integralização de 50% na assinatura, sem prazo ou marcos para integralizar o saldo de R$ 17,34 milhões e sem regra de manutenção ou redução do capital.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9.º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C-320</w:t>
            </w:r>
          </w:p>
          <w:p>
            <w:pPr>
              <w:spacing w:after="40" w:line="240"/>
              <w:jc w:val="left"/>
            </w:pPr>
            <w:r>
              <w:rPr>
                <w:rFonts w:ascii="Times New Roman" w:cs="Times New Roman" w:eastAsia="Times New Roman" w:hAnsi="Times New Roman"/>
                <w:sz w:val="18"/>
                <w:szCs w:val="18"/>
              </w:rPr>
              <w:t xml:space="preserve">E4-044, E7-061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IX.2 (PDF p. 62); Edital 13.17.2 (p. 35) e 20.1.2.1 (p. 48); P6 Tabela 2 (p. 16)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Capital e integralização da SPE divergentes entre P7 (10%/65%), Edital (1,5%/50%) e P6 (1%/40%)</w:t>
            </w:r>
          </w:p>
          <w:p>
            <w:pPr>
              <w:spacing w:after="40" w:line="240"/>
              <w:jc w:val="left"/>
            </w:pPr>
            <w:r>
              <w:rPr>
                <w:rFonts w:ascii="Times New Roman" w:cs="Times New Roman" w:eastAsia="Times New Roman" w:hAnsi="Times New Roman"/>
                <w:sz w:val="18"/>
                <w:szCs w:val="18"/>
              </w:rPr>
              <w:t xml:space="preserve">O P7 afirma, 'em coerência com a modelagem do Produto 6', capital social de 10% do valor do Contrato (cerca de R$ 231 milhões) com 65% integralizados na assinatura. O Edital exige capital mínimo da licitante de R$ 23,1 milhões (1%) e, para a SPE, subscrição de R$ 34,7 milhões (1,5%) e integralização de R$ 17,3 milhões (50%). O P6 modela capital mínimo de 1%, equity total de 2,5% e integralização inicial de 40%. São três parâmetros incompatíveis para a mesma exigência, e o fluxo de equity do modelo não reflete a exigência editalícia.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69, § 4.º, e art. 5.º da Lei n.º 14.133/2021; art. 9.º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C-321</w:t>
            </w:r>
          </w:p>
          <w:p>
            <w:pPr>
              <w:spacing w:after="40" w:line="240"/>
              <w:jc w:val="left"/>
            </w:pPr>
            <w:r>
              <w:rPr>
                <w:rFonts w:ascii="Times New Roman" w:cs="Times New Roman" w:eastAsia="Times New Roman" w:hAnsi="Times New Roman"/>
                <w:sz w:val="18"/>
                <w:szCs w:val="18"/>
              </w:rPr>
              <w:t xml:space="preserve">E1-063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C, Declaração 7 (PDF p. 13-14) × Edital 9.9.1 e 9.11 (p. 22)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Modelo de declaração de visita assinado pelo representante, não pelo responsável técnico</w:t>
            </w:r>
          </w:p>
          <w:p>
            <w:pPr>
              <w:spacing w:after="40" w:line="240"/>
              <w:jc w:val="left"/>
            </w:pPr>
            <w:r>
              <w:rPr>
                <w:rFonts w:ascii="Times New Roman" w:cs="Times New Roman" w:eastAsia="Times New Roman" w:hAnsi="Times New Roman"/>
                <w:sz w:val="18"/>
                <w:szCs w:val="18"/>
              </w:rPr>
              <w:t xml:space="preserve">O item 9.11 e a lei exigem declaração formal assinada pelo responsável técnico do licitante. O modelo do Anexo C prevê assinatura apenas do representante credenciado e acrescenta renúncia ampla a pleitos por insuficiência de informações, que não consta do 9.11.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63, § 3.º,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C-322</w:t>
            </w:r>
          </w:p>
          <w:p>
            <w:pPr>
              <w:spacing w:after="40" w:line="240"/>
              <w:jc w:val="left"/>
            </w:pPr>
            <w:r>
              <w:rPr>
                <w:rFonts w:ascii="Times New Roman" w:cs="Times New Roman" w:eastAsia="Times New Roman" w:hAnsi="Times New Roman"/>
                <w:sz w:val="18"/>
                <w:szCs w:val="18"/>
              </w:rPr>
              <w:t xml:space="preserve">E1-064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C, Declaração 10 (PDF p. 16-17) e Declaração 9 (p. 15); Edital item 9 (p. 21-22)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Termo de confidencialidade da visita e Declaração 9 sem previsão no Edital</w:t>
            </w:r>
          </w:p>
          <w:p>
            <w:pPr>
              <w:spacing w:after="40" w:line="240"/>
              <w:jc w:val="left"/>
            </w:pPr>
            <w:r>
              <w:rPr>
                <w:rFonts w:ascii="Times New Roman" w:cs="Times New Roman" w:eastAsia="Times New Roman" w:hAnsi="Times New Roman"/>
                <w:sz w:val="18"/>
                <w:szCs w:val="18"/>
              </w:rPr>
              <w:t xml:space="preserve">O item 9 do Edital não condiciona a visita a termo de confidencialidade, mas o Anexo C traz um, com responsabilidade civil e criminal e indenização, que restringe o registro e a divulgação de informações sobre bens e áreas públicas e pode inibir o uso, em impugnações e representações, do que foi observado na visita. A Declaração 9 (compromisso de manter responsável técnico durante toda a concessão) também não é exigida por nenhum item do Edital.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(publicidade) e art. 63, § 2.º, da Lei n.º 14.133/2021; não localizei fundamento normativo específico para condicionar a vistoria a termo de sigilo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C-323</w:t>
            </w:r>
          </w:p>
          <w:p>
            <w:pPr>
              <w:spacing w:after="40" w:line="240"/>
              <w:jc w:val="left"/>
            </w:pPr>
            <w:r>
              <w:rPr>
                <w:rFonts w:ascii="Times New Roman" w:cs="Times New Roman" w:eastAsia="Times New Roman" w:hAnsi="Times New Roman"/>
                <w:sz w:val="18"/>
                <w:szCs w:val="18"/>
              </w:rPr>
              <w:t xml:space="preserve">E1-068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10.23 (PDF p. 26) × 17.1.1 (p. 45)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Saneamento: proibição absoluta de documento ausente (10.23) × admissão de documento ausente (17.1.1)</w:t>
            </w:r>
          </w:p>
          <w:p>
            <w:pPr>
              <w:spacing w:after="40" w:line="240"/>
              <w:jc w:val="left"/>
            </w:pPr>
            <w:r>
              <w:rPr>
                <w:rFonts w:ascii="Times New Roman" w:cs="Times New Roman" w:eastAsia="Times New Roman" w:hAnsi="Times New Roman"/>
                <w:sz w:val="18"/>
                <w:szCs w:val="18"/>
              </w:rPr>
              <w:t xml:space="preserve">O 10.23 veda em qualquer hipótese a juntada de documento obrigatório ausente; o 17.1.1 admite a juntada de documento ausente que comprove condição preexistente. Os dois critérios são incompatíveis e dão margem a tratamento desigual na diligência.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64, caput e incisos I e II, da Lei n.º 14.133/2021; art. 12, inciso IV,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C-324</w:t>
            </w:r>
          </w:p>
          <w:p>
            <w:pPr>
              <w:spacing w:after="40" w:line="240"/>
              <w:jc w:val="left"/>
            </w:pPr>
            <w:r>
              <w:rPr>
                <w:rFonts w:ascii="Times New Roman" w:cs="Times New Roman" w:eastAsia="Times New Roman" w:hAnsi="Times New Roman"/>
                <w:sz w:val="18"/>
                <w:szCs w:val="18"/>
              </w:rPr>
              <w:t xml:space="preserve">E1-070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11.13, a a c (PDF p. 28); Contrato cl. 9.5 (p. 21) e 22.2 (p. 51)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Garantia de proposta: exclusão de títulos da dívida pública e de título de capitalização</w:t>
            </w:r>
          </w:p>
          <w:p>
            <w:pPr>
              <w:spacing w:after="40" w:line="240"/>
              <w:jc w:val="left"/>
            </w:pPr>
            <w:r>
              <w:rPr>
                <w:rFonts w:ascii="Times New Roman" w:cs="Times New Roman" w:eastAsia="Times New Roman" w:hAnsi="Times New Roman"/>
                <w:sz w:val="18"/>
                <w:szCs w:val="18"/>
              </w:rPr>
              <w:t xml:space="preserve">A garantia de proposta pode ser prestada nas modalidades do art. 96, § 1.º, e a escolha cabe ao particular. O Edital exclui a caução em títulos da dívida pública e o título de capitalização (inciso IV, incluído pela Lei 14.770/2023). O próprio Contrato admite títulos e título de capitalização para a garantia de execução (cl. 9.5).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58, § 4.º, c/c art. 96, § 1.º, incisos I e IV,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C-325</w:t>
            </w:r>
          </w:p>
          <w:p>
            <w:pPr>
              <w:spacing w:after="40" w:line="240"/>
              <w:jc w:val="left"/>
            </w:pPr>
            <w:r>
              <w:rPr>
                <w:rFonts w:ascii="Times New Roman" w:cs="Times New Roman" w:eastAsia="Times New Roman" w:hAnsi="Times New Roman"/>
                <w:sz w:val="18"/>
                <w:szCs w:val="18"/>
              </w:rPr>
              <w:t xml:space="preserve">E1-071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11.13, b e c (PDF p. 28); P7 V.7 (p. 42)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Rating mínimo do banco fiador sem previsão legal e sem equivalente para seguradoras</w:t>
            </w:r>
          </w:p>
          <w:p>
            <w:pPr>
              <w:spacing w:after="40" w:line="240"/>
              <w:jc w:val="left"/>
            </w:pPr>
            <w:r>
              <w:rPr>
                <w:rFonts w:ascii="Times New Roman" w:cs="Times New Roman" w:eastAsia="Times New Roman" w:hAnsi="Times New Roman"/>
                <w:sz w:val="18"/>
                <w:szCs w:val="18"/>
              </w:rPr>
              <w:t xml:space="preserve">A lei exige apenas fiança emitida por banco ou instituição financeira autorizada a operar no País pelo Banco Central. O rating mínimo restringe as instituições aceitas e não tem equivalente para as seguradoras (11.13, b). Contra-argumento provável: o P7 (p. 42) invoca precedente do TCU — citação do próprio estudo, não verificada; busca jurisprudencial fica para a Fase 2 — para exigência análoga de grau de investimento das seguradoras na garantia de execução.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96, § 1.º, inciso III, da Lei n.º 14.133/2021; não localizei fundamento normativo específico para o rating</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C-326</w:t>
            </w:r>
          </w:p>
          <w:p>
            <w:pPr>
              <w:spacing w:after="40" w:line="240"/>
              <w:jc w:val="left"/>
            </w:pPr>
            <w:r>
              <w:rPr>
                <w:rFonts w:ascii="Times New Roman" w:cs="Times New Roman" w:eastAsia="Times New Roman" w:hAnsi="Times New Roman"/>
                <w:sz w:val="18"/>
                <w:szCs w:val="18"/>
              </w:rPr>
              <w:t xml:space="preserve">E1-072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11.14, e, 11.14.1 e 11.14.2 (PDF p. 29) × 12.3.2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Renovação da garantia: notificação e 15 dias (11.14.2) × 10 dias antes do vencimento (12.3.2)</w:t>
            </w:r>
          </w:p>
          <w:p>
            <w:pPr>
              <w:spacing w:after="40" w:line="240"/>
              <w:jc w:val="left"/>
            </w:pPr>
            <w:r>
              <w:rPr>
                <w:rFonts w:ascii="Times New Roman" w:cs="Times New Roman" w:eastAsia="Times New Roman" w:hAnsi="Times New Roman"/>
                <w:sz w:val="18"/>
                <w:szCs w:val="18"/>
              </w:rPr>
              <w:t xml:space="preserve">O 11.14.2 obriga a Comissão a notificar o licitante e conceder 15 dias para renovar a garantia antes de excluí-lo. O 12.3.2 impõe ao licitante prorrogar garantia e proposta 10 dias antes do vencimento, sem notificação, sob pena de 'inabilitação e consequente desclassificação', misturando as consequências.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e art. 90, § 3.º,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C-327</w:t>
            </w:r>
          </w:p>
          <w:p>
            <w:pPr>
              <w:spacing w:after="40" w:line="240"/>
              <w:jc w:val="left"/>
            </w:pPr>
            <w:r>
              <w:rPr>
                <w:rFonts w:ascii="Times New Roman" w:cs="Times New Roman" w:eastAsia="Times New Roman" w:hAnsi="Times New Roman"/>
                <w:sz w:val="18"/>
                <w:szCs w:val="18"/>
              </w:rPr>
              <w:t xml:space="preserve">E1-074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C, Modelo 1 – Carta de Fiança (PDF p. 22-23) e Modelo 2 – Seguro-Garantia, item 2.1 (p. 24) × Edital 10.6.1, 10.16 (p. 24-25) e 11.14, d (p. 29)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Modelos de garantia incompatíveis com o Edital (firma reconhecida, testemunhas, qualificação do segurado)</w:t>
            </w:r>
          </w:p>
          <w:p>
            <w:pPr>
              <w:spacing w:after="40" w:line="240"/>
              <w:jc w:val="left"/>
            </w:pPr>
            <w:r>
              <w:rPr>
                <w:rFonts w:ascii="Times New Roman" w:cs="Times New Roman" w:eastAsia="Times New Roman" w:hAnsi="Times New Roman"/>
                <w:sz w:val="18"/>
                <w:szCs w:val="18"/>
              </w:rPr>
              <w:t xml:space="preserve">O modelo de fiança exige firma reconhecida e testemunhas; o Edital dispensa reconhecimento de firma (10.16) e exige instrumentos eletrônicos com assinatura digital (10.6.1). O modelo de seguro qualifica o segurado com endereço diferente do indicado no preâmbulo do Edital (SEINFRA), e o 11.14, d, exige a qualificação indicada no preâmbulo.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e art. 12, inciso V,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C-328</w:t>
            </w:r>
          </w:p>
          <w:p>
            <w:pPr>
              <w:spacing w:after="40" w:line="240"/>
              <w:jc w:val="left"/>
            </w:pPr>
            <w:r>
              <w:rPr>
                <w:rFonts w:ascii="Times New Roman" w:cs="Times New Roman" w:eastAsia="Times New Roman" w:hAnsi="Times New Roman"/>
                <w:sz w:val="18"/>
                <w:szCs w:val="18"/>
              </w:rPr>
              <w:t xml:space="preserve">E1-075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11.11 (PDF p. 28)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Consequência da falta de garantia redigida como faculdade ('poderão') e misturando inabilitação e exclusão</w:t>
            </w:r>
          </w:p>
          <w:p>
            <w:pPr>
              <w:spacing w:after="40" w:line="240"/>
              <w:jc w:val="left"/>
            </w:pPr>
            <w:r>
              <w:rPr>
                <w:rFonts w:ascii="Times New Roman" w:cs="Times New Roman" w:eastAsia="Times New Roman" w:hAnsi="Times New Roman"/>
                <w:sz w:val="18"/>
                <w:szCs w:val="18"/>
              </w:rPr>
              <w:t xml:space="preserve">A garantia funciona como requisito prévio à abertura das propostas, mas o item diz que os licitantes 'poderão ser inabilitadas' e, ao mesmo tempo, 'estarão impedidas de prosseguir'. A redação facultativa abre espaço a tratamento não isonômico.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58, caput, e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C-330</w:t>
            </w:r>
          </w:p>
          <w:p>
            <w:pPr>
              <w:spacing w:after="40" w:line="240"/>
              <w:jc w:val="left"/>
            </w:pPr>
            <w:r>
              <w:rPr>
                <w:rFonts w:ascii="Times New Roman" w:cs="Times New Roman" w:eastAsia="Times New Roman" w:hAnsi="Times New Roman"/>
                <w:sz w:val="18"/>
                <w:szCs w:val="18"/>
              </w:rPr>
              <w:t xml:space="preserve">E1-099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13.23.1.2 (PDF p. 37); Anexos A, B, D, III, V e VII e estudos P2, P3, P6 e P7 (sem definição)</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Parcelas de maior relevância e quantitativos mínimos não definidos em nenhum anexo</w:t>
            </w:r>
          </w:p>
          <w:p>
            <w:pPr>
              <w:spacing w:after="40" w:line="240"/>
              <w:jc w:val="left"/>
            </w:pPr>
            <w:r>
              <w:rPr>
                <w:rFonts w:ascii="Times New Roman" w:cs="Times New Roman" w:eastAsia="Times New Roman" w:hAnsi="Times New Roman"/>
                <w:sz w:val="18"/>
                <w:szCs w:val="18"/>
              </w:rPr>
              <w:t xml:space="preserve">O Edital remete aos 'quantitativos mínimos previstos nos Anexos', mas nem o Edital nem os anexos ou estudos definem as parcelas de maior relevância (valor individual de pelo menos 4% do total) ou quantitativos, como toneladas coletadas por mês, toneladas por dia em aterro ou capacidade de triagem (busca por 'maior relevância' sem resultado fora do Edital). Sem esse parâmetro, o julgamento da habilitação técnica não é objetivo. Para referência, 4% do VE equivalem a R$ 92,48 milhões, e os quantitativos não podem exceder 50% das parcelas.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67, §§ 1.º e 2.º, da Lei n.º 14.133/2021; art. 18, inciso V, da Lei n.º 8.987/1995, c/c art. 11, caput,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C-331</w:t>
            </w:r>
          </w:p>
          <w:p>
            <w:pPr>
              <w:spacing w:after="40" w:line="240"/>
              <w:jc w:val="left"/>
            </w:pPr>
            <w:r>
              <w:rPr>
                <w:rFonts w:ascii="Times New Roman" w:cs="Times New Roman" w:eastAsia="Times New Roman" w:hAnsi="Times New Roman"/>
                <w:sz w:val="18"/>
                <w:szCs w:val="18"/>
              </w:rPr>
              <w:t xml:space="preserve">E1-101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13.23.1.1 (PDF p. 37)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Exigência de 12 meses de execução 'contínua e ininterrupta'</w:t>
            </w:r>
          </w:p>
          <w:p>
            <w:pPr>
              <w:spacing w:after="40" w:line="240"/>
              <w:jc w:val="left"/>
            </w:pPr>
            <w:r>
              <w:rPr>
                <w:rFonts w:ascii="Times New Roman" w:cs="Times New Roman" w:eastAsia="Times New Roman" w:hAnsi="Times New Roman"/>
                <w:sz w:val="18"/>
                <w:szCs w:val="18"/>
              </w:rPr>
              <w:t xml:space="preserve">Para serviços contínuos, a lei admite exigir prazo mínimo de experiência 'em períodos sucessivos ou não'. A exigência de execução contínua e ininterrupta afasta a soma de períodos. A regra também se aplica a todas as atividades, inclusive obras, que não são serviço contínuo.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67, §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C-337</w:t>
            </w:r>
          </w:p>
          <w:p>
            <w:pPr>
              <w:spacing w:after="40" w:line="240"/>
              <w:jc w:val="left"/>
            </w:pPr>
            <w:r>
              <w:rPr>
                <w:rFonts w:ascii="Times New Roman" w:cs="Times New Roman" w:eastAsia="Times New Roman" w:hAnsi="Times New Roman"/>
                <w:sz w:val="18"/>
                <w:szCs w:val="18"/>
              </w:rPr>
              <w:t xml:space="preserve">E1-095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20.1.9 e 20.1.10 (PDF p. 49) × 13.30 (p. 39)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Condição precedente menciona 'empresa subcontratada' que a habilitação não prevê</w:t>
            </w:r>
          </w:p>
          <w:p>
            <w:pPr>
              <w:spacing w:after="40" w:line="240"/>
              <w:jc w:val="left"/>
            </w:pPr>
            <w:r>
              <w:rPr>
                <w:rFonts w:ascii="Times New Roman" w:cs="Times New Roman" w:eastAsia="Times New Roman" w:hAnsi="Times New Roman"/>
                <w:sz w:val="18"/>
                <w:szCs w:val="18"/>
              </w:rPr>
              <w:t xml:space="preserve">Os itens 20.1.9 e 20.1.10 tratam de atestados de 'empresa subcontratada' indicados no âmbito do item 13.30, que só admite profissionais. A qualificação por atestados de potencial subcontratado depende de previsão expressa no edital e é limitada a 25% do objeto.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67, § 9.º,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C-338</w:t>
            </w:r>
          </w:p>
          <w:p>
            <w:pPr>
              <w:spacing w:after="40" w:line="240"/>
              <w:jc w:val="left"/>
            </w:pPr>
            <w:r>
              <w:rPr>
                <w:rFonts w:ascii="Times New Roman" w:cs="Times New Roman" w:eastAsia="Times New Roman" w:hAnsi="Times New Roman"/>
                <w:sz w:val="18"/>
                <w:szCs w:val="18"/>
              </w:rPr>
              <w:t xml:space="preserve">E1-108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13.18.1 (PDF p. 35)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Regra de cálculo de 'indicadores' para consórcio sem índices definidos no Edital</w:t>
            </w:r>
          </w:p>
          <w:p>
            <w:pPr>
              <w:spacing w:after="40" w:line="240"/>
              <w:jc w:val="left"/>
            </w:pPr>
            <w:r>
              <w:rPr>
                <w:rFonts w:ascii="Times New Roman" w:cs="Times New Roman" w:eastAsia="Times New Roman" w:hAnsi="Times New Roman"/>
                <w:sz w:val="18"/>
                <w:szCs w:val="18"/>
              </w:rPr>
              <w:t xml:space="preserve">O Edital não exige índices contábeis (liquidez, endividamento, solvência), mas o 13.18.1 regula seu cálculo para consórcios. A regra pode servir de base para exigências não previstas ou indicar índices suprimidos de versão anterior. A ausência de índices, em si, não é irregular, pois a lei remete aos índices previstos no edital.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69, caput, inciso I, e §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C-339</w:t>
            </w:r>
          </w:p>
          <w:p>
            <w:pPr>
              <w:spacing w:after="40" w:line="240"/>
              <w:jc w:val="left"/>
            </w:pPr>
            <w:r>
              <w:rPr>
                <w:rFonts w:ascii="Times New Roman" w:cs="Times New Roman" w:eastAsia="Times New Roman" w:hAnsi="Times New Roman"/>
                <w:sz w:val="18"/>
                <w:szCs w:val="18"/>
              </w:rPr>
              <w:t xml:space="preserve">E1-109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13.10 (PDF p. 33) × 13.13 (p. 34) e 8.2, g (p. 18)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Certidão negativa de recuperação judicial exigida, embora o Edital admita empresas em recuperação</w:t>
            </w:r>
          </w:p>
          <w:p>
            <w:pPr>
              <w:spacing w:after="40" w:line="240"/>
              <w:jc w:val="left"/>
            </w:pPr>
            <w:r>
              <w:rPr>
                <w:rFonts w:ascii="Times New Roman" w:cs="Times New Roman" w:eastAsia="Times New Roman" w:hAnsi="Times New Roman"/>
                <w:sz w:val="18"/>
                <w:szCs w:val="18"/>
              </w:rPr>
              <w:t xml:space="preserve">A lei exige só certidão negativa de falência. O 13.10 pede também certidão negativa de recuperação judicial, enquanto o 13.13 e o 8.2, g, admitem empresas em recuperação com plano aprovado ou homologado, que não conseguem apresentar a certidão negativa exigida.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69, inciso II,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C-340</w:t>
            </w:r>
          </w:p>
          <w:p>
            <w:pPr>
              <w:spacing w:after="40" w:line="240"/>
              <w:jc w:val="left"/>
            </w:pPr>
            <w:r>
              <w:rPr>
                <w:rFonts w:ascii="Times New Roman" w:cs="Times New Roman" w:eastAsia="Times New Roman" w:hAnsi="Times New Roman"/>
                <w:sz w:val="18"/>
                <w:szCs w:val="18"/>
              </w:rPr>
              <w:t xml:space="preserve">E1-110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13.16 (PDF p. 34) × 13.16.4 (p. 35)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Balanço de abertura: 'menos de 1 ano' (13.16.4) × 'constituída no exercício' (13.16)</w:t>
            </w:r>
          </w:p>
          <w:p>
            <w:pPr>
              <w:spacing w:after="40" w:line="240"/>
              <w:jc w:val="left"/>
            </w:pPr>
            <w:r>
              <w:rPr>
                <w:rFonts w:ascii="Times New Roman" w:cs="Times New Roman" w:eastAsia="Times New Roman" w:hAnsi="Times New Roman"/>
                <w:sz w:val="18"/>
                <w:szCs w:val="18"/>
              </w:rPr>
              <w:t xml:space="preserve">O 13.16, conforme a lei, admite o balanço de abertura para empresas constituídas no mesmo exercício da licitação e o último exercício para as constituídas há menos de 2 anos. O 13.16.4 usa o critério de 'menos de 1 ano', que diverge quando a empresa foi constituída no exercício anterior e já tem balanço encerrado.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65, § 1.º, e art. 69, § 6.º,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C-341</w:t>
            </w:r>
          </w:p>
          <w:p>
            <w:pPr>
              <w:spacing w:after="40" w:line="240"/>
              <w:jc w:val="left"/>
            </w:pPr>
            <w:r>
              <w:rPr>
                <w:rFonts w:ascii="Times New Roman" w:cs="Times New Roman" w:eastAsia="Times New Roman" w:hAnsi="Times New Roman"/>
                <w:sz w:val="18"/>
                <w:szCs w:val="18"/>
              </w:rPr>
              <w:t xml:space="preserve">E1-111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13.19.4, 13.19.5 e 13.21 (PDF p. 35-36)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Certidões estadual e municipal exigidas cumulativamente de todos, inscritos ou não</w:t>
            </w:r>
          </w:p>
          <w:p>
            <w:pPr>
              <w:spacing w:after="40" w:line="240"/>
              <w:jc w:val="left"/>
            </w:pPr>
            <w:r>
              <w:rPr>
                <w:rFonts w:ascii="Times New Roman" w:cs="Times New Roman" w:eastAsia="Times New Roman" w:hAnsi="Times New Roman"/>
                <w:sz w:val="18"/>
                <w:szCs w:val="18"/>
              </w:rPr>
              <w:t xml:space="preserve">A lei prevê regularidade perante a Fazenda federal, estadual 'e/ou' municipal do domicílio ou sede, conforme a pertinência. O Edital exige as duas certidões de toda licitante e consorciada, inscrita ou não. Contra-argumento provável: a redação legal admite a exigência conjunta, e o 13.21 aceita documento do órgão público quando a certidão não for emitida.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68, inciso III,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Julgamento e proposta (3)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C-347</w:t>
            </w:r>
          </w:p>
          <w:p>
            <w:pPr>
              <w:spacing w:after="40" w:line="240"/>
              <w:jc w:val="left"/>
            </w:pPr>
            <w:r>
              <w:rPr>
                <w:rFonts w:ascii="Times New Roman" w:cs="Times New Roman" w:eastAsia="Times New Roman" w:hAnsi="Times New Roman"/>
                <w:sz w:val="18"/>
                <w:szCs w:val="18"/>
              </w:rPr>
              <w:t xml:space="preserve">E1-065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10.1 e 10.1.1 (PDF p. 22), rótulo do Envelope 2 (p. 23), 10.9 (p. 24), 12.1 (p. 30) e 15.8.4 (p. 41); Anexo C, Carta de Apresentação da Proposta Econômica (p. 25-26)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Envelope 2 deve ser anônimo, mas rótulo e modelo de proposta exigem identificação</w:t>
            </w:r>
          </w:p>
          <w:p>
            <w:pPr>
              <w:spacing w:after="40" w:line="240"/>
              <w:jc w:val="left"/>
            </w:pPr>
            <w:r>
              <w:rPr>
                <w:rFonts w:ascii="Times New Roman" w:cs="Times New Roman" w:eastAsia="Times New Roman" w:hAnsi="Times New Roman"/>
                <w:sz w:val="18"/>
                <w:szCs w:val="18"/>
              </w:rPr>
              <w:t xml:space="preserve">Os itens 10.1.1 e 15.8.4 desclassificam a proposta que identifique o licitante. Ainda assim, o rótulo do Envelope 2 traz razão social e líder; o 12.1 exige assinatura pelos representantes credenciados; o 10.9 exige assinatura ICP-Brasil, que identifica o signatário; e o modelo obrigatório da Carta de Proposta pede razão social, CNPJ, sede e representantes. Cumprir o modelo leva à desclassificação, e cumprir a vedação contraria o modelo.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(vinculação ao edital e julgamento objetivo) e art. 59, inciso I,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C-348</w:t>
            </w:r>
          </w:p>
          <w:p>
            <w:pPr>
              <w:spacing w:after="40" w:line="240"/>
              <w:jc w:val="left"/>
            </w:pPr>
            <w:r>
              <w:rPr>
                <w:rFonts w:ascii="Times New Roman" w:cs="Times New Roman" w:eastAsia="Times New Roman" w:hAnsi="Times New Roman"/>
                <w:sz w:val="18"/>
                <w:szCs w:val="18"/>
              </w:rPr>
              <w:t xml:space="preserve">E1-076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11.22 e 11.23 (PDF p. 30) e 13.1, f (p. 32); Anexo C, Declaração 5 (p. 11)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Sem modelo de declaração de desempate que permita assinalar os critérios; exigência duplicada</w:t>
            </w:r>
          </w:p>
          <w:p>
            <w:pPr>
              <w:spacing w:after="40" w:line="240"/>
              <w:jc w:val="left"/>
            </w:pPr>
            <w:r>
              <w:rPr>
                <w:rFonts w:ascii="Times New Roman" w:cs="Times New Roman" w:eastAsia="Times New Roman" w:hAnsi="Times New Roman"/>
                <w:sz w:val="18"/>
                <w:szCs w:val="18"/>
              </w:rPr>
              <w:t xml:space="preserve">O Edital exige declaração em que se assinalem os critérios de desempate atendidos no Envelope 1 (11.22) e de novo no Envelope 3 (13.1, f), 'conforme Modelo do ANEXO C'. O único modelo correlato (Declaração 5 – Independência na formulação da proposta) não tem campo para assinalar ações de equidade, programa de integridade, sede no Estado ou demais preferências.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60, incisos III e IV, e § 1.º, e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C-349</w:t>
            </w:r>
          </w:p>
          <w:p>
            <w:pPr>
              <w:spacing w:after="40" w:line="240"/>
              <w:jc w:val="left"/>
            </w:pPr>
            <w:r>
              <w:rPr>
                <w:rFonts w:ascii="Times New Roman" w:cs="Times New Roman" w:eastAsia="Times New Roman" w:hAnsi="Times New Roman"/>
                <w:sz w:val="18"/>
                <w:szCs w:val="18"/>
              </w:rPr>
              <w:t xml:space="preserve">E1-083, E7-058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13.22.3 (PDF p. 36) e 15.15.1-15.15.5 (p. 42-43); P7 III.4.5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Empate ficto e regularização tardia de ME/EPP aplicados a contratação de R$ 2,3 bilhões</w:t>
            </w:r>
          </w:p>
          <w:p>
            <w:pPr>
              <w:spacing w:after="40" w:line="240"/>
              <w:jc w:val="left"/>
            </w:pPr>
            <w:r>
              <w:rPr>
                <w:rFonts w:ascii="Times New Roman" w:cs="Times New Roman" w:eastAsia="Times New Roman" w:hAnsi="Times New Roman"/>
                <w:sz w:val="18"/>
                <w:szCs w:val="18"/>
              </w:rPr>
              <w:t xml:space="preserve">Os benefícios dos arts. 42 a 49 da LC 123/2006 não se aplicam quando o valor estimado, ou o valor anual em contratos de mais de 1 ano, supera a receita bruta máxima de EPP. O valor anual é de R$ 78 milhões e o VE, de R$ 2,3 bilhões. O próprio 15.15.5 afasta a exclusividade e a cota 'dada a natureza e a dimensão do OBJETO', mas mantém o empate ficto e o prazo de regularização fiscal (13.22.3); o P7 sustenta que o empate ficto se aplicaria automaticamente.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4.º, § 1.º, incisos I e II, e § 3.º, da Lei n.º 14.133/2021; arts. 44 e 45 da Lei Complementar n.º 123/2006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Questões formais e condições prévias (40)</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C-351</w:t>
            </w:r>
          </w:p>
          <w:p>
            <w:pPr>
              <w:spacing w:after="40" w:line="240"/>
              <w:jc w:val="left"/>
            </w:pPr>
            <w:r>
              <w:rPr>
                <w:rFonts w:ascii="Times New Roman" w:cs="Times New Roman" w:eastAsia="Times New Roman" w:hAnsi="Times New Roman"/>
                <w:sz w:val="18"/>
                <w:szCs w:val="18"/>
              </w:rPr>
              <w:t xml:space="preserve">E1-004, E1-005, E3-002, E7-007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5.2 (PDF p. 15); Contrato cl. 15.1.1 (p. 37); P7 X.2.2 (p. 66) e XII.4 (p. 72)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Dotação, LDO e PPA em branco no Edital e no Contrato; pendência reconhecida no P7</w:t>
            </w:r>
          </w:p>
          <w:p>
            <w:pPr>
              <w:spacing w:after="40" w:line="240"/>
              <w:jc w:val="left"/>
            </w:pPr>
            <w:r>
              <w:rPr>
                <w:rFonts w:ascii="Times New Roman" w:cs="Times New Roman" w:eastAsia="Times New Roman" w:hAnsi="Times New Roman"/>
                <w:sz w:val="18"/>
                <w:szCs w:val="18"/>
              </w:rPr>
              <w:t xml:space="preserve">Ação programática, elemento de despesa, fonte, exercício da LDO e PPA estão em branco no Edital e no Contrato. O P7 (2.ª versão, 11/09/2026, posterior ao Edital de 08/09/2026) inclui a 'formalização da dotação orçamentária na LDO e no PPA' entre as providências ainda pendentes. O Edital situa a dotação na LDO e no PPA; a lei exige compatibilidade com a LDO, previsão na LOA (declaração do ordenador, G4-004) e previsão do objeto no PPA em vigor. A indicação do crédito pelo qual corre a despesa é cláusula necessária do contrato.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incisos III e V, da Lei n.º 11.079/2004; art. 92, inciso VIII, da Lei n.º 14.133/2021; art. 167, incisos I e II, e § 1.º, da Constituição Federal</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C-352</w:t>
            </w:r>
          </w:p>
          <w:p>
            <w:pPr>
              <w:spacing w:after="40" w:line="240"/>
              <w:jc w:val="left"/>
            </w:pPr>
            <w:r>
              <w:rPr>
                <w:rFonts w:ascii="Times New Roman" w:cs="Times New Roman" w:eastAsia="Times New Roman" w:hAnsi="Times New Roman"/>
                <w:sz w:val="18"/>
                <w:szCs w:val="18"/>
              </w:rPr>
              <w:t xml:space="preserve">E1-006, E7-009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preâmbulo, 5.º parágrafo (PDF p. 5); P7 X.2.1 (p. 66) e XII.4 (p. 72)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Consulta pública dada como realizada, sem datas; P7 a trata como pendente</w:t>
            </w:r>
          </w:p>
          <w:p>
            <w:pPr>
              <w:spacing w:after="40" w:line="240"/>
              <w:jc w:val="left"/>
            </w:pPr>
            <w:r>
              <w:rPr>
                <w:rFonts w:ascii="Times New Roman" w:cs="Times New Roman" w:eastAsia="Times New Roman" w:hAnsi="Times New Roman"/>
                <w:sz w:val="18"/>
                <w:szCs w:val="18"/>
              </w:rPr>
              <w:t xml:space="preserve">O Edital declara, no passado, que a consulta pública foi realizada, mas deixa as datas em branco. O P7, de 11/09/2026 (posterior ao Edital), afirma que as datas 'devem ser definidas' e inclui a consulta entre os pontos prévios ao Edital ainda pendentes (XII.4). A lei exige publicação na imprensa oficial, em jornais de grande circulação e por meio eletrônico, com justificativa, objeto, prazo e valor estimado, prazo mínimo de 30 dias para sugestões e término ao menos 7 dias antes da publicação do edital. Em saneamento, a consulta e a audiência prévias sobre o edital e a minuta do contrato são condição de validade do contrato. Se a consulta ocorreu, faltam no pacote os avisos, o prazo efetivo, o relatório de contribuições e as respostas.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VI, da Lei n.º 11.079/2004; art. 11, inciso IV,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C-353</w:t>
            </w:r>
          </w:p>
          <w:p>
            <w:pPr>
              <w:spacing w:after="40" w:line="240"/>
              <w:jc w:val="left"/>
            </w:pPr>
            <w:r>
              <w:rPr>
                <w:rFonts w:ascii="Times New Roman" w:cs="Times New Roman" w:eastAsia="Times New Roman" w:hAnsi="Times New Roman"/>
                <w:sz w:val="18"/>
                <w:szCs w:val="18"/>
              </w:rPr>
              <w:t xml:space="preserve">E1-007, E7-062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preâmbulo, 4.º parágrafo (PDF p. 5); P7 X.2.1 (p. 66)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Audiência pública com fundamento legal errado (arts. 173 e 14, VI) e sem data</w:t>
            </w:r>
          </w:p>
          <w:p>
            <w:pPr>
              <w:spacing w:after="40" w:line="240"/>
              <w:jc w:val="left"/>
            </w:pPr>
            <w:r>
              <w:rPr>
                <w:rFonts w:ascii="Times New Roman" w:cs="Times New Roman" w:eastAsia="Times New Roman" w:hAnsi="Times New Roman"/>
                <w:sz w:val="18"/>
                <w:szCs w:val="18"/>
              </w:rPr>
              <w:t xml:space="preserve">O art. 173 da Lei 14.133 trata da capacitação promovida pelos tribunais de contas, e o art. 14, dos impedimentos de participação; a audiência pública está no art. 21. A data da audiência está em branco. O P7 não menciona o art. 11, IV, da Lei 11.445, que torna a audiência e a consulta prévias condição de validade do contrato.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21, caput, da Lei n.º 14.133/2021; art. 11, inciso IV,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C-354</w:t>
            </w:r>
          </w:p>
          <w:p>
            <w:pPr>
              <w:spacing w:after="40" w:line="240"/>
              <w:jc w:val="left"/>
            </w:pPr>
            <w:r>
              <w:rPr>
                <w:rFonts w:ascii="Times New Roman" w:cs="Times New Roman" w:eastAsia="Times New Roman" w:hAnsi="Times New Roman"/>
                <w:sz w:val="18"/>
                <w:szCs w:val="18"/>
              </w:rPr>
              <w:t xml:space="preserve">E3-092, E7-076, E1-096, E4-033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20.1.8 (PDF p. 49), 21.1, 21.1.1 e 21.1.2 (p. 50); Contrato cl. 10.7 e 10.7.1 (p. 30); P7 I.3 (p. 12) e X.1 (p. 65-66)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Ressarcimento dos estudos: valor fixo, teto ou corrigido pelo IPCA; pagador e forma divergentes</w:t>
            </w:r>
          </w:p>
          <w:p>
            <w:pPr>
              <w:spacing w:after="40" w:line="240"/>
              <w:jc w:val="left"/>
            </w:pPr>
            <w:r>
              <w:rPr>
                <w:rFonts w:ascii="Times New Roman" w:cs="Times New Roman" w:eastAsia="Times New Roman" w:hAnsi="Times New Roman"/>
                <w:sz w:val="18"/>
                <w:szCs w:val="18"/>
              </w:rPr>
              <w:t xml:space="preserve">O Edital 21.1.1 fixa o valor de R$ 3.142.250,00; o 20.1.8 manda corrigi-lo pelo IPCA desde a data-base e pagá-lo por boleto ao consórcio; o 21.1.2 admite pagamento direto às empresas do consórcio; o Contrato 10.7.1 trata o valor como 'máximo'; o P7 o chama de 'fixado' (p. 65) e de 'teto' (p. 12). O Edital atribui o pagamento à ADJUDICATÁRIA (21.1), e o Contrato, à Concessionária (10.7), que é a SPE constituída após a adjudicação; a lei atribui o ressarcimento ao vencedor da licitação. Ficam indefinidos o valor exato, quem paga e a quem, embora o pagamento seja condição para a assinatura.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21 da Lei n.º 8.987/1995, c/c art. 3.º, caput, e art. 11, caput, da Lei n.º 11.079/2004; art. 81 da Lei n.º 14.133/2021; art. 28, § 2.º, da Lei Complementar Municipal n.º 592/2015 (conforme citado no Edital e no Contrato)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C-355</w:t>
            </w:r>
          </w:p>
          <w:p>
            <w:pPr>
              <w:spacing w:after="40" w:line="240"/>
              <w:jc w:val="left"/>
            </w:pPr>
            <w:r>
              <w:rPr>
                <w:rFonts w:ascii="Times New Roman" w:cs="Times New Roman" w:eastAsia="Times New Roman" w:hAnsi="Times New Roman"/>
                <w:sz w:val="18"/>
                <w:szCs w:val="18"/>
              </w:rPr>
              <w:t xml:space="preserve">E4-033, E1-097, E7-076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21.1.1 (PDF p. 50); Contrato cl. 10.7.1 (p. 30); P7 X.1 (p. 65-66); P6 (sem rubrica)</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Dispêndios do ressarcimento não especificados; base de 2,5% não indicada; ausente do P6</w:t>
            </w:r>
          </w:p>
          <w:p>
            <w:pPr>
              <w:spacing w:after="40" w:line="240"/>
              <w:jc w:val="left"/>
            </w:pPr>
            <w:r>
              <w:rPr>
                <w:rFonts w:ascii="Times New Roman" w:cs="Times New Roman" w:eastAsia="Times New Roman" w:hAnsi="Times New Roman"/>
                <w:sz w:val="18"/>
                <w:szCs w:val="18"/>
              </w:rPr>
              <w:t xml:space="preserve">A lei exige que os dispêndios a ressarcir sejam especificados no edital; nenhum documento discrimina os custos dos estudos. R$ 3.142.250,00 corresponde exatamente a 2,5% de R$ 125,69 milhões, valor que não coincide com os investimentos do P2 e do P6 (R$ 298,3 milhões a R$ 313,8 milhões) nem é indicado como base em outro documento. Sobre o CAPEX do P6, o valor equivale a cerca de 1% e fica abaixo do teto municipal (G4-100). Com a correção pelo IPCA do Edital 20.1.8, o valor pago pode superar o fixado. Não localizei no texto do P6 rubrica do ressarcimento (busca por 'ressarc', '3.142', 'PMI' e 'MIP'), e a planilha do modelo não integra o pacote; a omissão de custos pré-operacionais no P2 fica em MODELAGEM_ECONOMICA (E6-039).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21 da Lei n.º 8.987/1995, c/c art. 3.º, caput, da Lei n.º 11.079/2004; art. 28, § 2.º, da Lei Complementar Municipal n.º 592/2015 (conforme citado no Contrato)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C-356</w:t>
            </w:r>
          </w:p>
          <w:p>
            <w:pPr>
              <w:spacing w:after="40" w:line="240"/>
              <w:jc w:val="left"/>
            </w:pPr>
            <w:r>
              <w:rPr>
                <w:rFonts w:ascii="Times New Roman" w:cs="Times New Roman" w:eastAsia="Times New Roman" w:hAnsi="Times New Roman"/>
                <w:sz w:val="18"/>
                <w:szCs w:val="18"/>
              </w:rPr>
              <w:t xml:space="preserve">E7-081, E7-083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P0 índice (PDF p. 2), I.2 (p. 4), I.4 (p. 6), IV.1 (p. 26-27), Quadro 2 (p. 28), IV.2.3 e Quadro 5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Plano de Trabalho (P0) sem o cronograma detalhado exigido e com inconsistências internas</w:t>
            </w:r>
          </w:p>
          <w:p>
            <w:pPr>
              <w:spacing w:after="40" w:line="240"/>
              <w:jc w:val="left"/>
            </w:pPr>
            <w:r>
              <w:rPr>
                <w:rFonts w:ascii="Times New Roman" w:cs="Times New Roman" w:eastAsia="Times New Roman" w:hAnsi="Times New Roman"/>
                <w:sz w:val="18"/>
                <w:szCs w:val="18"/>
              </w:rPr>
              <w:t xml:space="preserve">O Termo de Autorização exigia cronograma detalhado em 15 dias (compromisso ii, P0 p. 4). O P0 traz 'até x dias', marcos 'xxxx' e 'Cadernos x e x', Quadro 2 com kick-off 'TBD' e sem datas para as entregas, e Quadro 5 vazio. O item IV.2.3 fala em cronograma de 90 dias, contra 240 dias no restante; o índice e o item I.4 anunciam capítulos V e VI que não existem; o índice remete ao 'Quadro 7' na p. 20, que é o Quadro 6 na p. 33. O P0 não permite aferir marcos nem entregas intermediárias.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Termo de Autorização n.º 005/2025, compromisso (ii) (fato documental: P0, p. 4); não localizei fundamento normativo específico além do próprio Termo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C-357</w:t>
            </w:r>
          </w:p>
          <w:p>
            <w:pPr>
              <w:spacing w:after="40" w:line="240"/>
              <w:jc w:val="left"/>
            </w:pPr>
            <w:r>
              <w:rPr>
                <w:rFonts w:ascii="Times New Roman" w:cs="Times New Roman" w:eastAsia="Times New Roman" w:hAnsi="Times New Roman"/>
                <w:sz w:val="18"/>
                <w:szCs w:val="18"/>
              </w:rPr>
              <w:t xml:space="preserve">E1-017, E3-003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Capas do Edital (PDF p. 1), do Anexo C (p. 1), do Contrato (p. 1), do Anexo IV (p. 1), do Anexo VI (p. 1) e do Anexo VII (p. 1); rodapés com endereço da consultoria; Anexo C, última página (p. 27)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Edital e anexos com marca, licença CC BY-NC-ND e contato comercial da consultoria</w:t>
            </w:r>
          </w:p>
          <w:p>
            <w:pPr>
              <w:spacing w:after="40" w:line="240"/>
              <w:jc w:val="left"/>
            </w:pPr>
            <w:r>
              <w:rPr>
                <w:rFonts w:ascii="Times New Roman" w:cs="Times New Roman" w:eastAsia="Times New Roman" w:hAnsi="Times New Roman"/>
                <w:sz w:val="18"/>
                <w:szCs w:val="18"/>
              </w:rPr>
              <w:t xml:space="preserve">O Edital, o Contrato e os anexos foram juntados como produtos da consultoria: capa com o nome do consórcio de estudos e codificação de produto ('P7: EDITAL', 'P7: CONTRATO', 'P7: ANEXO VI', 'P6: ANEXO IV', 'P6: ANEXO VII'), versão datada em São Paulo, licença Creative Commons BY-NC-ND, endereço da consultoria nos rodapés e página de contato comercial. Atos oficiais não são objeto de proteção autoral, e a cláusula 'sem derivações' é incompatível com documento que a Administração precisa alterar e republicar. A codificação P6/P7 dos anexos contratuais diverge entre si. Pode ser artefato de minuta; é preciso verificar a versão publicada pela SEINFRA.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inciso IV, da Lei n.º 9.610/1998; art. 5.º da Lei n.º 14.133/2021 (publicidade e impessoalidade)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C-358</w:t>
            </w:r>
          </w:p>
          <w:p>
            <w:pPr>
              <w:spacing w:after="40" w:line="240"/>
              <w:jc w:val="left"/>
            </w:pPr>
            <w:r>
              <w:rPr>
                <w:rFonts w:ascii="Times New Roman" w:cs="Times New Roman" w:eastAsia="Times New Roman" w:hAnsi="Times New Roman"/>
                <w:sz w:val="18"/>
                <w:szCs w:val="18"/>
              </w:rPr>
              <w:t xml:space="preserve">E2-001, E5-001, E6-001, E7-082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A (PDF p. 1 e 65); Anexo D (p. 1, 14, 15 e 22); Anexo III (p. 1 e 35); P0 (p. 29, 33 e 34); P1 (p. 1 e 110); P2 (p. 1, 38, 39, 41, 43, 47 e 50); P4 (p. 1, 33 e 40)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Cabeçalhos 'PROPOSTA JOF 3314/2021 | PEZCO, RPG&amp;REINFRA' em anexos editalícios e estudos</w:t>
            </w:r>
          </w:p>
          <w:p>
            <w:pPr>
              <w:spacing w:after="40" w:line="240"/>
              <w:jc w:val="left"/>
            </w:pPr>
            <w:r>
              <w:rPr>
                <w:rFonts w:ascii="Times New Roman" w:cs="Times New Roman" w:eastAsia="Times New Roman" w:hAnsi="Times New Roman"/>
                <w:sz w:val="18"/>
                <w:szCs w:val="18"/>
              </w:rPr>
              <w:t xml:space="preserve">Os cabeçalhos identificam proposta de 2021 de outro arranjo de consultoria (PEZCO, RPG&amp;REINFRA), distinto do consórcio autorizado no procedimento 005/2025. O cabeçalho aparece em páginas de conteúdo vinculante, como a tabela de metas e pesos do Anexo D (p. 14) e as páginas de balanço de massa e de CAPEX do P2. O Edital atribui caráter vinculante aos estudos (2.11) e integra o EVTEA ao Contrato, de modo que a interpretação fica vinculada a documentos cuja autoria e versão não são rastreáveis pelo próprio texto.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da Lei n.º 14.133/2021 (transparência e segurança jurídica)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C-359</w:t>
            </w:r>
          </w:p>
          <w:p>
            <w:pPr>
              <w:spacing w:after="40" w:line="240"/>
              <w:jc w:val="left"/>
            </w:pPr>
            <w:r>
              <w:rPr>
                <w:rFonts w:ascii="Times New Roman" w:cs="Times New Roman" w:eastAsia="Times New Roman" w:hAnsi="Times New Roman"/>
                <w:sz w:val="18"/>
                <w:szCs w:val="18"/>
              </w:rPr>
              <w:t xml:space="preserve">E2-002, E3-003, E6-001, E7-079, E4-066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Capas: Edital, Contrato, Anexo V e Anexo VI (2.ª versão, 08/09/2026); Anexo A (1.ª revisão, 11/09/2026); Anexo C (2.ª versão, 11/09/2026); Anexo III (1.ª revisão, 10/09/2026); Anexo D (1.ª versão, 01/09/2026); Anexos IV e VII (2.ª versão, 21/08/2026); P2 (p. 1); P6 (1.ª versão, 26/05/2026); P7 (2.ª versão, 11/09/2026); P7 XII.4 (p. 72); Anexo V, EF-02 e EF-03 (p. 29-30)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Cronologia de versões incoerente entre Edital, anexos e estudos</w:t>
            </w:r>
          </w:p>
          <w:p>
            <w:pPr>
              <w:spacing w:after="40" w:line="240"/>
              <w:jc w:val="left"/>
            </w:pPr>
            <w:r>
              <w:rPr>
                <w:rFonts w:ascii="Times New Roman" w:cs="Times New Roman" w:eastAsia="Times New Roman" w:hAnsi="Times New Roman"/>
                <w:sz w:val="18"/>
                <w:szCs w:val="18"/>
              </w:rPr>
              <w:t xml:space="preserve">O Caderno de Encargos, o Anexo C e o Anexo III têm revisões posteriores à 2.ª versão do Edital. O P7, que fundamenta juridicamente as minutas, é posterior a elas e registra pendências que, segundo ele, devem ser resolvidas antes da publicação (datas da consulta e da audiência, dotação, Convenção 169). No P2, a 1.ª revisão (02/03/2026) é anterior à 1.ª versão (30/03/2026). O P6 permanece na 1.ª versão de 26/05/2026, anterior às revisões de P1 a P4 e dos anexos (a desatualização da modelagem fica em MODELAGEM_ECONOMICA, E4-001). A Matriz remete à 'página 50 do P6' para a CAPAG, que está nas p. 58-59 da versão juntada, e à 'página 22' para combustíveis, que estão na p. 23. O pacote não indica qual versão de cada documento foi submetida à consulta pública nem qual será publicada.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e art. 55, § 1.º, da Lei n.º 14.133/2021; art. 10, inciso VI,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C-360</w:t>
            </w:r>
          </w:p>
          <w:p>
            <w:pPr>
              <w:spacing w:after="40" w:line="240"/>
              <w:jc w:val="left"/>
            </w:pPr>
            <w:r>
              <w:rPr>
                <w:rFonts w:ascii="Times New Roman" w:cs="Times New Roman" w:eastAsia="Times New Roman" w:hAnsi="Times New Roman"/>
                <w:sz w:val="18"/>
                <w:szCs w:val="18"/>
              </w:rPr>
              <w:t xml:space="preserve">E1-018, E3-003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2.13.1 (PDF p. 12); capas dos anexos (21/08/2026 a 11/09/2026)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Critério 'data mais recente' para divergências entre anexos que têm datas e versões próprias</w:t>
            </w:r>
          </w:p>
          <w:p>
            <w:pPr>
              <w:spacing w:after="40" w:line="240"/>
              <w:jc w:val="left"/>
            </w:pPr>
            <w:r>
              <w:rPr>
                <w:rFonts w:ascii="Times New Roman" w:cs="Times New Roman" w:eastAsia="Times New Roman" w:hAnsi="Times New Roman"/>
                <w:sz w:val="18"/>
                <w:szCs w:val="18"/>
              </w:rPr>
              <w:t xml:space="preserve">Os anexos têm datas próprias, de 21/08/2026 a 11/09/2026, e versões sucessivas. Pelo critério, o Anexo IV e o Anexo VII (21/08/2026) cederiam ao Contrato (08/09/2026), e este ao Caderno de Encargos e ao Anexo C (11/09/2026), qualquer que seja a matéria. A prevalência se desloca para o documento revisado por último, sem relação com sua hierarquia ou especialidade.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da Lei n.º 14.133/2021 (vinculação ao edital e segurança jurídica)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C-361</w:t>
            </w:r>
          </w:p>
          <w:p>
            <w:pPr>
              <w:spacing w:after="40" w:line="240"/>
              <w:jc w:val="left"/>
            </w:pPr>
            <w:r>
              <w:rPr>
                <w:rFonts w:ascii="Times New Roman" w:cs="Times New Roman" w:eastAsia="Times New Roman" w:hAnsi="Times New Roman"/>
                <w:sz w:val="18"/>
                <w:szCs w:val="18"/>
              </w:rPr>
              <w:t xml:space="preserve">E1-019, E3-006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2.11.2, 2.13, 2.13.1 e 2.14 (PDF p. 12); Contrato cl. 1.2 (p. 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Regras de prevalência conflitantes: Edital prevalece (2.13.1) × Contrato prevalece (cl. 1.2)</w:t>
            </w:r>
          </w:p>
          <w:p>
            <w:pPr>
              <w:spacing w:after="40" w:line="240"/>
              <w:jc w:val="left"/>
            </w:pPr>
            <w:r>
              <w:rPr>
                <w:rFonts w:ascii="Times New Roman" w:cs="Times New Roman" w:eastAsia="Times New Roman" w:hAnsi="Times New Roman"/>
                <w:sz w:val="18"/>
                <w:szCs w:val="18"/>
              </w:rPr>
              <w:t xml:space="preserve">O Contrato é o Anexo B do Edital. O Edital manda prevalecer o Edital sobre os anexos (ressalvadas as matérias remetidas aos anexos); o Contrato manda prevalecer o Contrato sobre o Edital; o item 2.11.2 cria regra própria para o EVTEA; e o 2.13.1 resolve divergências entre anexos pela data. São ao menos três critérios incompatíveis, aplicáveis às divergências Edital × Contrato apontadas nos demais grupos (Ordem de Início, Licença Prévia, prorrogação, garantia de execução).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e art. 92, inciso II, da Lei n.º 14.133/2021; art. 18, inciso XIV, da Lei n.º 8.987/1995, c/c art. 11, caput,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C-362</w:t>
            </w:r>
          </w:p>
          <w:p>
            <w:pPr>
              <w:spacing w:after="40" w:line="240"/>
              <w:jc w:val="left"/>
            </w:pPr>
            <w:r>
              <w:rPr>
                <w:rFonts w:ascii="Times New Roman" w:cs="Times New Roman" w:eastAsia="Times New Roman" w:hAnsi="Times New Roman"/>
                <w:sz w:val="18"/>
                <w:szCs w:val="18"/>
              </w:rPr>
              <w:t xml:space="preserve">E1-032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2.8 e 2.9 (PDF p. 11), 2.14 (p. 12) e 15.8.3.4 (p. 41); Contrato cl. 2.1 (p. 11)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Dupla numeração de anexos (A-D do Edital e I-VII do Contrato), circular e incompleta</w:t>
            </w:r>
          </w:p>
          <w:p>
            <w:pPr>
              <w:spacing w:after="40" w:line="240"/>
              <w:jc w:val="left"/>
            </w:pPr>
            <w:r>
              <w:rPr>
                <w:rFonts w:ascii="Times New Roman" w:cs="Times New Roman" w:eastAsia="Times New Roman" w:hAnsi="Times New Roman"/>
                <w:sz w:val="18"/>
                <w:szCs w:val="18"/>
              </w:rPr>
              <w:t xml:space="preserve">O Edital tem os Anexos A a D, e o Contrato (Anexo B) tem os Anexos I a VII. O Anexo I do Contrato é o próprio Edital, o que torna a remissão circular. Caderno de Encargos e Indicadores (Anexos A e D) só integram o Contrato por meio do Anexo I, e os Anexos III a VII só integram o Edital dentro de 'Contrato e anexos'. O texto alterna numerações ('ANEXO V – Matriz de riscos', 'Anexo de Diretrizes Ambientais'), o que se soma às remissões erradas do Contrato (G4-042) e do TR do Verificador (G4-040).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da Lei n.º 14.133/2021; art. 18, inciso XIV, da Lei n.º 8.987/1995, c/c art. 11, caput,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C-363</w:t>
            </w:r>
          </w:p>
          <w:p>
            <w:pPr>
              <w:spacing w:after="40" w:line="240"/>
              <w:jc w:val="left"/>
            </w:pPr>
            <w:r>
              <w:rPr>
                <w:rFonts w:ascii="Times New Roman" w:cs="Times New Roman" w:eastAsia="Times New Roman" w:hAnsi="Times New Roman"/>
                <w:sz w:val="18"/>
                <w:szCs w:val="18"/>
              </w:rPr>
              <w:t xml:space="preserve">E1-001, E3-001, E4-086, E2-096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capa interna (PDF p. 2), preâmbulo (p. 4-5), 1.1.39 (p. 9), 9.5 (p. 21), 11.13, a (p. 28), 23.1 (p. 52-53) e fecho (p. 54); Contrato, capa (p. 2), preâmbulo (p. 5), cl. 1.3.26 e 2.1 (p. 9-11); Anexo V (p. 2); Anexo VII (capa); Anexo C (p. 2); Anexos IV e VI (preâmbulos)</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Placeholders na identificação do certame (número, processo, plataforma, datas, cronograma, representantes)</w:t>
            </w:r>
          </w:p>
          <w:p>
            <w:pPr>
              <w:spacing w:after="40" w:line="240"/>
              <w:jc w:val="left"/>
            </w:pPr>
            <w:r>
              <w:rPr>
                <w:rFonts w:ascii="Times New Roman" w:cs="Times New Roman" w:eastAsia="Times New Roman" w:hAnsi="Times New Roman"/>
                <w:sz w:val="18"/>
                <w:szCs w:val="18"/>
              </w:rPr>
              <w:t xml:space="preserve">Estão em branco o número da concorrência e do processo administrativo, a plataforma eletrônica e seu endereço, a data e a hora de entrega dos envelopes, as datas do aviso, o período de visitas técnicas, todo o cronograma (eventos 1 a 11), os dados do DAM da caução e a secretaria signatária. No Contrato e nos Anexos IV, V, VI, VII e C faltam o número do certame e do processo, com três padrões distintos de lacuna ([*], [ • ], XXX). O número do processo é menção obrigatória do contrato. Pode tratar-se de minuta anterior à publicação; é preciso verificar se a versão publicada preencheu os campos.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25, caput, e art. 89, § 1.º, da Lei n.º 14.133/2021; art. 18, inciso III, da Lei n.º 8.987/1995, c/c art. 11, caput,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C-364</w:t>
            </w:r>
          </w:p>
          <w:p>
            <w:pPr>
              <w:spacing w:after="40" w:line="240"/>
              <w:jc w:val="left"/>
            </w:pPr>
            <w:r>
              <w:rPr>
                <w:rFonts w:ascii="Times New Roman" w:cs="Times New Roman" w:eastAsia="Times New Roman" w:hAnsi="Times New Roman"/>
                <w:sz w:val="18"/>
                <w:szCs w:val="18"/>
              </w:rPr>
              <w:t xml:space="preserve">E3-077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26.3, inciso viii (PDF p. 57)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Faixa de multa da cl. 26.3, viii, do Contrato mantida entre colchetes</w:t>
            </w:r>
          </w:p>
          <w:p>
            <w:pPr>
              <w:spacing w:after="40" w:line="240"/>
              <w:jc w:val="left"/>
            </w:pPr>
            <w:r>
              <w:rPr>
                <w:rFonts w:ascii="Times New Roman" w:cs="Times New Roman" w:eastAsia="Times New Roman" w:hAnsi="Times New Roman"/>
                <w:sz w:val="18"/>
                <w:szCs w:val="18"/>
              </w:rPr>
              <w:t xml:space="preserve">A faixa da multa pelo recebimento de resíduos fora do escopo sem registro e comunicação permanece entre colchetes, o que indica valor não definido na minuta. A amplitude das faixas e as multas sem valor das cl. 9.6, 21.1.5 e 26.3 ficam em REGULACAO_FISCALIZACAO (E3-096, E3-099).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92, inciso XIV, da Lei n.º 14.133/2021; art. 23, inciso VIII, da Lei n.º 8.987/1995</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C-365</w:t>
            </w:r>
          </w:p>
          <w:p>
            <w:pPr>
              <w:spacing w:after="40" w:line="240"/>
              <w:jc w:val="left"/>
            </w:pPr>
            <w:r>
              <w:rPr>
                <w:rFonts w:ascii="Times New Roman" w:cs="Times New Roman" w:eastAsia="Times New Roman" w:hAnsi="Times New Roman"/>
                <w:sz w:val="18"/>
                <w:szCs w:val="18"/>
              </w:rPr>
              <w:t xml:space="preserve">E1-020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preâmbulo (PDF p. 5); 1.1.39 (p. 9); 2.4 e 2.5 (p. 10); 7.1 e 7.6.1 (p. 16-17); 9.4 (p. 21); 10.3 (p. 23)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Esclarecimentos, impugnações e visitas por conta Gmail, embora a plataforma concentre 'todos os atos'</w:t>
            </w:r>
          </w:p>
          <w:p>
            <w:pPr>
              <w:spacing w:after="40" w:line="240"/>
              <w:jc w:val="left"/>
            </w:pPr>
            <w:r>
              <w:rPr>
                <w:rFonts w:ascii="Times New Roman" w:cs="Times New Roman" w:eastAsia="Times New Roman" w:hAnsi="Times New Roman"/>
                <w:sz w:val="18"/>
                <w:szCs w:val="18"/>
              </w:rPr>
              <w:t xml:space="preserve">A definição de PLATAFORMA ELETRÔNICA diz que todos os atos da licitação serão nela praticados, e o 10.3 veda o protocolo de documentos por correio eletrônico. Ainda assim, esclarecimentos, impugnações e agendamento de visitas vão a um 'ENDEREÇO ELETRÔNICO' não definido, identificado no preâmbulo como conta de provedor privado. O item 2.4 remete ao 'SÍTIO ELETRÔNICO' e o 2.5 a portovelho.ro.gov.br e ao PNCP. Não localizei norma que vede expressamente e-mail de provedor privado; o ponto está na incoerência interna e na rastreabilidade do protocolo.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12, inciso VI, art. 17, § 2.º, art. 54 e art. 164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C-366</w:t>
            </w:r>
          </w:p>
          <w:p>
            <w:pPr>
              <w:spacing w:after="40" w:line="240"/>
              <w:jc w:val="left"/>
            </w:pPr>
            <w:r>
              <w:rPr>
                <w:rFonts w:ascii="Times New Roman" w:cs="Times New Roman" w:eastAsia="Times New Roman" w:hAnsi="Times New Roman"/>
                <w:sz w:val="18"/>
                <w:szCs w:val="18"/>
              </w:rPr>
              <w:t xml:space="preserve">E1-021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7.1, 7.1.1 e 7.2 (PDF p. 16); Anexo C, Modelo B (p. 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Recusa de responder pedidos formulados fora do modelo ou do formato '.doc'</w:t>
            </w:r>
          </w:p>
          <w:p>
            <w:pPr>
              <w:spacing w:after="40" w:line="240"/>
              <w:jc w:val="left"/>
            </w:pPr>
            <w:r>
              <w:rPr>
                <w:rFonts w:ascii="Times New Roman" w:cs="Times New Roman" w:eastAsia="Times New Roman" w:hAnsi="Times New Roman"/>
                <w:sz w:val="18"/>
                <w:szCs w:val="18"/>
              </w:rPr>
              <w:t xml:space="preserve">A lei confere a qualquer pessoa legitimidade para impugnar o edital ou pedir esclarecimento, sem condicionar o pedido a modelo ou formato de arquivo. O Edital exige o Modelo B, arquivo editável '.doc' e identificação completa, afasta 'qualquer outro meio ou formato' e, no 7.1.1, isenta a Comissão de falhas no envio ou recebimento dos pedidos.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164, caput e parágrafo único,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C-367</w:t>
            </w:r>
          </w:p>
          <w:p>
            <w:pPr>
              <w:spacing w:after="40" w:line="240"/>
              <w:jc w:val="left"/>
            </w:pPr>
            <w:r>
              <w:rPr>
                <w:rFonts w:ascii="Times New Roman" w:cs="Times New Roman" w:eastAsia="Times New Roman" w:hAnsi="Times New Roman"/>
                <w:sz w:val="18"/>
                <w:szCs w:val="18"/>
              </w:rPr>
              <w:t xml:space="preserve">E1-022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7.5 e 7.6 (PDF p. 17); Edital 2.12 (p. 12); Anexo C, Declaração 7 (p. 13-14)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Cláusula de 'decadência' e de renúncia a reclamações posteriores</w:t>
            </w:r>
          </w:p>
          <w:p>
            <w:pPr>
              <w:spacing w:after="40" w:line="240"/>
              <w:jc w:val="left"/>
            </w:pPr>
            <w:r>
              <w:rPr>
                <w:rFonts w:ascii="Times New Roman" w:cs="Times New Roman" w:eastAsia="Times New Roman" w:hAnsi="Times New Roman"/>
                <w:sz w:val="18"/>
                <w:szCs w:val="18"/>
              </w:rPr>
              <w:t xml:space="preserve">A Lei 14.133 fixa prazo para impugnar, mas não estabelece decadência do direito de questionar a legalidade do edital, e assegura a qualquer licitante representação aos órgãos de controle e ao tribunal de contas. A cláusula de renúncia (7.5) pode ser oposta a impugnações, representações ou pleitos posteriores.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164 e art. 170, § 4.º, da Lei n.º 14.133/2021; art. 5.º, inciso XXXV, da Constituição Federal</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C-368</w:t>
            </w:r>
          </w:p>
          <w:p>
            <w:pPr>
              <w:spacing w:after="40" w:line="240"/>
              <w:jc w:val="left"/>
            </w:pPr>
            <w:r>
              <w:rPr>
                <w:rFonts w:ascii="Times New Roman" w:cs="Times New Roman" w:eastAsia="Times New Roman" w:hAnsi="Times New Roman"/>
                <w:sz w:val="18"/>
                <w:szCs w:val="18"/>
              </w:rPr>
              <w:t xml:space="preserve">E1-085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15.20 (PDF p. 44) × 16.1 (p. 44-45) e 18.2.2 (p. 46)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Homologação prevista antes da fase de habilitação</w:t>
            </w:r>
          </w:p>
          <w:p>
            <w:pPr>
              <w:spacing w:after="40" w:line="240"/>
              <w:jc w:val="left"/>
            </w:pPr>
            <w:r>
              <w:rPr>
                <w:rFonts w:ascii="Times New Roman" w:cs="Times New Roman" w:eastAsia="Times New Roman" w:hAnsi="Times New Roman"/>
                <w:sz w:val="18"/>
                <w:szCs w:val="18"/>
              </w:rPr>
              <w:t xml:space="preserve">O item 15.20, no capítulo da sessão de propostas, manda encaminhar o relatório para homologação e adjudicação após os recursos contra a classificação, antes da abertura do Envelope 3 (item 16). O 18.2.2 prevê fase recursal única após a habilitação. A sequência fica indefinida e admite leitura de homologação sem habilitação.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17, incisos V a VII, art. 71 e art. 165, § 1.º, inciso II, da Lei n.º 14.133/2021; art. 13, incisos I a IV,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C-369</w:t>
            </w:r>
          </w:p>
          <w:p>
            <w:pPr>
              <w:spacing w:after="40" w:line="240"/>
              <w:jc w:val="left"/>
            </w:pPr>
            <w:r>
              <w:rPr>
                <w:rFonts w:ascii="Times New Roman" w:cs="Times New Roman" w:eastAsia="Times New Roman" w:hAnsi="Times New Roman"/>
                <w:sz w:val="18"/>
                <w:szCs w:val="18"/>
              </w:rPr>
              <w:t xml:space="preserve">E1-086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14.3 e 14.3.1 (PDF p. 39); 18.1, a, 18.2 e 18.2.2 (p. 45-46)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Recurso contra rejeição da garantia de proposta só é apreciado após a habilitação</w:t>
            </w:r>
          </w:p>
          <w:p>
            <w:pPr>
              <w:spacing w:after="40" w:line="240"/>
              <w:jc w:val="left"/>
            </w:pPr>
            <w:r>
              <w:rPr>
                <w:rFonts w:ascii="Times New Roman" w:cs="Times New Roman" w:eastAsia="Times New Roman" w:hAnsi="Times New Roman"/>
                <w:sz w:val="18"/>
                <w:szCs w:val="18"/>
              </w:rPr>
              <w:t xml:space="preserve">A decisão sobre aceitação ou rejeição das garantias é divulgada antes da sessão (14.3), mas a intenção de recorrer conta da classificação final (18.2), e o recurso só é apreciado na fase única após a habilitação (18.2.2). O licitante cuja garantia foi rejeitada fica fora da sessão de lances com o Envelope 2 fechado; se o recurso for provido depois, a sessão terá de ser refeita.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58, caput, e art. 165, inciso I e § 1.º, incisos I e II,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C-370</w:t>
            </w:r>
          </w:p>
          <w:p>
            <w:pPr>
              <w:spacing w:after="40" w:line="240"/>
              <w:jc w:val="left"/>
            </w:pPr>
            <w:r>
              <w:rPr>
                <w:rFonts w:ascii="Times New Roman" w:cs="Times New Roman" w:eastAsia="Times New Roman" w:hAnsi="Times New Roman"/>
                <w:sz w:val="18"/>
                <w:szCs w:val="18"/>
              </w:rPr>
              <w:t xml:space="preserve">E1-024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19.2 e 19.3 (PDF p. 47) × 23.1, evento 18 (p. 53)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Prazo para assinatura: 45 dias no cronograma × 30 dias no item 19.2</w:t>
            </w:r>
          </w:p>
          <w:p>
            <w:pPr>
              <w:spacing w:after="40" w:line="240"/>
              <w:jc w:val="left"/>
            </w:pPr>
            <w:r>
              <w:rPr>
                <w:rFonts w:ascii="Times New Roman" w:cs="Times New Roman" w:eastAsia="Times New Roman" w:hAnsi="Times New Roman"/>
                <w:sz w:val="18"/>
                <w:szCs w:val="18"/>
              </w:rPr>
              <w:t xml:space="preserve">O item 19.2 fixa até 30 dias corridos, prorrogáveis por 30, para a adjudicatária apresentar os documentos de assinatura; o cronograma fixa 45 dias corridos, prorrogáveis por 30. O prazo condiciona a constituição da SPE, a subscrição e integralização do capital, a garantia de execução, os seguros e o ressarcimento dos estudos (item 20). Com seguro-garantia, a lei exige prazo mínimo de 1 mês entre a homologação e a assinatura para a prestação da garantia.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90, caput e § 1.º, e art. 96, § 3.º,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C-371</w:t>
            </w:r>
          </w:p>
          <w:p>
            <w:pPr>
              <w:spacing w:after="40" w:line="240"/>
              <w:jc w:val="left"/>
            </w:pPr>
            <w:r>
              <w:rPr>
                <w:rFonts w:ascii="Times New Roman" w:cs="Times New Roman" w:eastAsia="Times New Roman" w:hAnsi="Times New Roman"/>
                <w:sz w:val="18"/>
                <w:szCs w:val="18"/>
              </w:rPr>
              <w:t xml:space="preserve">E1-092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19.3 e 19.4 (PDF p. 47)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Prorrogação da convocação 'por determinação do PODER CONCEDENTE', sem limite</w:t>
            </w:r>
          </w:p>
          <w:p>
            <w:pPr>
              <w:spacing w:after="40" w:line="240"/>
              <w:jc w:val="left"/>
            </w:pPr>
            <w:r>
              <w:rPr>
                <w:rFonts w:ascii="Times New Roman" w:cs="Times New Roman" w:eastAsia="Times New Roman" w:hAnsi="Times New Roman"/>
                <w:sz w:val="18"/>
                <w:szCs w:val="18"/>
              </w:rPr>
              <w:t xml:space="preserve">A lei admite prorrogar o prazo de convocação uma vez, por igual período, a pedido justificado do convocado aceito pela Administração. O 19.3 acrescenta prorrogação por determinação do Poder Concedente, sem limite de vezes ou de prazo. Na convocação de remanescentes (19.4), o Edital não prevê a faculdade de negociação e de contratação nas condições dos remanescentes do § 4.º.</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90, §§ 1.º, 2.º e 4.º,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C-372</w:t>
            </w:r>
          </w:p>
          <w:p>
            <w:pPr>
              <w:spacing w:after="40" w:line="240"/>
              <w:jc w:val="left"/>
            </w:pPr>
            <w:r>
              <w:rPr>
                <w:rFonts w:ascii="Times New Roman" w:cs="Times New Roman" w:eastAsia="Times New Roman" w:hAnsi="Times New Roman"/>
                <w:sz w:val="18"/>
                <w:szCs w:val="18"/>
              </w:rPr>
              <w:t xml:space="preserve">E1-066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preâmbulo (PDF p. 5) × 10.2 (p. 23) e 14.1 (p. 39); rótulo 'ENVELOPE Nº 1 – GARANTIA DE PROPOSTA' (p. 22)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Preâmbulo cita só os Envelopes 1 e 2; rótulo do Envelope 1 incompleto</w:t>
            </w:r>
          </w:p>
          <w:p>
            <w:pPr>
              <w:spacing w:after="40" w:line="240"/>
              <w:jc w:val="left"/>
            </w:pPr>
            <w:r>
              <w:rPr>
                <w:rFonts w:ascii="Times New Roman" w:cs="Times New Roman" w:eastAsia="Times New Roman" w:hAnsi="Times New Roman"/>
                <w:sz w:val="18"/>
                <w:szCs w:val="18"/>
              </w:rPr>
              <w:t xml:space="preserve">O preâmbulo fala só no recebimento dos Envelopes 1 e 2, mas os itens 10.2 e 14.1 exigem o envio simultâneo do Envelope 3. O rótulo do Envelope 1 diz apenas 'GARANTIA DE PROPOSTA', mas o envelope também contém documentos de representação (11.1-11.3), o compromisso de consórcio/SPE (8.5.2) e a declaração de desempate (11.22).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C-373</w:t>
            </w:r>
          </w:p>
          <w:p>
            <w:pPr>
              <w:spacing w:after="40" w:line="240"/>
              <w:jc w:val="left"/>
            </w:pPr>
            <w:r>
              <w:rPr>
                <w:rFonts w:ascii="Times New Roman" w:cs="Times New Roman" w:eastAsia="Times New Roman" w:hAnsi="Times New Roman"/>
                <w:sz w:val="18"/>
                <w:szCs w:val="18"/>
              </w:rPr>
              <w:t xml:space="preserve">E1-088, E1-089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19.5, b (PDF p. 47-48), 22.2.2 e 22.2.2.1 (p. 51)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Multas da licitação sobre o VE nominal de 30 anos; piso de R$ 11,56 mi para infração formal</w:t>
            </w:r>
          </w:p>
          <w:p>
            <w:pPr>
              <w:spacing w:after="40" w:line="240"/>
              <w:jc w:val="left"/>
            </w:pPr>
            <w:r>
              <w:rPr>
                <w:rFonts w:ascii="Times New Roman" w:cs="Times New Roman" w:eastAsia="Times New Roman" w:hAnsi="Times New Roman"/>
                <w:sz w:val="18"/>
                <w:szCs w:val="18"/>
              </w:rPr>
              <w:t xml:space="preserve">Os percentuais estão na faixa legal de 0,5% a 30% do valor do contrato licitado. A base adotada é o VE nominal de 30 anos (R$ 2.311.927.627,53), o que resulta em multas de R$ 11,56 milhões a R$ 693,58 milhões por condutas da fase licitatória e em faixa de R$ 11,56 milhões a R$ 346,79 milhões para infrações 'formais ou procedimentais' (por exemplo, deixar de entregar documento exigido). A garantia de proposta que cobre essas condutas é de R$ 23,1 milhões. O VE adotado diverge da definição do próprio Edital (E1-078 e E4-005, MODELAGEM_ECONOMICA). Contra-argumento provável: a lei autoriza a base 'valor do contrato licitado' e o Edital gradua a multa pela natureza da infração.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155, inciso IV, e art. 156, §§ 1.º e 3.º,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C-374</w:t>
            </w:r>
          </w:p>
          <w:p>
            <w:pPr>
              <w:spacing w:after="40" w:line="240"/>
              <w:jc w:val="left"/>
            </w:pPr>
            <w:r>
              <w:rPr>
                <w:rFonts w:ascii="Times New Roman" w:cs="Times New Roman" w:eastAsia="Times New Roman" w:hAnsi="Times New Roman"/>
                <w:sz w:val="18"/>
                <w:szCs w:val="18"/>
              </w:rPr>
              <w:t xml:space="preserve">E1-090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19.5, c e d, 19.5.1 e 19.7 (PDF p. 47-48)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Declaração falsa punida com impedimento (19.7), quando a lei prevê inidoneidade</w:t>
            </w:r>
          </w:p>
          <w:p>
            <w:pPr>
              <w:spacing w:after="40" w:line="240"/>
              <w:jc w:val="left"/>
            </w:pPr>
            <w:r>
              <w:rPr>
                <w:rFonts w:ascii="Times New Roman" w:cs="Times New Roman" w:eastAsia="Times New Roman" w:hAnsi="Times New Roman"/>
                <w:sz w:val="18"/>
                <w:szCs w:val="18"/>
              </w:rPr>
              <w:t xml:space="preserve">A apresentação de declaração ou documento falso (art. 155, VIII) atrai a declaração de inidoneidade (art. 156, § 5.º); o impedimento (§ 4.º) é previsto para as infrações dos incisos II a VII. O item 19.7 aplica a essa conduta a multa (alínea b, cabível para qualquer infração) e o impedimento (alínea c), e não a inidoneidade (alínea d), embora o 19.5.1 trate da reabilitação por declaração falsa com referência às alíneas c e d.</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155, inciso VIII, e art. 156, §§ 3.º, 4.º e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C-375</w:t>
            </w:r>
          </w:p>
          <w:p>
            <w:pPr>
              <w:spacing w:after="40" w:line="240"/>
              <w:jc w:val="left"/>
            </w:pPr>
            <w:r>
              <w:rPr>
                <w:rFonts w:ascii="Times New Roman" w:cs="Times New Roman" w:eastAsia="Times New Roman" w:hAnsi="Times New Roman"/>
                <w:sz w:val="18"/>
                <w:szCs w:val="18"/>
              </w:rPr>
              <w:t xml:space="preserve">E1-026, E3-008, E3-132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 (PDF p. 6-9), 6.3, iii (p. 16), 7.1 (p. 16), 12.3.3 (p. 31), 13.1, j (p. 32), 13.16 (p. 34) e 15.16 (p. 43); Anexo C, Carta de Proposta 3.3 (p. 26); Contrato cl. 1.3, 5.1.2, 10.4, 13.5.7, 13.6, 15.8.5, 15.8.7, 15.8.8, 22.1.1, 34.1 (p. 71) e 41.1.1; Anexo VI 1.1.4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Termos usados como definidos sem definição e nomenclatura instável no Edital e no Contrato</w:t>
            </w:r>
          </w:p>
          <w:p>
            <w:pPr>
              <w:spacing w:after="40" w:line="240"/>
              <w:jc w:val="left"/>
            </w:pPr>
            <w:r>
              <w:rPr>
                <w:rFonts w:ascii="Times New Roman" w:cs="Times New Roman" w:eastAsia="Times New Roman" w:hAnsi="Times New Roman"/>
                <w:sz w:val="18"/>
                <w:szCs w:val="18"/>
              </w:rPr>
              <w:t xml:space="preserve">O Edital usa como definidos, sem constarem do item 1.1, termos como DATA DE ENTREGA DOS ENVELOPES, ENDEREÇO ELETRÔNICO, EVTEA, INVESTIMENTOS OBRIGATÓRIOS, SERVIÇOS OBRIGATÓRIOS, ÁREA DA PRESTAÇÃO DOS SERVIÇOS CONCEDIDOS, LEI DE LICITAÇÕES, PROPONENTES, CONTRAPRESTAÇÃO MENSAL/ANUAL e 'Contraprestações Públicas Mensais'. O Contrato define apenas CME e CMM e usa ao menos oito outros termos para remuneração, garantia e agente (Contraprestação Pública Mensal, Contraprestação Pública Efetiva, Contraprestação Anual Máxima, Garantia Pública, Agente de Garantia, Agente de Pagamento e Garantia, VALOR DE PAGAMENTO MENSAL, Data de Eficácia). Alguns têm efeito operativo: a Carta de Proposta compromete o licitante com 'INVESTIMENTOS OBRIGATÓRIOS' não definidos; no Contrato, esses termos servem de base ao reajuste da garantia de execução, à dedução de glosas, ao acionamento da garantia e ao termo inicial da força maior, deixando sem enquadramento claro os eventos entre a assinatura e a Ordem de Início.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e art. 92, inciso V, da Lei n.º 14.133/2021; art. 23, inciso IV, da Lei n.º 8.987/1995</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C-376</w:t>
            </w:r>
          </w:p>
          <w:p>
            <w:pPr>
              <w:spacing w:after="40" w:line="240"/>
              <w:jc w:val="left"/>
            </w:pPr>
            <w:r>
              <w:rPr>
                <w:rFonts w:ascii="Times New Roman" w:cs="Times New Roman" w:eastAsia="Times New Roman" w:hAnsi="Times New Roman"/>
                <w:sz w:val="18"/>
                <w:szCs w:val="18"/>
              </w:rPr>
              <w:t xml:space="preserve">E2-065, E2-096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VII, capa e itens 1, 5-V, 6.2 e 12.1 (PDF p. 1-6); Anexo D, I.3 e VI (p. 6 e 21); Contrato cl. 1.3.33 (p. 9); Edital 2.8 e 2.9 (p. 11)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TR do Verificador remete a 'Anexo III – Indicadores' e usa termos não definidos</w:t>
            </w:r>
          </w:p>
          <w:p>
            <w:pPr>
              <w:spacing w:after="40" w:line="240"/>
              <w:jc w:val="left"/>
            </w:pPr>
            <w:r>
              <w:rPr>
                <w:rFonts w:ascii="Times New Roman" w:cs="Times New Roman" w:eastAsia="Times New Roman" w:hAnsi="Times New Roman"/>
                <w:sz w:val="18"/>
                <w:szCs w:val="18"/>
              </w:rPr>
              <w:t xml:space="preserve">No rol de anexos, o Anexo III é o de Diretrizes Ambientais, e os indicadores estão no Anexo D do Edital. O Anexo VII (TR do Verificador Independente) remete três vezes a um 'Anexo III – Indicadores' e usa 'Nota Global' e 'Fator de Desempenho', conceitos não definidos no Anexo D, que usa IQS; o Contrato usa IQD e equipara os termos (1.3.33). A capa do Anexo VII o intitula 'P6: ANEXO VII (CONTRATO)'. A falta de uniformidade dificulta identificar o objeto da certificação pelo Verificador.</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da Lei n.º 14.133/2021 (vinculação e segurança jurídica)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C-377</w:t>
            </w:r>
          </w:p>
          <w:p>
            <w:pPr>
              <w:spacing w:after="40" w:line="240"/>
              <w:jc w:val="left"/>
            </w:pPr>
            <w:r>
              <w:rPr>
                <w:rFonts w:ascii="Times New Roman" w:cs="Times New Roman" w:eastAsia="Times New Roman" w:hAnsi="Times New Roman"/>
                <w:sz w:val="18"/>
                <w:szCs w:val="18"/>
              </w:rPr>
              <w:t xml:space="preserve">E1-027, E1-028, E1-029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1.1.29 (PDF p. 8), 3.1-3.2 (p. 12-14), 6.3, v (p. 16), 8.1.1 (p. 17-18), 8.4 (p. 19), 13.17.2 (p. 35), 13.23.1.3, 13.25.1 (p. 37), 13.30 (p. 39), 18.9-18.10 (p. 47), 19.5, d (p. 48), 20.1.1 e 20.1.3 (p. 48-49), 22.2.4 (p. 51), 22.4, e, e 22.5 (p. 52)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Edital: numeração duplicada, remissões erradas e texto legal transposto sem adaptação</w:t>
            </w:r>
          </w:p>
          <w:p>
            <w:pPr>
              <w:spacing w:after="40" w:line="240"/>
              <w:jc w:val="left"/>
            </w:pPr>
            <w:r>
              <w:rPr>
                <w:rFonts w:ascii="Times New Roman" w:cs="Times New Roman" w:eastAsia="Times New Roman" w:hAnsi="Times New Roman"/>
                <w:sz w:val="18"/>
                <w:szCs w:val="18"/>
              </w:rPr>
              <w:t xml:space="preserve">(i) Numeração: 3.2 antes de 3.1.3 e 3.2.1 depois de 3.1.5; dois itens 8.1.1, o segundo repetido no 8.4; capital social mínimo numerado como 13.17.2 dentro do item sobre SPED; 18.10 repete 18.9; 20.1.3 repete 20.1.1. (ii) Remissões: o 6.3, v, remete à 'alínea (d)' em lista numerada em romanos; o 13.25.1 remete a 13.23 ao tratar de atestados de controladas (13.25); o 13.30 remete às alíneas (a) a (h) do 13.27 como atividades técnicas, mas elas listam informações do atestado; o 13.23.1.3 remete à 'Cláusula 1'. (iii) Redação: 22.4, e, e 22.5 reproduzem o art. 163 da Lei 14.133 com 'neste artigo' e 'desta Lei'; 19.5, d, e 22.2.4 terminam em vírgula; 1.1.29 e 3.1 trazem 'proposta de menor valor da contraprestação para a proposta para a execução'. A remissão do 13.30 tem efeito sobre a habilitação técnica (G4-087).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 repercute no art. 5.º da Lei n.º 14.133/2021 (vinculação ao edital e julgamento objetivo)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C-378</w:t>
            </w:r>
          </w:p>
          <w:p>
            <w:pPr>
              <w:spacing w:after="40" w:line="240"/>
              <w:jc w:val="left"/>
            </w:pPr>
            <w:r>
              <w:rPr>
                <w:rFonts w:ascii="Times New Roman" w:cs="Times New Roman" w:eastAsia="Times New Roman" w:hAnsi="Times New Roman"/>
                <w:sz w:val="18"/>
                <w:szCs w:val="18"/>
              </w:rPr>
              <w:t xml:space="preserve">E3-022, E3-062, E3-073, E3-112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4.6 (PDF p. 13), 10.2.37.1 (p. 27), 15.8.1 (p. 39), 20.1 (p. 46) e 23.3 (p. 53)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Contrato: remissões internas quebradas (Cláusula 19ª, item 16.2, 'Anexo VII', 'subitem II')</w:t>
            </w:r>
          </w:p>
          <w:p>
            <w:pPr>
              <w:spacing w:after="40" w:line="240"/>
              <w:jc w:val="left"/>
            </w:pPr>
            <w:r>
              <w:rPr>
                <w:rFonts w:ascii="Times New Roman" w:cs="Times New Roman" w:eastAsia="Times New Roman" w:hAnsi="Times New Roman"/>
                <w:sz w:val="18"/>
                <w:szCs w:val="18"/>
              </w:rPr>
              <w:t xml:space="preserve">(i) A Cláusula 19ª só remete à Matriz; o fato do príncipe está na 20ª, e não há, na 19ª, hipóteses ou limites para suspender a medição do IQD e as penalidades em caso de greve, que ficam sem regra. (ii) O item 16.2 trata da relação entre reajuste e reequilíbrio; o Contrato não define índice substituto do IPCA (a pluralidade de índices fica em REMUNERACAO_REAJUSTE, E3-061). (iii) A Matriz de Riscos é o Anexo V; o Anexo VII é o TR do Verificador Independente. (iv) A vinculação do FPM está no inciso III do 23.2; o inciso II trata da constituição da Conta Garantia.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92, incisos V, IX e XIV, da Lei n.º 14.133/2021; art. 8.º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C-379</w:t>
            </w:r>
          </w:p>
          <w:p>
            <w:pPr>
              <w:spacing w:after="40" w:line="240"/>
              <w:jc w:val="left"/>
            </w:pPr>
            <w:r>
              <w:rPr>
                <w:rFonts w:ascii="Times New Roman" w:cs="Times New Roman" w:eastAsia="Times New Roman" w:hAnsi="Times New Roman"/>
                <w:sz w:val="18"/>
                <w:szCs w:val="18"/>
              </w:rPr>
              <w:t xml:space="preserve">E3-026, E3-130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1.3.13 (PDF p. 7), 5.1.1 (p. 14), 32.3, v e vi, 32.4 e 32.8 (p. 69-70)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Contrato: SPE distinta da Concessionária (5.1.1) e inciso truncado (32.3, vi)</w:t>
            </w:r>
          </w:p>
          <w:p>
            <w:pPr>
              <w:spacing w:after="40" w:line="240"/>
              <w:jc w:val="left"/>
            </w:pPr>
            <w:r>
              <w:rPr>
                <w:rFonts w:ascii="Times New Roman" w:cs="Times New Roman" w:eastAsia="Times New Roman" w:hAnsi="Times New Roman"/>
                <w:sz w:val="18"/>
                <w:szCs w:val="18"/>
              </w:rPr>
              <w:t xml:space="preserve">Pela cl. 1.3.13, a Concessionária é a própria SPE constituída pela Adjudicatária; a cl. 5.1.1 inverte os papéis. Na cl. 32.3, o inciso vi começa no meio de uma frase e o inciso v não tem pontuação; a hipótese de rescisão amigável não pode ser aplicada como redigida, e as cl. 32.4 e 32.8 remetem a esses incisos.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9.º, caput, da Lei n.º 11.079/2004; não localizei fundamento normativo específico para o truncamento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C-380</w:t>
            </w:r>
          </w:p>
          <w:p>
            <w:pPr>
              <w:spacing w:after="40" w:line="240"/>
              <w:jc w:val="left"/>
            </w:pPr>
            <w:r>
              <w:rPr>
                <w:rFonts w:ascii="Times New Roman" w:cs="Times New Roman" w:eastAsia="Times New Roman" w:hAnsi="Times New Roman"/>
                <w:sz w:val="18"/>
                <w:szCs w:val="18"/>
              </w:rPr>
              <w:t xml:space="preserve">E3-104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26.28 e 26.28.1, iv (PDF p. 61)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Prescrição das sanções: regra de processo paralisado e referência à 'administração pública estadual'</w:t>
            </w:r>
          </w:p>
          <w:p>
            <w:pPr>
              <w:spacing w:after="40" w:line="240"/>
              <w:jc w:val="left"/>
            </w:pPr>
            <w:r>
              <w:rPr>
                <w:rFonts w:ascii="Times New Roman" w:cs="Times New Roman" w:eastAsia="Times New Roman" w:hAnsi="Times New Roman"/>
                <w:sz w:val="18"/>
                <w:szCs w:val="18"/>
              </w:rPr>
              <w:t xml:space="preserve">O contratante é o Município; a referência à administração estadual indica cláusula trazida de outro contexto. A cl. 26.28 regula apenas a prescrição do processo paralisado, com causas de interrupção próprias, enquanto a Lei 14.133 fixa prescrição de 5 anos contados da ciência da infração, interrompida pela instauração do processo de responsabilização.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158, § 4.º,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C-381</w:t>
            </w:r>
          </w:p>
          <w:p>
            <w:pPr>
              <w:spacing w:after="40" w:line="240"/>
              <w:jc w:val="left"/>
            </w:pPr>
            <w:r>
              <w:rPr>
                <w:rFonts w:ascii="Times New Roman" w:cs="Times New Roman" w:eastAsia="Times New Roman" w:hAnsi="Times New Roman"/>
                <w:sz w:val="18"/>
                <w:szCs w:val="18"/>
              </w:rPr>
              <w:t xml:space="preserve">E1-031, E3-009, E5-090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2.1 (PDF p. 10); Contrato cl. 3.2 (p. 11) e 10.2.32 (p. 26); P1 cap. V (p. 55-58)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Rol de legislação incompleto e com erros (Edital 2.1, Contrato 3.2, P1)</w:t>
            </w:r>
          </w:p>
          <w:p>
            <w:pPr>
              <w:spacing w:after="40" w:line="240"/>
              <w:jc w:val="left"/>
            </w:pPr>
            <w:r>
              <w:rPr>
                <w:rFonts w:ascii="Times New Roman" w:cs="Times New Roman" w:eastAsia="Times New Roman" w:hAnsi="Times New Roman"/>
                <w:sz w:val="18"/>
                <w:szCs w:val="18"/>
              </w:rPr>
              <w:t xml:space="preserve">Edital: a LC 136/2001 aparece entre leis federais sem indicação do ente; não constam a LC 101/2000, a NR ANA n.º 7 (Resolução ANA 187/2024), o PMGIRS e o Decreto Municipal 15.603/2018 (grandes geradores), que o P7 indica como aplicáveis. Contrato: o inciso da Lei 11.445 foi partido em dois; faltam a LC 839/2021 (PMGIRS, citada na cl. 10.2.32), a Lei 13.709/2018 (objeto do Anexo IV), a Lei 9.307/1996 (cl. 40), a Lei 13.140/2015 (cl. 38) e as normas de referência da ANA; LCs municipais são listadas sem a matéria. P1: faltam a Lei 11.445/2007, o Decreto 10.936/2022, o PLANARES, a LC 878/2021 e o PERS/RO, e a Lei 12.305/2010 é listada duas vezes. A divergência sobre a base legal do PMSB/PMGIRS fica em LICENCIAMENTO_AMBIENTAL (E5-086).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92, inciso III, da Lei n.º 14.133/2021; art. 11, caput, da Lei n.º 11.079/2004; art. 50 da Lei n.º 11.445/2007 (normas de referência da ANA)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C-382</w:t>
            </w:r>
          </w:p>
          <w:p>
            <w:pPr>
              <w:spacing w:after="40" w:line="240"/>
              <w:jc w:val="left"/>
            </w:pPr>
            <w:r>
              <w:rPr>
                <w:rFonts w:ascii="Times New Roman" w:cs="Times New Roman" w:eastAsia="Times New Roman" w:hAnsi="Times New Roman"/>
                <w:sz w:val="18"/>
                <w:szCs w:val="18"/>
              </w:rPr>
              <w:t xml:space="preserve">E1-030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8.2, b (PDF p. 18); P7 XII.3 (p. 72)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Referência à Lei 8.666/93, revogada, no item 8.2, b, do Edital</w:t>
            </w:r>
          </w:p>
          <w:p>
            <w:pPr>
              <w:spacing w:after="40" w:line="240"/>
              <w:jc w:val="left"/>
            </w:pPr>
            <w:r>
              <w:rPr>
                <w:rFonts w:ascii="Times New Roman" w:cs="Times New Roman" w:eastAsia="Times New Roman" w:hAnsi="Times New Roman"/>
                <w:sz w:val="18"/>
                <w:szCs w:val="18"/>
              </w:rPr>
              <w:t xml:space="preserve">A Lei 8.666/93 foi revogada pela Lei 14.133. A remissão pode ser lida como alcance de sanções aplicadas sob a lei anterior e ainda vigentes, mas o texto não faz a ressalva. O P7 aponta a substituição da Lei 8.666 pela Lei 14.133 como resposta ao TCE-RO. Contra-argumento provável: sanções aplicadas sob a Lei 8.666 continuam produzindo efeitos.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193, inciso II,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C-383</w:t>
            </w:r>
          </w:p>
          <w:p>
            <w:pPr>
              <w:spacing w:after="40" w:line="240"/>
              <w:jc w:val="left"/>
            </w:pPr>
            <w:r>
              <w:rPr>
                <w:rFonts w:ascii="Times New Roman" w:cs="Times New Roman" w:eastAsia="Times New Roman" w:hAnsi="Times New Roman"/>
                <w:sz w:val="18"/>
                <w:szCs w:val="18"/>
              </w:rPr>
              <w:t xml:space="preserve">E1-043, E3-011, E7-050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6.1 (PDF p. 15); Contrato cl. 6.1 (p. 16); P7 III.3 (p. 28)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Prazo da PPP fundamentado no art. 5.º, V, e não no I, da Lei 11.079</w:t>
            </w:r>
          </w:p>
          <w:p>
            <w:pPr>
              <w:spacing w:after="40" w:line="240"/>
              <w:jc w:val="left"/>
            </w:pPr>
            <w:r>
              <w:rPr>
                <w:rFonts w:ascii="Times New Roman" w:cs="Times New Roman" w:eastAsia="Times New Roman" w:hAnsi="Times New Roman"/>
                <w:sz w:val="18"/>
                <w:szCs w:val="18"/>
              </w:rPr>
              <w:t xml:space="preserve">O limite de 5 a 35 anos, incluída a prorrogação, está no art. 5.º, I, da Lei 11.079; o inciso V trata dos mecanismos de preservação da atualidade. O P7 cita corretamente o inciso I no item XI.2.1 (p. 66). O prazo adotado (30 + 5 anos) está dentro do limite legal.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C-384</w:t>
            </w:r>
          </w:p>
          <w:p>
            <w:pPr>
              <w:spacing w:after="40" w:line="240"/>
              <w:jc w:val="left"/>
            </w:pPr>
            <w:r>
              <w:rPr>
                <w:rFonts w:ascii="Times New Roman" w:cs="Times New Roman" w:eastAsia="Times New Roman" w:hAnsi="Times New Roman"/>
                <w:sz w:val="18"/>
                <w:szCs w:val="18"/>
              </w:rPr>
              <w:t xml:space="preserve">E3-153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IV, preâmbulo, item 1.5 e bloco de assinaturas (PDF p. 3 e 9); Contrato, preâmbulo (p. 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Anexo IV (LGPD): controlador 'Prefeitura', endereço divergente, sem assinatura do Poder Concedente</w:t>
            </w:r>
          </w:p>
          <w:p>
            <w:pPr>
              <w:spacing w:after="40" w:line="240"/>
              <w:jc w:val="left"/>
            </w:pPr>
            <w:r>
              <w:rPr>
                <w:rFonts w:ascii="Times New Roman" w:cs="Times New Roman" w:eastAsia="Times New Roman" w:hAnsi="Times New Roman"/>
                <w:sz w:val="18"/>
                <w:szCs w:val="18"/>
              </w:rPr>
              <w:t xml:space="preserve">A pessoa jurídica controladora é o Município, e não a 'Prefeitura'. O endereço difere do indicado no preâmbulo do Contrato (Av. 7 de Setembro esquina com Av. Farquar, s/n), e o bloco de assinaturas prevê só a Concessionária.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 da Lei n.º 13.709/2018; art. 89, § 1.º,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C-385</w:t>
            </w:r>
          </w:p>
          <w:p>
            <w:pPr>
              <w:spacing w:after="40" w:line="240"/>
              <w:jc w:val="left"/>
            </w:pPr>
            <w:r>
              <w:rPr>
                <w:rFonts w:ascii="Times New Roman" w:cs="Times New Roman" w:eastAsia="Times New Roman" w:hAnsi="Times New Roman"/>
                <w:sz w:val="18"/>
                <w:szCs w:val="18"/>
              </w:rPr>
              <w:t xml:space="preserve">E3-127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15.8.6 (PDF p. 40), 32.1 e 32.2 (p. 68), 32.7 (p. 69) e 40.1 (p. 77)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Via da rescisão por iniciativa da Concessionária: arbitral × judicial × administrativa</w:t>
            </w:r>
          </w:p>
          <w:p>
            <w:pPr>
              <w:spacing w:after="40" w:line="240"/>
              <w:jc w:val="left"/>
            </w:pPr>
            <w:r>
              <w:rPr>
                <w:rFonts w:ascii="Times New Roman" w:cs="Times New Roman" w:eastAsia="Times New Roman" w:hAnsi="Times New Roman"/>
                <w:sz w:val="18"/>
                <w:szCs w:val="18"/>
              </w:rPr>
              <w:t xml:space="preserve">A cl. 32.1 define a arbitragem como via da rescisão por iniciativa da Concessionária; a 15.8.6 menciona rescisão judicial; a 32.2 fala em processo administrativo, mecanismos de resolução de conflitos ou ação; a 32.7, em arbitragem ou ação judicial; e a 40.1 torna a arbitragem facultativa ('poderão'). A indefinição repercute na regra legal de continuidade dos serviços até a decisão final.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39, caput e parágrafo único, e art. 23-A da Lei n.º 8.987/1995, c/c art. 3.º, caput, e art. 11,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C-386</w:t>
            </w:r>
          </w:p>
          <w:p>
            <w:pPr>
              <w:spacing w:after="40" w:line="240"/>
              <w:jc w:val="left"/>
            </w:pPr>
            <w:r>
              <w:rPr>
                <w:rFonts w:ascii="Times New Roman" w:cs="Times New Roman" w:eastAsia="Times New Roman" w:hAnsi="Times New Roman"/>
                <w:sz w:val="18"/>
                <w:szCs w:val="18"/>
              </w:rPr>
              <w:t xml:space="preserve">E3-131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32.5, 32.7 (PDF p. 69) e 32.10.1 (p. 70)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Prazos de cura do Poder Concedente divergentes (60 × 30 dias)</w:t>
            </w:r>
          </w:p>
          <w:p>
            <w:pPr>
              <w:spacing w:after="40" w:line="240"/>
              <w:jc w:val="left"/>
            </w:pPr>
            <w:r>
              <w:rPr>
                <w:rFonts w:ascii="Times New Roman" w:cs="Times New Roman" w:eastAsia="Times New Roman" w:hAnsi="Times New Roman"/>
                <w:sz w:val="18"/>
                <w:szCs w:val="18"/>
              </w:rPr>
              <w:t xml:space="preserve">Para os mesmos descumprimentos do Poder Concedente, o Contrato fixa prazo de cura de até 60 dias (32.5), de 30 dias (32.7) e 'não inferior a 30 dias' (32.10.1).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39 da Lei n.º 8.987/1995, c/c art. 3.º, caput,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C-387</w:t>
            </w:r>
          </w:p>
          <w:p>
            <w:pPr>
              <w:spacing w:after="40" w:line="240"/>
              <w:jc w:val="left"/>
            </w:pPr>
            <w:r>
              <w:rPr>
                <w:rFonts w:ascii="Times New Roman" w:cs="Times New Roman" w:eastAsia="Times New Roman" w:hAnsi="Times New Roman"/>
                <w:sz w:val="18"/>
                <w:szCs w:val="18"/>
              </w:rPr>
              <w:t xml:space="preserve">E5-020, E5-095, E5-096, E5-076, E5-072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IV.1 (PDF p. 30), p. 33, 40-42, 51 e 71; P4 Sumário (p. 6), I.3 (p. 8), III.4 (p. 13), V.4 (p. 25), VIII.2 e Tabela 14 (p. 34-35)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Erros materiais e remissões internas nos estudos P1 e P4</w:t>
            </w:r>
          </w:p>
          <w:p>
            <w:pPr>
              <w:spacing w:after="40" w:line="240"/>
              <w:jc w:val="left"/>
            </w:pPr>
            <w:r>
              <w:rPr>
                <w:rFonts w:ascii="Times New Roman" w:cs="Times New Roman" w:eastAsia="Times New Roman" w:hAnsi="Times New Roman"/>
                <w:sz w:val="18"/>
                <w:szCs w:val="18"/>
              </w:rPr>
              <w:t xml:space="preserve">P1: área da sede em m² (a Tabela 1 indica 9.234 km² e 44,70 hab./km²); remissões a figuras trocadas (Figura 16 por 19, 21 por 27, 26 por 28, 28 por 39) e frase truncada na p. 71. P4: remissão à inexistente 'Tabela 40' (a matriz é a Tabela 4); estrutura do item I.3 diferente do sumário; sumário que diz fornecer insumos aos 'Cadernos 2 a 7', embora o P4 seja posterior a eles; Fase 2 do PES (M0 a M+3, 'processo licitatório') declarada condição a concluir antes da publicação do edital; citação do art. 75, 'j', sem o inciso IV, associada a cadastramento e capacitação de catadores, atividades que não constam da hipótese legal (coleta, processamento e comercialização de recicláveis por associações ou cooperativas de catadores).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75, inciso IV, alínea j, da Lei n.º 14.133/2021 (citação do P4); não localizei fundamento normativo específico para os demais erros</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C-388</w:t>
            </w:r>
          </w:p>
          <w:p>
            <w:pPr>
              <w:spacing w:after="40" w:line="240"/>
              <w:jc w:val="left"/>
            </w:pPr>
            <w:r>
              <w:rPr>
                <w:rFonts w:ascii="Times New Roman" w:cs="Times New Roman" w:eastAsia="Times New Roman" w:hAnsi="Times New Roman"/>
                <w:sz w:val="18"/>
                <w:szCs w:val="18"/>
              </w:rPr>
              <w:t xml:space="preserve">E4-062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notas 5 e 8 (PDF p. 9-10), II.1 (p. 10-11), Tabelas 1 e 2 (fontes), p. 44, nota 56 (p. 47)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Erros de referência normativa e de fonte no P6</w:t>
            </w:r>
          </w:p>
          <w:p>
            <w:pPr>
              <w:spacing w:after="40" w:line="240"/>
              <w:jc w:val="left"/>
            </w:pPr>
            <w:r>
              <w:rPr>
                <w:rFonts w:ascii="Times New Roman" w:cs="Times New Roman" w:eastAsia="Times New Roman" w:hAnsi="Times New Roman"/>
                <w:sz w:val="18"/>
                <w:szCs w:val="18"/>
              </w:rPr>
              <w:t xml:space="preserve">(i) A nota 5 descreve a Resolução ANA 187/2024 como aprovação da NR 8 de água e esgoto, enquanto o texto trata da NR 7 de RSU. (ii) A nota 8 apresenta como PERS a Lei estadual 4.437/2018, cuja ementa é de 'Política Estadual de Governança Climática e Serviços Ambientais'. (iii) O P6 afirma que a escolha entre AGERO e regulador municipal 'deve ser formalizada antes da estruturação do edital', embora a ARDPV (LC 1.013/2025) exista e seja citada na p. 44. (iv) Tabela 1 com fonte 'Planares' e Tabela 2 com fonte 'PMSB'. (v) A nota 56 cita IFRS 12. (vi) As hipóteses de não incidência da TRCF são atribuídas ao art. 51 da LC 1.013/2025; o Contrato (13.1.1) e o P7 citam o art. 53.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 (erro material do estudo)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C-389</w:t>
            </w:r>
          </w:p>
          <w:p>
            <w:pPr>
              <w:spacing w:after="40" w:line="240"/>
              <w:jc w:val="left"/>
            </w:pPr>
            <w:r>
              <w:rPr>
                <w:rFonts w:ascii="Times New Roman" w:cs="Times New Roman" w:eastAsia="Times New Roman" w:hAnsi="Times New Roman"/>
                <w:sz w:val="18"/>
                <w:szCs w:val="18"/>
              </w:rPr>
              <w:t xml:space="preserve">E2-042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A, Tabela 36 (PDF p. 39-40) e Tabela 12 (p. 16); Anexo III, Tabelas 11 e 16 (p. 19-20 e 27)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Prazos de entrega dos planos obrigatórios indeterminados no Caderno de Encargos</w:t>
            </w:r>
          </w:p>
          <w:p>
            <w:pPr>
              <w:spacing w:after="40" w:line="240"/>
              <w:jc w:val="left"/>
            </w:pPr>
            <w:r>
              <w:rPr>
                <w:rFonts w:ascii="Times New Roman" w:cs="Times New Roman" w:eastAsia="Times New Roman" w:hAnsi="Times New Roman"/>
                <w:sz w:val="18"/>
                <w:szCs w:val="18"/>
              </w:rPr>
              <w:t xml:space="preserve">Os prazos de entrega dos planos usam marcos vagos ('início da concessão', 'primeiro ciclo') e não indicam quem os aprova nem em quanto tempo, o que impede aferir mora e aplicar penalidade. O Anexo III fixa prazos em meses (M1-M3, M6) para obrigações semelhantes.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23, incisos V e VIII, da Lei n.º 8.987/1995, c/c art. 3.º, caput,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C-390</w:t>
            </w:r>
          </w:p>
          <w:p>
            <w:pPr>
              <w:spacing w:after="40" w:line="240"/>
              <w:jc w:val="left"/>
            </w:pPr>
            <w:r>
              <w:rPr>
                <w:rFonts w:ascii="Times New Roman" w:cs="Times New Roman" w:eastAsia="Times New Roman" w:hAnsi="Times New Roman"/>
                <w:sz w:val="18"/>
                <w:szCs w:val="18"/>
              </w:rPr>
              <w:t xml:space="preserve">E1-114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C, Modelo C — Procuração, alínea a e fecho (PDF p. 5); Edital 11.1, a (p. 26)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Modelo de procuração herdado de outro certame ('Concorrência Internacional', B3)</w:t>
            </w:r>
          </w:p>
          <w:p>
            <w:pPr>
              <w:spacing w:after="40" w:line="240"/>
              <w:jc w:val="left"/>
            </w:pPr>
            <w:r>
              <w:rPr>
                <w:rFonts w:ascii="Times New Roman" w:cs="Times New Roman" w:eastAsia="Times New Roman" w:hAnsi="Times New Roman"/>
                <w:sz w:val="18"/>
                <w:szCs w:val="18"/>
              </w:rPr>
              <w:t xml:space="preserve">O modelo menciona representação perante a B3 S.A. e chama o certame de 'Concorrência Internacional', o que o Edital não prevê: a sessão é em plataforma eletrônica e a concorrência não é internacional. O modelo também não traz os poderes específicos para ofertar lances na plataforma.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1"/>
        <w:keepNext/>
        <w:spacing w:after="120" w:before="240" w:line="360"/>
      </w:pPr>
      <w:r>
        <w:rPr>
          <w:rFonts w:ascii="Times New Roman" w:cs="Times New Roman" w:eastAsia="Times New Roman" w:hAnsi="Times New Roman"/>
          <w:b/>
          <w:bCs/>
          <w:sz w:val="28"/>
          <w:szCs w:val="28"/>
        </w:rPr>
        <w:t xml:space="preserve">3. Pontos que dependem de fato ou documento (candidatos a esclarecimento ou diligência)</w:t>
      </w:r>
    </w:p>
    <w:p>
      <w:pPr>
        <w:spacing w:after="120" w:before="0" w:line="360"/>
        <w:jc w:val="both"/>
      </w:pPr>
      <w:r>
        <w:rPr>
          <w:rFonts w:ascii="Times New Roman" w:cs="Times New Roman" w:eastAsia="Times New Roman" w:hAnsi="Times New Roman"/>
          <w:sz w:val="24"/>
          <w:szCs w:val="24"/>
        </w:rPr>
        <w:t xml:space="preserve">Achados que dependem de documento ou fato não disponível no pacote. São candidatos naturais a pedido de esclarecimento dirigido ou a diligência prévia.</w:t>
      </w:r>
    </w:p>
    <w:p>
      <w:pPr>
        <w:pStyle w:val="Heading2"/>
        <w:keepNext/>
        <w:spacing w:after="120" w:before="240" w:line="360"/>
      </w:pPr>
      <w:r>
        <w:rPr>
          <w:rFonts w:ascii="Times New Roman" w:cs="Times New Roman" w:eastAsia="Times New Roman" w:hAnsi="Times New Roman"/>
          <w:b/>
          <w:bCs/>
          <w:sz w:val="26"/>
          <w:szCs w:val="26"/>
        </w:rPr>
        <w:t xml:space="preserve">Objeto e escopo (13)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C-039</w:t>
            </w:r>
          </w:p>
          <w:p>
            <w:pPr>
              <w:spacing w:after="40" w:line="240"/>
              <w:jc w:val="left"/>
            </w:pPr>
            <w:r>
              <w:rPr>
                <w:rFonts w:ascii="Times New Roman" w:cs="Times New Roman" w:eastAsia="Times New Roman" w:hAnsi="Times New Roman"/>
                <w:sz w:val="18"/>
                <w:szCs w:val="18"/>
              </w:rPr>
              <w:t xml:space="preserve">E2-045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5 (PDF p. 11) e Tabela 8, Meta 7 (p. 13); Anexo D Tabela 1 (p. 8) e Tabela 5 (p. 14); Anexo III III (p. 7) e IX.6 (p. 24)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Fração orgânica de 51% com meta de tratamento biológico de 3% a 7,5% e sem indicador no IQS</w:t>
            </w:r>
          </w:p>
          <w:p>
            <w:pPr>
              <w:spacing w:after="40" w:line="240"/>
              <w:jc w:val="left"/>
            </w:pPr>
            <w:r>
              <w:rPr>
                <w:rFonts w:ascii="Times New Roman" w:cs="Times New Roman" w:eastAsia="Times New Roman" w:hAnsi="Times New Roman"/>
                <w:sz w:val="18"/>
                <w:szCs w:val="18"/>
              </w:rPr>
              <w:t xml:space="preserve">Cerca de 51% da massa é orgânica, mas a Meta 7 fixa tratamento biológico entre 3% (2028) e 7,5% (2040) da massa total, o que destina a maior parte da fração orgânica ao aterro. A Meta 7 consta da Tabela 1 do Anexo D, mas não tem indicador na Tabela 5 (IQS), que só mede a Meta 6 (IQ1). O Anexo III qualifica a compostagem como diretriz prioritária. Não se verificou se o PMSB/PMGIRS vigente fixa meta superior para orgânicos.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Metas do PMSB/PMGIRS (LC Municipal n.º 972/2023) para a fração orgânica; texto do plano não integra o pacote.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9.º e art. 36, inciso V, da Lei n.º 12.305/2010; art. 19, inciso XIV, da Lei n.º 12.305/2010; não localizei fundamento normativo que fixe percentual mínimo de tratamento biológico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C-040</w:t>
            </w:r>
          </w:p>
          <w:p>
            <w:pPr>
              <w:spacing w:after="40" w:line="240"/>
              <w:jc w:val="left"/>
            </w:pPr>
            <w:r>
              <w:rPr>
                <w:rFonts w:ascii="Times New Roman" w:cs="Times New Roman" w:eastAsia="Times New Roman" w:hAnsi="Times New Roman"/>
                <w:sz w:val="18"/>
                <w:szCs w:val="18"/>
              </w:rPr>
              <w:t xml:space="preserve">E2-011, E3-039, E5-065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XI.4 (PDF p. 61-62); Contrato cl. 10.3.10.1 e 10.3.10.2 (p. 29); Anexo D Tabela 3 (p. 10) e Tabela 5, IE4 (p. 14); Anexo III Tabela 3 (p. 10); P1 VII.2.5 (p. 88-89) e VII.2.7 (p. 94)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Incinerador municipal: estado técnico, licença e passivos não informados; reativação medida no Ano 2</w:t>
            </w:r>
          </w:p>
          <w:p>
            <w:pPr>
              <w:spacing w:after="40" w:line="240"/>
              <w:jc w:val="left"/>
            </w:pPr>
            <w:r>
              <w:rPr>
                <w:rFonts w:ascii="Times New Roman" w:cs="Times New Roman" w:eastAsia="Times New Roman" w:hAnsi="Times New Roman"/>
                <w:sz w:val="18"/>
                <w:szCs w:val="18"/>
              </w:rPr>
              <w:t xml:space="preserve">O P1 registra a retirada de balança e elevador de carga, software inativo e teto avariado, e afirma que a volta à operação depende de levantamento completo dos componentes faltantes. Nenhum documento informa se há licença de operação válida, se o equipamento atende aos parâmetros da Resolução CONAMA n.º 316/2002, nem o custo de recuperação. O Anexo D mede a reativação (IE4) em 100% a partir do Ano 2, e o Contrato (10.3.10.1) obriga a concessionária a destinar 100% dos RSS até a reativação, sem regra de custo dessa destinação transitória.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Laudo técnico de condição do incinerador; situação da licença de operação e histórico de emissões; inventário do termo de entrega (Caderno XI.4).</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incisos X e XI, da Lei n.º 8.987/1995 c/c art. 11 da Lei n.º 11.079/2004; art. 5.º, inciso III, da Lei n.º 11.079/2004; Resolução CONAMA n.º 316/2002</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C-042</w:t>
            </w:r>
          </w:p>
          <w:p>
            <w:pPr>
              <w:spacing w:after="40" w:line="240"/>
              <w:jc w:val="left"/>
            </w:pPr>
            <w:r>
              <w:rPr>
                <w:rFonts w:ascii="Times New Roman" w:cs="Times New Roman" w:eastAsia="Times New Roman" w:hAnsi="Times New Roman"/>
                <w:sz w:val="18"/>
                <w:szCs w:val="18"/>
              </w:rPr>
              <w:t xml:space="preserve">E2-040, E5-015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2, termo RLU (PDF p. 8), e Tabela 7 (p. 12); P6 Tabela 3 e p. 33; P1 VII (p. 61)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Resíduos de limpeza urbana (RLU) no balanço de massa sem regra de recebimento, transporte e medição</w:t>
            </w:r>
          </w:p>
          <w:p>
            <w:pPr>
              <w:spacing w:after="40" w:line="240"/>
              <w:jc w:val="left"/>
            </w:pPr>
            <w:r>
              <w:rPr>
                <w:rFonts w:ascii="Times New Roman" w:cs="Times New Roman" w:eastAsia="Times New Roman" w:hAnsi="Times New Roman"/>
                <w:sz w:val="18"/>
                <w:szCs w:val="18"/>
              </w:rPr>
              <w:t xml:space="preserve">A Tabela 7 do Caderno inclui 16.086 t/ano de RLU (2027) na massa bruta, e o P6 considera o RLU da varrição no fluxo de destinação. Varrição e poda são executadas hoje por terceiro (MB Limpeza Urbana), cujo contrato não é descrito, e não integram o objeto do Edital. Não está definido se a concessionária deve receber e dispor o RLU municipal, quem o transporta à CTR, como a massa é medida nem se ela integra a base de remuneração variável.</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Contrato vigente de varrição/poda (MB Limpeza Urbana) e cláusula de destinação; confirmação de que a massa de RLU integra a base de destinação final e da Parcela B.</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3.º-C, inciso III, da Lei n.º 11.445/2007; art. 18, inciso I,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C-043</w:t>
            </w:r>
          </w:p>
          <w:p>
            <w:pPr>
              <w:spacing w:after="40" w:line="240"/>
              <w:jc w:val="left"/>
            </w:pPr>
            <w:r>
              <w:rPr>
                <w:rFonts w:ascii="Times New Roman" w:cs="Times New Roman" w:eastAsia="Times New Roman" w:hAnsi="Times New Roman"/>
                <w:sz w:val="18"/>
                <w:szCs w:val="18"/>
              </w:rPr>
              <w:t xml:space="preserve">E7-044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III.2.4 (PDF p. 28)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Suposta vedação legal à concessão da limpeza pública afirmada sem fonte normativa</w:t>
            </w:r>
          </w:p>
          <w:p>
            <w:pPr>
              <w:spacing w:after="40" w:line="240"/>
              <w:jc w:val="left"/>
            </w:pPr>
            <w:r>
              <w:rPr>
                <w:rFonts w:ascii="Times New Roman" w:cs="Times New Roman" w:eastAsia="Times New Roman" w:hAnsi="Times New Roman"/>
                <w:sz w:val="18"/>
                <w:szCs w:val="18"/>
              </w:rPr>
              <w:t xml:space="preserve">O P7 fundamenta o recorte do objeto em vedação à concessão da limpeza pública e em dever de execução por servidores, sem citar a norma. A legislação federal refere a limpeza urbana entre os serviços passíveis de concessão sem lei autorizativa específica. Se a vedação decorrer de norma municipal, ela deve ser identificada; se não existir, a premissa do recorte do objeto não tem base indicada.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Identificação da norma (municipal ou outra) invocada pelo P7.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 para a vedação afirmada; art. 2.º da Lei n.º 9.074/1995 (conferir redação vigente)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C-046</w:t>
            </w:r>
          </w:p>
          <w:p>
            <w:pPr>
              <w:spacing w:after="40" w:line="240"/>
              <w:jc w:val="left"/>
            </w:pPr>
            <w:r>
              <w:rPr>
                <w:rFonts w:ascii="Times New Roman" w:cs="Times New Roman" w:eastAsia="Times New Roman" w:hAnsi="Times New Roman"/>
                <w:sz w:val="18"/>
                <w:szCs w:val="18"/>
              </w:rPr>
              <w:t xml:space="preserve">E5-084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VII.1 (PDF p. 30); Edital 2.11 (p. 11)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Beneficiamento de vidro recomendado no P4 sem definição de obrigatoriedade nem previsão no CAPEX</w:t>
            </w:r>
          </w:p>
          <w:p>
            <w:pPr>
              <w:spacing w:after="40" w:line="240"/>
              <w:jc w:val="left"/>
            </w:pPr>
            <w:r>
              <w:rPr>
                <w:rFonts w:ascii="Times New Roman" w:cs="Times New Roman" w:eastAsia="Times New Roman" w:hAnsi="Times New Roman"/>
                <w:sz w:val="18"/>
                <w:szCs w:val="18"/>
              </w:rPr>
              <w:t xml:space="preserve">O P4 recomenda beneficiar o vidro como agregado, com CAPEX de R$ 350 mil a R$ 600 mil, sem definir se a solução integra o objeto. Como o Edital (2.11) atribui caráter vinculante aos estudos, a obrigatoriedade da recomendação precisa ser esclarecida.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Posição da Administração sobre o caráter vinculante das recomendações do P4.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I,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C-047</w:t>
            </w:r>
          </w:p>
          <w:p>
            <w:pPr>
              <w:spacing w:after="40" w:line="240"/>
              <w:jc w:val="left"/>
            </w:pPr>
            <w:r>
              <w:rPr>
                <w:rFonts w:ascii="Times New Roman" w:cs="Times New Roman" w:eastAsia="Times New Roman" w:hAnsi="Times New Roman"/>
                <w:sz w:val="18"/>
                <w:szCs w:val="18"/>
              </w:rPr>
              <w:t xml:space="preserve">E5-016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Tabela 7 (PDF p. 63); Contrato Cláusula 5ª (p. 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Prestação direta parcial da coleta pelo Município sem descrição de meios nem tratamento na PPP</w:t>
            </w:r>
          </w:p>
          <w:p>
            <w:pPr>
              <w:spacing w:after="40" w:line="240"/>
              <w:jc w:val="left"/>
            </w:pPr>
            <w:r>
              <w:rPr>
                <w:rFonts w:ascii="Times New Roman" w:cs="Times New Roman" w:eastAsia="Times New Roman" w:hAnsi="Times New Roman"/>
                <w:sz w:val="18"/>
                <w:szCs w:val="18"/>
              </w:rPr>
              <w:t xml:space="preserve">A Tabela 7 do P1 indica que a Prefeitura executou parte da coleta em vários meses, mas o diagnóstico não descreve frota própria, servidores, custos nem o destino desses meios na concessão (cessão, bens reversíveis ou desmobilização).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Inventário da frota e do pessoal municipal empregados na coleta e decisão sobre seu destino.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X,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C-048</w:t>
            </w:r>
          </w:p>
          <w:p>
            <w:pPr>
              <w:spacing w:after="40" w:line="240"/>
              <w:jc w:val="left"/>
            </w:pPr>
            <w:r>
              <w:rPr>
                <w:rFonts w:ascii="Times New Roman" w:cs="Times New Roman" w:eastAsia="Times New Roman" w:hAnsi="Times New Roman"/>
                <w:sz w:val="18"/>
                <w:szCs w:val="18"/>
              </w:rPr>
              <w:t xml:space="preserve">E2-028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XI.4, § 7.º (PDF p. 62); Edital 6.3, iv, e 6.3.1 (p. 16); Contrato cl. 5.1.1.1 (p. 14)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Área da estação de transbordo principal do Baixo Madeira não identificada; distritais a adquirir pela concessionária</w:t>
            </w:r>
          </w:p>
          <w:p>
            <w:pPr>
              <w:spacing w:after="40" w:line="240"/>
              <w:jc w:val="left"/>
            </w:pPr>
            <w:r>
              <w:rPr>
                <w:rFonts w:ascii="Times New Roman" w:cs="Times New Roman" w:eastAsia="Times New Roman" w:hAnsi="Times New Roman"/>
                <w:sz w:val="18"/>
                <w:szCs w:val="18"/>
              </w:rPr>
              <w:t xml:space="preserve">O Caderno promete ceder a área do transbordo principal sem identificá-la, e o Edital condiciona a Ordem de Início à 'designação da respectiva área'. As áreas dos quatro transbordos distritais, em sedes ribeirinhas sujeitas a terras caídas e a variação do nível do rio, ficam por conta e risco da concessionária (Edital 6.3.1; Contrato 5.1.1.1).</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Identificação da área municipal do transbordo principal e de sua situação dominial e ambiental.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XII,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C-049</w:t>
            </w:r>
          </w:p>
          <w:p>
            <w:pPr>
              <w:spacing w:after="40" w:line="240"/>
              <w:jc w:val="left"/>
            </w:pPr>
            <w:r>
              <w:rPr>
                <w:rFonts w:ascii="Times New Roman" w:cs="Times New Roman" w:eastAsia="Times New Roman" w:hAnsi="Times New Roman"/>
                <w:sz w:val="18"/>
                <w:szCs w:val="18"/>
              </w:rPr>
              <w:t xml:space="preserve">E6-046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IV.2.1 (PDF p. 25) e Tabela 1 (p. 9); Caderno IV.5 (p. 20) e Tabela 19 (p. 23); P3 p. 35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Alto e Médio Madeira sem transbordo: compactadores em rotas de 204 a 255 km, contra diagnóstico e Caderno</w:t>
            </w:r>
          </w:p>
          <w:p>
            <w:pPr>
              <w:spacing w:after="40" w:line="240"/>
              <w:jc w:val="left"/>
            </w:pPr>
            <w:r>
              <w:rPr>
                <w:rFonts w:ascii="Times New Roman" w:cs="Times New Roman" w:eastAsia="Times New Roman" w:hAnsi="Times New Roman"/>
                <w:sz w:val="18"/>
                <w:szCs w:val="18"/>
              </w:rPr>
              <w:t xml:space="preserve">A matriz de criticidade do P2 aponta a ausência de estações de transbordo em locais estratégicos, e o Caderno (IV.5) manda minimizar o transporte ineficiente por compactadores em longas distâncias. Ainda assim, o P2 prevê transporte direto por compactadores (Abunã → CTR 204 km; Nova Califórnia → Jirau 255 km, Caderno Tabela 19). O Anexo III (Tabela 6) também aponta falta de transbordos no Alto e no Médio Madeira.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Estudo de alternativa logística (transbordo intermediário) e comparação de custos.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18, inciso II,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C-050</w:t>
            </w:r>
          </w:p>
          <w:p>
            <w:pPr>
              <w:spacing w:after="40" w:line="240"/>
              <w:jc w:val="left"/>
            </w:pPr>
            <w:r>
              <w:rPr>
                <w:rFonts w:ascii="Times New Roman" w:cs="Times New Roman" w:eastAsia="Times New Roman" w:hAnsi="Times New Roman"/>
                <w:sz w:val="18"/>
                <w:szCs w:val="18"/>
              </w:rPr>
              <w:t xml:space="preserve">E6-005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Tabela 13 (PDF p. 21-22) e p. 12; P3 Tabela 4 (p. 14); Caderno Tabela 21 (p. 23-24)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Novas localidades do Baixo Madeira incluídas sem população nem dimensionamento</w:t>
            </w:r>
          </w:p>
          <w:p>
            <w:pPr>
              <w:spacing w:after="40" w:line="240"/>
              <w:jc w:val="left"/>
            </w:pPr>
            <w:r>
              <w:rPr>
                <w:rFonts w:ascii="Times New Roman" w:cs="Times New Roman" w:eastAsia="Times New Roman" w:hAnsi="Times New Roman"/>
                <w:sz w:val="18"/>
                <w:szCs w:val="18"/>
              </w:rPr>
              <w:t xml:space="preserve">As quatro localidades acrescidas por solicitação da Prefeitura não têm população, geração, distância ou equipamentos atribuídos nas tabelas do P2, do P3 (Tabela 19) ou do Caderno (Tabela 21). Não é possível verificar se a frota fluvial e as equipes do Baixo Madeira as contemplam.</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População e geração das quatro localidades e roteiro fluvial correspondente.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I, da Lei n.º 8.987/1995 c/c art. 11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C-051</w:t>
            </w:r>
          </w:p>
          <w:p>
            <w:pPr>
              <w:spacing w:after="40" w:line="240"/>
              <w:jc w:val="left"/>
            </w:pPr>
            <w:r>
              <w:rPr>
                <w:rFonts w:ascii="Times New Roman" w:cs="Times New Roman" w:eastAsia="Times New Roman" w:hAnsi="Times New Roman"/>
                <w:sz w:val="18"/>
                <w:szCs w:val="18"/>
              </w:rPr>
              <w:t xml:space="preserve">E6-042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IV.2.2 (PDF p. 25-26), Tabela 4 (p. 13) e Tabela 15, itens 3.1.4-3.1.7 (p. 44); P3 IV.6.3 e VI.1 (p. 36-41); Caderno Tabela 18 (p. 22)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Frota fluvial do Baixo Madeira sem cálculo de ciclo, capacidade e frequência</w:t>
            </w:r>
          </w:p>
          <w:p>
            <w:pPr>
              <w:spacing w:after="40" w:line="240"/>
              <w:jc w:val="left"/>
            </w:pPr>
            <w:r>
              <w:rPr>
                <w:rFonts w:ascii="Times New Roman" w:cs="Times New Roman" w:eastAsia="Times New Roman" w:hAnsi="Times New Roman"/>
                <w:sz w:val="18"/>
                <w:szCs w:val="18"/>
              </w:rPr>
              <w:t xml:space="preserve">Não há cálculo de tempo de ciclo, capacidade de carga ou número de viagens que demonstre que uma balsa (reposta nos Anos 10 e 20), um catamarã de 20 HP e quatro barcos de 40 HP atendem quatro distritos duas vezes por semana, com longos trechos fluviais e restrição de calado na estiagem. O armazenamento de RSS nos distritos à espera da balsa não é dimensionado frente aos limites sanitários.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Estudo de ciclo logístico fluvial (capacidade, viagens, sazonalidade).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18, inciso XV, da Lei n.º 8.987/1995 c/c art. 11 da Lei n.º 11.079/2004; RDC ANVISA n.º 222/2018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C-052</w:t>
            </w:r>
          </w:p>
          <w:p>
            <w:pPr>
              <w:spacing w:after="40" w:line="240"/>
              <w:jc w:val="left"/>
            </w:pPr>
            <w:r>
              <w:rPr>
                <w:rFonts w:ascii="Times New Roman" w:cs="Times New Roman" w:eastAsia="Times New Roman" w:hAnsi="Times New Roman"/>
                <w:sz w:val="18"/>
                <w:szCs w:val="18"/>
              </w:rPr>
              <w:t xml:space="preserve">E5-094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VIII.4 (PDF p. 99-100) e VIII.6.1 (p. 101); P4 Tabela 11, Nível 4 (p. 29); Anexo III PCOS (p. 25)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'Tirolesa logística' incorporada ao PCOS sem projeto, avaliação de segurança ou licenciamento</w:t>
            </w:r>
          </w:p>
          <w:p>
            <w:pPr>
              <w:spacing w:after="40" w:line="240"/>
              <w:jc w:val="left"/>
            </w:pPr>
            <w:r>
              <w:rPr>
                <w:rFonts w:ascii="Times New Roman" w:cs="Times New Roman" w:eastAsia="Times New Roman" w:hAnsi="Times New Roman"/>
                <w:sz w:val="18"/>
                <w:szCs w:val="18"/>
              </w:rPr>
              <w:t xml:space="preserve">A solução de cabos aéreos sugerida no P1 passa a procedimento do Nível 4 do PCOS no P4. Não há projeto, avaliação de segurança do trabalho, autorização para estruturas na várzea/APP nem custo.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Projeto e avaliação de viabilidade e segurança da solução; manifestação do órgão ambiental sobre intervenção em várzea/APP.</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6.º, inciso XXV, da Lei n.º 14.133/2021 c/c art. 186 da mesma Lei; art. 4.º, inciso I, e art. 8.º da Lei n.º 12.651/2012</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C-053</w:t>
            </w:r>
          </w:p>
          <w:p>
            <w:pPr>
              <w:spacing w:after="40" w:line="240"/>
              <w:jc w:val="left"/>
            </w:pPr>
            <w:r>
              <w:rPr>
                <w:rFonts w:ascii="Times New Roman" w:cs="Times New Roman" w:eastAsia="Times New Roman" w:hAnsi="Times New Roman"/>
                <w:sz w:val="18"/>
                <w:szCs w:val="18"/>
              </w:rPr>
              <w:t xml:space="preserve">E7-086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IX.6 (PDF p. 64); Contrato cl. 12.1 e 18.5.1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Afirmação de inaplicabilidade do limite de 25% de subdelegação às PPPs, a verificar</w:t>
            </w:r>
          </w:p>
          <w:p>
            <w:pPr>
              <w:spacing w:after="40" w:line="240"/>
              <w:jc w:val="left"/>
            </w:pPr>
            <w:r>
              <w:rPr>
                <w:rFonts w:ascii="Times New Roman" w:cs="Times New Roman" w:eastAsia="Times New Roman" w:hAnsi="Times New Roman"/>
                <w:sz w:val="18"/>
                <w:szCs w:val="18"/>
              </w:rPr>
              <w:t xml:space="preserve">O P7 afasta o limite de 25% do art. 11-A da Lei n.º 11.445/2007 com base no Decreto n.º 11.599/2023, condicionado ao compartilhamento de ganhos de eficiência com o usuário, e entende que o compartilhamento de receitas acessórias e a revisão quinquenal atendem a condição. É preciso conferir o texto vigente do decreto e se esses mecanismos equivalem ao compartilhamento exigido.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Texto vigente do Decreto n.º 11.599/2023 e sua aplicação a concessões administrativas.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11-A da Lei n.º 11.445/2007; Decreto n.º 11.599/2023 (verificar redação vigente)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C-054</w:t>
            </w:r>
          </w:p>
          <w:p>
            <w:pPr>
              <w:spacing w:after="40" w:line="240"/>
              <w:jc w:val="left"/>
            </w:pPr>
            <w:r>
              <w:rPr>
                <w:rFonts w:ascii="Times New Roman" w:cs="Times New Roman" w:eastAsia="Times New Roman" w:hAnsi="Times New Roman"/>
                <w:sz w:val="18"/>
                <w:szCs w:val="18"/>
              </w:rPr>
              <w:t xml:space="preserve">E5-078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V.1.4 (PDF p. 23) e Tabela 13 (p. 34); Contrato cl. 7.4 (p. 17)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Absorção dos trabalhadores do operador atual recomendada sem quantificação nem reflexo contratual</w:t>
            </w:r>
          </w:p>
          <w:p>
            <w:pPr>
              <w:spacing w:after="40" w:line="240"/>
              <w:jc w:val="left"/>
            </w:pPr>
            <w:r>
              <w:rPr>
                <w:rFonts w:ascii="Times New Roman" w:cs="Times New Roman" w:eastAsia="Times New Roman" w:hAnsi="Times New Roman"/>
                <w:sz w:val="18"/>
                <w:szCs w:val="18"/>
              </w:rPr>
              <w:t xml:space="preserve">O P4 recomenda garantias de manutenção dos vínculos dos cerca de 127 trabalhadores da coleta na transição, mas o número não tem fonte verificável (ver G1-059) e não se identificou cláusula correspondente nem custo na modelagem.</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Número de trabalhadores do operador atual e posição da Administração sobre a recomendação do P4.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Licenciamento e passivos ambientais (14)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C-070</w:t>
            </w:r>
          </w:p>
          <w:p>
            <w:pPr>
              <w:spacing w:after="40" w:line="240"/>
              <w:jc w:val="left"/>
            </w:pPr>
            <w:r>
              <w:rPr>
                <w:rFonts w:ascii="Times New Roman" w:cs="Times New Roman" w:eastAsia="Times New Roman" w:hAnsi="Times New Roman"/>
                <w:sz w:val="18"/>
                <w:szCs w:val="18"/>
              </w:rPr>
              <w:t xml:space="preserve">DD-ext</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p. 85; Anexo III Tab. 3 (p. 9); Contrato cl. 10.9 (p. 30)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Licença estadual do Ecoparque (2026) não considerada nos estudos</w:t>
            </w:r>
          </w:p>
          <w:p>
            <w:pPr>
              <w:spacing w:after="40" w:line="240"/>
              <w:jc w:val="left"/>
            </w:pPr>
            <w:r>
              <w:rPr>
                <w:rFonts w:ascii="Times New Roman" w:cs="Times New Roman" w:eastAsia="Times New Roman" w:hAnsi="Times New Roman"/>
                <w:sz w:val="18"/>
                <w:szCs w:val="18"/>
              </w:rPr>
              <w:t xml:space="preserve">Os estudos e o Contrato tratam a LAO municipal de 2024 (até 09/10/2028) como a licença do Ecoparque. Em 01/07/2026 foi publicada a LO 159654/COLMAM/SEDAM em nome da CTR Porto Velho S/A [fonte externa]. O prazo, as condicionantes e a capacidade licenciada são o que a cl. 10.9 manda a concessionária manter, e o que define o horizonte da transição.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Cópia da LO 159654/COLMAM/SEDAM e da LAO municipal, com prazos e capacidade.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VII, da Lei n.º 11.079/2004; Resolução CONAMA n.º 237/1997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[FONTE EXTERNA — VERIFICAR]</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C-071</w:t>
            </w:r>
          </w:p>
          <w:p>
            <w:pPr>
              <w:spacing w:after="40" w:line="240"/>
              <w:jc w:val="left"/>
            </w:pPr>
            <w:r>
              <w:rPr>
                <w:rFonts w:ascii="Times New Roman" w:cs="Times New Roman" w:eastAsia="Times New Roman" w:hAnsi="Times New Roman"/>
                <w:sz w:val="18"/>
                <w:szCs w:val="18"/>
              </w:rPr>
              <w:t xml:space="preserve">E1-008, E2-070, E5-041, E7-010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 viii (PDF p. 13) e 6.3, iv (p. 16); Anexo III I (p. 6) e VII.1 (p. 17); P1 VII.2.4 (p. 84) e Referências (p. 109); P4 II.1 (p. 9) e Tabela 1 (p. 10); P0 I.2, limitação vii (p. 5); P7 (sem exame do art. 10, VII)</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Licença prévia ou diretrizes do órgão licenciador para CTR, Jirau e transbordos não demonstradas (art. 10, VII)</w:t>
            </w:r>
          </w:p>
          <w:p>
            <w:pPr>
              <w:spacing w:after="40" w:line="240"/>
              <w:jc w:val="left"/>
            </w:pPr>
            <w:r>
              <w:rPr>
                <w:rFonts w:ascii="Times New Roman" w:cs="Times New Roman" w:eastAsia="Times New Roman" w:hAnsi="Times New Roman"/>
                <w:sz w:val="18"/>
                <w:szCs w:val="18"/>
              </w:rPr>
              <w:t xml:space="preserve">O objeto exige implantar CTR com aterro de rejeitos, UVR, CDR e autoclave, reativar ou recuperar o Jirau e implantar transbordos. Nenhum documento do pacote apresenta licença prévia ou diretrizes de licenciamento expedidas pelo órgão ambiental; o Anexo III é documento da consultoria (versões de 03/2026 e 09/2026), que se apresenta como orientação, e o P0 exclui licenças do escopo dos estudos. O P1 cita um 'Relatório de Ratificação do Licenciamento Ambiental' da CTR (2024) sem informar conteúdo, fase ou validade, e o Anexo III descreve a CTR-PV como 'em implantação'. O P7 não examina a condição do art. 10, VII, da Lei n.º 11.079/2004.</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Existência, nos autos do processo, de LP ou de diretrizes expedidas pelo órgão licenciador competente para CTR, Jirau e transbordos; conteúdo do 'Relatório de Ratificação do Licenciamento Ambiental' (2024).</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VII, da Lei n.º 11.079/2004; art. 8.º, inciso I, e art. 10 da Resolução CONAMA n.º 237/1997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C-072</w:t>
            </w:r>
          </w:p>
          <w:p>
            <w:pPr>
              <w:spacing w:after="40" w:line="240"/>
              <w:jc w:val="left"/>
            </w:pPr>
            <w:r>
              <w:rPr>
                <w:rFonts w:ascii="Times New Roman" w:cs="Times New Roman" w:eastAsia="Times New Roman" w:hAnsi="Times New Roman"/>
                <w:sz w:val="18"/>
                <w:szCs w:val="18"/>
              </w:rPr>
              <w:t xml:space="preserve">E2-071, E6-032, E5-042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VII.1, § 2.º (PDF p. 17); Anexo D Tabela 3 (p. 10) e Tabela 5, IE1, IE3 e IE4 (p. 14); P2 Tabela 15 (p. 43-45) e Tabela 16, item 4.5 (p. 46); P6 p. 46 e 50; Contrato cl. 8.7 (p. 19), 8.12 (p. 20), 10.13.1.1 (p. 31), 26.30 (p. 62); P4 Cap. III a VI (p. 10-29)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Prazo de licenciamento (LP, LI, LO e possível EIA/RIMA do aterro) não compatibilizado com cronograma e metas do Ano 2</w:t>
            </w:r>
          </w:p>
          <w:p>
            <w:pPr>
              <w:spacing w:after="40" w:line="240"/>
              <w:jc w:val="left"/>
            </w:pPr>
            <w:r>
              <w:rPr>
                <w:rFonts w:ascii="Times New Roman" w:cs="Times New Roman" w:eastAsia="Times New Roman" w:hAnsi="Times New Roman"/>
                <w:sz w:val="18"/>
                <w:szCs w:val="18"/>
              </w:rPr>
              <w:t xml:space="preserve">O Anexo D exige CTR 50% implantada e Jirau e incinerador reativados no Ano 2, e o P2 reduz a disposição no Ecoparque a partir do Ano 3, o que pressupõe LP, LI e LO de aterro novo em 12 a 24 meses. Não há cronograma de licenciamento nem de projetos; a Resolução CONAMA n.º 01/1986 lista aterros sanitários entre as atividades sujeitas a EIA/RIMA, e o P4 não trata desse estudo, de seu prazo ou custo (o termo EIA/RIMA só aparece no pedido de dados do P0). O Contrato isenta de penalidades os atrasos não imputáveis (8.7) e os que superem prazos legais por mora do órgão (8.12, 26.30), mas exclui o aterro do reequilíbrio por demora no licenciamento (10.13.1.1).</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Enquadramento do aterro da CTR quanto à exigência de EIA/RIMA pelo órgão licenciador; prazo efetivo de tramitação; estado do licenciamento da área ('Relatório de Ratificação', 2024).</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2.º, inciso X, da Resolução CONAMA n.º 01/1986; art. 14 da Resolução CONAMA n.º 237/1997; art. 225, § 1.º, inciso IV, da CF/1988; 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C-073</w:t>
            </w:r>
          </w:p>
          <w:p>
            <w:pPr>
              <w:spacing w:after="40" w:line="240"/>
              <w:jc w:val="left"/>
            </w:pPr>
            <w:r>
              <w:rPr>
                <w:rFonts w:ascii="Times New Roman" w:cs="Times New Roman" w:eastAsia="Times New Roman" w:hAnsi="Times New Roman"/>
                <w:sz w:val="18"/>
                <w:szCs w:val="18"/>
              </w:rPr>
              <w:t xml:space="preserve">E5-043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p. 85; P4 p. 9, 27 e Referências (p. 39); P0 p. 25; Contrato cl. 8.8, i (p. 19); Anexo III (referências a SEMA/RO)</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Órgão licenciador competente indefinido (SEMA municipal x 'SEMA/RO' estadual x SEDAM)</w:t>
            </w:r>
          </w:p>
          <w:p>
            <w:pPr>
              <w:spacing w:after="40" w:line="240"/>
              <w:jc w:val="left"/>
            </w:pPr>
            <w:r>
              <w:rPr>
                <w:rFonts w:ascii="Times New Roman" w:cs="Times New Roman" w:eastAsia="Times New Roman" w:hAnsi="Times New Roman"/>
                <w:sz w:val="18"/>
                <w:szCs w:val="18"/>
              </w:rPr>
              <w:t xml:space="preserve">O P1 vincula as licenças do Ecoparque à SEMA e cita legislação estadual de licenciamento; o P4 denomina 'SEMA/RO' um órgão que descreve como secretaria estadual, cuja sigla no P0 e no P2 é SEDAM. Os estudos não definem a competência para licenciar a CTR, conduzir o rito GAC e aprovar o cronograma de remediação; os documentos vinculantes usam 'órgão ambiental licenciador competente'.</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Identificação do órgão licenciador competente para cada empreendimento (CTR, Jirau, transbordos) e para o rito GAC.</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inciso XIV, e art. 9.º, inciso XIV, da Lei Complementar n.º 140/2011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C-074</w:t>
            </w:r>
          </w:p>
          <w:p>
            <w:pPr>
              <w:spacing w:after="40" w:line="240"/>
              <w:jc w:val="left"/>
            </w:pPr>
            <w:r>
              <w:rPr>
                <w:rFonts w:ascii="Times New Roman" w:cs="Times New Roman" w:eastAsia="Times New Roman" w:hAnsi="Times New Roman"/>
                <w:sz w:val="18"/>
                <w:szCs w:val="18"/>
              </w:rPr>
              <w:t xml:space="preserve">E5-045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p. 84; P4 Tabela 1 (PDF p. 10), Tabela 3 (p. 13) e V.1.3 (p. 22-23); P2 V.5 (p. 36)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Aptidão locacional da CTR não avaliada (comunidade vizinha, campus, APP, áreas contaminadas, lençol freático)</w:t>
            </w:r>
          </w:p>
          <w:p>
            <w:pPr>
              <w:spacing w:after="40" w:line="240"/>
              <w:jc w:val="left"/>
            </w:pPr>
            <w:r>
              <w:rPr>
                <w:rFonts w:ascii="Times New Roman" w:cs="Times New Roman" w:eastAsia="Times New Roman" w:hAnsi="Times New Roman"/>
                <w:sz w:val="18"/>
                <w:szCs w:val="18"/>
              </w:rPr>
              <w:t xml:space="preserve">A CTR, com novo aterro, será implantada em frente à comunidade da Vila Princesa (580 a 800 habitantes segundo o Anexo III), próxima ao campus da UNIR, à APP de igarapé e às áreas com potencial de contaminação, suspeitas ou contaminadas do entorno da Lixeira. O P4 não avalia distâncias mínimas, hidrogeologia, nível do lençol, sobreposição com plumas de contaminação nem alternativas locacionais.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Estudo locacional e hidrogeológico do sítio da CTR.</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 da Resolução CONAMA n.º 01/1986; Resolução CONAMA n.º 237/1997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C-075</w:t>
            </w:r>
          </w:p>
          <w:p>
            <w:pPr>
              <w:spacing w:after="40" w:line="240"/>
              <w:jc w:val="left"/>
            </w:pPr>
            <w:r>
              <w:rPr>
                <w:rFonts w:ascii="Times New Roman" w:cs="Times New Roman" w:eastAsia="Times New Roman" w:hAnsi="Times New Roman"/>
                <w:sz w:val="18"/>
                <w:szCs w:val="18"/>
              </w:rPr>
              <w:t xml:space="preserve">E5-044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V.5 (PDF p. 36) — coordenadas do sítio; ausência de referência a aeródromos em todos os documentos</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Área de Segurança Aeroportuária não avaliada para o aterro da CTR</w:t>
            </w:r>
          </w:p>
          <w:p>
            <w:pPr>
              <w:spacing w:after="40" w:line="240"/>
              <w:jc w:val="left"/>
            </w:pPr>
            <w:r>
              <w:rPr>
                <w:rFonts w:ascii="Times New Roman" w:cs="Times New Roman" w:eastAsia="Times New Roman" w:hAnsi="Times New Roman"/>
                <w:sz w:val="18"/>
                <w:szCs w:val="18"/>
              </w:rPr>
              <w:t xml:space="preserve">Aterros sanitários atraem fauna e estão sujeitos a restrições na Área de Segurança Aeroportuária. Nenhum documento do pacote verifica a distância do sítio da CTR aos aeródromos da região nem a necessidade de manifestação da autoridade aeronáutica (busca por 'aeroporto', 'aeródromo' e 'Lei 12.725' sem ocorrência pertinente). A estimativa de distância feita pelo extrator foi suprimida por não ter base documental.</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Distância entre o sítio da CTR (coordenadas do P2, p. 36) e os aeródromos da região, com coordenadas oficiais (AIP/ANAC); enquadramento na ASA e eventual manifestação da autoridade aeronáutica.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2.º e 3.º da Lei n.º 12.725/2012 (conferir redação vigente)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C-076</w:t>
            </w:r>
          </w:p>
          <w:p>
            <w:pPr>
              <w:spacing w:after="40" w:line="240"/>
              <w:jc w:val="left"/>
            </w:pPr>
            <w:r>
              <w:rPr>
                <w:rFonts w:ascii="Times New Roman" w:cs="Times New Roman" w:eastAsia="Times New Roman" w:hAnsi="Times New Roman"/>
                <w:sz w:val="18"/>
                <w:szCs w:val="18"/>
              </w:rPr>
              <w:t xml:space="preserve">E5-046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Tabela 7 (PDF p. 21); Anexo III PA-07 (p. 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Supressão de vegetação em APP prevista para obras da CTR-PV sem enquadramento nas hipóteses legais</w:t>
            </w:r>
          </w:p>
          <w:p>
            <w:pPr>
              <w:spacing w:after="40" w:line="240"/>
              <w:jc w:val="left"/>
            </w:pPr>
            <w:r>
              <w:rPr>
                <w:rFonts w:ascii="Times New Roman" w:cs="Times New Roman" w:eastAsia="Times New Roman" w:hAnsi="Times New Roman"/>
                <w:sz w:val="18"/>
                <w:szCs w:val="18"/>
              </w:rPr>
              <w:t xml:space="preserve">O P4 admite supressão de vegetação em APP de igarapé adjacente à Lixeira/CTR-PV, mas não indica a hipótese legal (utilidade pública, interesse social ou baixo impacto) nem a área afetada. A intervenção em APP é excepcional e depende de enquadramento expresso.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Área de APP afetada pelo layout da CTR e hipótese legal de intervenção invocável.</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4.º, inciso I, e art. 8.º da Lei n.º 12.651/2012</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C-077</w:t>
            </w:r>
          </w:p>
          <w:p>
            <w:pPr>
              <w:spacing w:after="40" w:line="240"/>
              <w:jc w:val="left"/>
            </w:pPr>
            <w:r>
              <w:rPr>
                <w:rFonts w:ascii="Times New Roman" w:cs="Times New Roman" w:eastAsia="Times New Roman" w:hAnsi="Times New Roman"/>
                <w:sz w:val="18"/>
                <w:szCs w:val="18"/>
              </w:rPr>
              <w:t xml:space="preserve">E5-092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VII.2.3 (PDF p. 78) e VIII.4 (p. 98); P4 Tabela 1 (p. 11) e Tabela 6 (p. 20); Caderno XI.4 (p. 62)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Estação de transbordo do Baixo Madeira em margem de rio sem análise de APP, cheias, titularidade ou licenciamento</w:t>
            </w:r>
          </w:p>
          <w:p>
            <w:pPr>
              <w:spacing w:after="40" w:line="240"/>
              <w:jc w:val="left"/>
            </w:pPr>
            <w:r>
              <w:rPr>
                <w:rFonts w:ascii="Times New Roman" w:cs="Times New Roman" w:eastAsia="Times New Roman" w:hAnsi="Times New Roman"/>
                <w:sz w:val="18"/>
                <w:szCs w:val="18"/>
              </w:rPr>
              <w:t xml:space="preserve">A futura estação de transbordo ficará no ponto informal de transbordo da Foz do Jamari/São Carlos, à margem do rio, sujeito a cheias e erosão, hoje sem impermeabilização e com RSS misturado ao RSU. Os estudos não avaliam APP, cota de inundação, titularidade (o Caderno diz que a área 'será cedida pela prefeitura') nem licenciamento.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Levantamento locacional, fundiário e de cota de cheia do ponto indicado.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4.º, inciso I, da Lei n.º 12.651/2012; art. 10, inciso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C-078</w:t>
            </w:r>
          </w:p>
          <w:p>
            <w:pPr>
              <w:spacing w:after="40" w:line="240"/>
              <w:jc w:val="left"/>
            </w:pPr>
            <w:r>
              <w:rPr>
                <w:rFonts w:ascii="Times New Roman" w:cs="Times New Roman" w:eastAsia="Times New Roman" w:hAnsi="Times New Roman"/>
                <w:sz w:val="18"/>
                <w:szCs w:val="18"/>
              </w:rPr>
              <w:t xml:space="preserve">E2-078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11, PA-07 (PDF p. 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PA-07: passagens de fauna em rodovia e recuperação de 1 ha/ano de APP sem local, competência ou custo</w:t>
            </w:r>
          </w:p>
          <w:p>
            <w:pPr>
              <w:spacing w:after="40" w:line="240"/>
              <w:jc w:val="left"/>
            </w:pPr>
            <w:r>
              <w:rPr>
                <w:rFonts w:ascii="Times New Roman" w:cs="Times New Roman" w:eastAsia="Times New Roman" w:hAnsi="Times New Roman"/>
                <w:sz w:val="18"/>
                <w:szCs w:val="18"/>
              </w:rPr>
              <w:t xml:space="preserve">A implantação de passagens de fauna nas rotas do Alto Madeira (BR-364, rodovia federal) depende de autorização do órgão com jurisdição sobre a via, e não há quantidade, local ou custo definidos nem linha no P6. A recuperação de pelo menos 1 ha de APP por ano não indica as áreas.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Definição das áreas de APP e dos pontos de passagem de fauna; autorização do órgão com jurisdição sobre a rodovia.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Lei n.º 12.651/2012 (APP); não localizei fundamento normativo específico para impor à concessionária de RSU a implantação de passagens de fauna em rodovia federal</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C-079</w:t>
            </w:r>
          </w:p>
          <w:p>
            <w:pPr>
              <w:spacing w:after="40" w:line="240"/>
              <w:jc w:val="left"/>
            </w:pPr>
            <w:r>
              <w:rPr>
                <w:rFonts w:ascii="Times New Roman" w:cs="Times New Roman" w:eastAsia="Times New Roman" w:hAnsi="Times New Roman"/>
                <w:sz w:val="18"/>
                <w:szCs w:val="18"/>
              </w:rPr>
              <w:t xml:space="preserve">E2-087, E5-057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VII.2 (PDF p. 17), XIV.2 e XIV.3 (p. 33-34); P4 VI.2 (p. 27) e IX (p. 36); Contrato cl. 8.6.1.2.4 e 8.8, i (p. 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Cronograma GAC aprovado pelo órgão ambiental como condição pré-licitatória (Anexo III/P4) sem comprovação; Contrato transfere etapas à concessionária</w:t>
            </w:r>
          </w:p>
          <w:p>
            <w:pPr>
              <w:spacing w:after="40" w:line="240"/>
              <w:jc w:val="left"/>
            </w:pPr>
            <w:r>
              <w:rPr>
                <w:rFonts w:ascii="Times New Roman" w:cs="Times New Roman" w:eastAsia="Times New Roman" w:hAnsi="Times New Roman"/>
                <w:sz w:val="18"/>
                <w:szCs w:val="18"/>
              </w:rPr>
              <w:t xml:space="preserve">O Anexo III (XIV.2 e XIV.3, 'recomendações estratégicas incorporadas como diretrizes') e o P4 qualificam o cronograma das etapas pendentes do rito GAC, aprovado pelo órgão ambiental e com marcos publicados, como condição suspensiva pré-licitatória. A licitação foi lançada sem que os documentos indiquem essa aprovação; o cronograma da Tabela 10 do Anexo III é da consultoria. O Contrato atribui à concessionária a execução das etapas pendentes após a Ordem de Início (8.8, i) e a integralidade das medidas de intervenção (8.6.1.2.4).</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Existência de cronograma do rito GAC aprovado pelo órgão ambiental nos processos SEI de remediação da Lixeira.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Resolução CONAMA n.º 420/2009; art. 10, inciso VII, da Lei n.º 11.079/2004;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C-080</w:t>
            </w:r>
          </w:p>
          <w:p>
            <w:pPr>
              <w:spacing w:after="40" w:line="240"/>
              <w:jc w:val="left"/>
            </w:pPr>
            <w:r>
              <w:rPr>
                <w:rFonts w:ascii="Times New Roman" w:cs="Times New Roman" w:eastAsia="Times New Roman" w:hAnsi="Times New Roman"/>
                <w:sz w:val="18"/>
                <w:szCs w:val="18"/>
              </w:rPr>
              <w:t xml:space="preserve">E1-117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1.1.44 (PDF p. 9); Anexo III p. 17; P2 Sumário (p. 5); P4 II.1 (p. 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Base normativa do rito GAC: Nota Técnica 01/2023/SEMA-ERGASJPA (Edital) x IN SEDAM 5/2025 (P2)</w:t>
            </w:r>
          </w:p>
          <w:p>
            <w:pPr>
              <w:spacing w:after="40" w:line="240"/>
              <w:jc w:val="left"/>
            </w:pPr>
            <w:r>
              <w:rPr>
                <w:rFonts w:ascii="Times New Roman" w:cs="Times New Roman" w:eastAsia="Times New Roman" w:hAnsi="Times New Roman"/>
                <w:sz w:val="18"/>
                <w:szCs w:val="18"/>
              </w:rPr>
              <w:t xml:space="preserve">O rito de encerramento da Vila Princesa remete a nota técnica cujo emissor e aplicabilidade não são identificados nos documentos vinculantes; o P2 fundamenta o encerramento da Lixeira e do Jirau na Instrução Normativa SEDAM n.º 5/2025. A divergência de base normativa afeta o escopo e o custo da remediação.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Existência, emissor e vigência da Nota Técnica n.º 01/2023/SEMA-ERGASJPA e da IN SEDAM n.º 5/2025, e relação entre elas.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Resolução CONAMA n.º 420/2009; art. 5.º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C-081</w:t>
            </w:r>
          </w:p>
          <w:p>
            <w:pPr>
              <w:spacing w:after="40" w:line="240"/>
              <w:jc w:val="left"/>
            </w:pPr>
            <w:r>
              <w:rPr>
                <w:rFonts w:ascii="Times New Roman" w:cs="Times New Roman" w:eastAsia="Times New Roman" w:hAnsi="Times New Roman"/>
                <w:sz w:val="18"/>
                <w:szCs w:val="18"/>
              </w:rPr>
              <w:t xml:space="preserve">E1-014, E5-074, E7-080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XII.4 (PDF p. 72) e IV.4 (p. 37); P4 Tabelas 13 e 14 (p. 34); P2 p. 20; Matriz SA-07 e SA-11 (p. 24); Edital (sem item sobre o tema)</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Consulta prévia a povos e comunidades tradicionais (Convenção 169 da OIT) pendente; comunidades não identificadas</w:t>
            </w:r>
          </w:p>
          <w:p>
            <w:pPr>
              <w:spacing w:after="40" w:line="240"/>
              <w:jc w:val="left"/>
            </w:pPr>
            <w:r>
              <w:rPr>
                <w:rFonts w:ascii="Times New Roman" w:cs="Times New Roman" w:eastAsia="Times New Roman" w:hAnsi="Times New Roman"/>
                <w:sz w:val="18"/>
                <w:szCs w:val="18"/>
              </w:rPr>
              <w:t xml:space="preserve">O P2 menciona comunidades ribeirinhas, quilombolas e indígenas ao longo da calha do Rio Madeira, mas o P4 não as identifica e deixa FUNAI e INCRA 'a consultar'. O P7 registra a oitiva prevista na Convenção 169 como providência pendente, e a Matriz aloca ao Poder Concedente a consulta às comunidades (SA-07) e o atraso das consultas a FUNAI/INCRA (SA-11). Não há registro de que a consulta tenha ocorrido antes do Edital, embora a logística fluvial e os transbordos afetem os distritos do Baixo Madeira.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Identificação de terras e comunidades indígenas, quilombolas e tradicionais na área de influência e registro da consulta realizada.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6.º da Convenção n.º 169 da OIT (Decreto n.º 10.088/2019); art. 231 da CF/1988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C-083</w:t>
            </w:r>
          </w:p>
          <w:p>
            <w:pPr>
              <w:spacing w:after="40" w:line="240"/>
              <w:jc w:val="left"/>
            </w:pPr>
            <w:r>
              <w:rPr>
                <w:rFonts w:ascii="Times New Roman" w:cs="Times New Roman" w:eastAsia="Times New Roman" w:hAnsi="Times New Roman"/>
                <w:sz w:val="18"/>
                <w:szCs w:val="18"/>
              </w:rPr>
              <w:t xml:space="preserve">E5-085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VIII (PDF p. 33) e Tabela 13 (p. 34); Anexo III (Plano de Engajamento de Stakeholders)</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Padrões IFC/Banco Mundial apresentados como 'exigência' sem fonte normativa ou contratual</w:t>
            </w:r>
          </w:p>
          <w:p>
            <w:pPr>
              <w:spacing w:after="40" w:line="240"/>
              <w:jc w:val="left"/>
            </w:pPr>
            <w:r>
              <w:rPr>
                <w:rFonts w:ascii="Times New Roman" w:cs="Times New Roman" w:eastAsia="Times New Roman" w:hAnsi="Times New Roman"/>
                <w:sz w:val="18"/>
                <w:szCs w:val="18"/>
              </w:rPr>
              <w:t xml:space="preserve">O P4 trata os Padrões de Desempenho do IFC e o marco do Banco Mundial como exigências e prevê certificação de conformidade. Esses padrões não são normas brasileiras e só obrigam por cláusula contratual ou condição de financiador; se incorporados como obrigação, geram custo não modelado.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Posição da Administração sobre a incorporação desses padrões como obrigação contratual.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não localizei fundamento normativo específico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C-084</w:t>
            </w:r>
          </w:p>
          <w:p>
            <w:pPr>
              <w:spacing w:after="40" w:line="240"/>
              <w:jc w:val="left"/>
            </w:pPr>
            <w:r>
              <w:rPr>
                <w:rFonts w:ascii="Times New Roman" w:cs="Times New Roman" w:eastAsia="Times New Roman" w:hAnsi="Times New Roman"/>
                <w:sz w:val="18"/>
                <w:szCs w:val="18"/>
              </w:rPr>
              <w:t xml:space="preserve">E2-092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11, PA-05 (PDF p. 19)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KPI de qualidade do ar (PA-05) ancorado na Resolução CONAMA 03/1990, possivelmente sem vigência</w:t>
            </w:r>
          </w:p>
          <w:p>
            <w:pPr>
              <w:spacing w:after="40" w:line="240"/>
              <w:jc w:val="left"/>
            </w:pPr>
            <w:r>
              <w:rPr>
                <w:rFonts w:ascii="Times New Roman" w:cs="Times New Roman" w:eastAsia="Times New Roman" w:hAnsi="Times New Roman"/>
                <w:sz w:val="18"/>
                <w:szCs w:val="18"/>
              </w:rPr>
              <w:t xml:space="preserve">Os padrões nacionais de qualidade do ar foram objeto da Resolução CONAMA n.º 491/2018, alterada pela Resolução CONAMA n.º 506/2024, que estabelece padrões intermediários por etapas. Se a Resolução n.º 03/1990 tiver sido revogada, o indicador contratual fica referido a norma sem vigência.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Confirmação, no texto oficial publicado no DOU, da revogação da Resolução CONAMA n.º 03/1990 e dos padrões vigentes.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Resolução CONAMA n.º 491/2018 e Resolução CONAMA n.º 506/2024 (verificar cláusulas de revogação no texto oficial); Resolução CONAMA n.º 03/1990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Modelagem econômico-financeira (11)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C-138</w:t>
            </w:r>
          </w:p>
          <w:p>
            <w:pPr>
              <w:spacing w:after="40" w:line="240"/>
              <w:jc w:val="left"/>
            </w:pPr>
            <w:r>
              <w:rPr>
                <w:rFonts w:ascii="Times New Roman" w:cs="Times New Roman" w:eastAsia="Times New Roman" w:hAnsi="Times New Roman"/>
                <w:sz w:val="18"/>
                <w:szCs w:val="18"/>
              </w:rPr>
              <w:t xml:space="preserve">DD-ext</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 9 (PDF p. 42–43); P2 item 4.5; Contrato, considerando v</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Custo de transição no Ecoparque (≈ R$ 12/t no P6) sem lastro no contrato vigente</w:t>
            </w:r>
          </w:p>
          <w:p>
            <w:pPr>
              <w:spacing w:after="40" w:line="240"/>
              <w:jc w:val="left"/>
            </w:pPr>
            <w:r>
              <w:rPr>
                <w:rFonts w:ascii="Times New Roman" w:cs="Times New Roman" w:eastAsia="Times New Roman" w:hAnsi="Times New Roman"/>
                <w:sz w:val="18"/>
                <w:szCs w:val="18"/>
              </w:rPr>
              <w:t xml:space="preserve">A modelagem prevê R$ 4,93 mi em 4 anos para dispor no Ecoparque cerca de 140 mil t/ano, o que dá ≈ R$ 12/t. O Contrato 042/PGM/2023 com a CTR Porto Velho S.A. é de R$ 19,38 mi [fonte externa]. Nenhum documento do pacote informa o preço por tonelada nem diz quem paga a disposição na transição. Se a concessionária pagar a preço de mercado, o OPEX dos anos 1–4 está subestimado.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Contrato 042/PGM/2023 (preço unitário, prazo, aditivos) e definição de quem contrata e paga a destinação na transição.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4.º,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p>
            <w:pPr>
              <w:spacing w:after="40" w:line="240"/>
              <w:jc w:val="left"/>
            </w:pPr>
            <w:r>
              <w:rPr>
                <w:rFonts w:ascii="Times New Roman" w:cs="Times New Roman" w:eastAsia="Times New Roman" w:hAnsi="Times New Roman"/>
                <w:sz w:val="18"/>
                <w:szCs w:val="18"/>
              </w:rPr>
              <w:t xml:space="preserve">[FONTE EXTERNA — VERIFICAR]</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C-139</w:t>
            </w:r>
          </w:p>
          <w:p>
            <w:pPr>
              <w:spacing w:after="40" w:line="240"/>
              <w:jc w:val="left"/>
            </w:pPr>
            <w:r>
              <w:rPr>
                <w:rFonts w:ascii="Times New Roman" w:cs="Times New Roman" w:eastAsia="Times New Roman" w:hAnsi="Times New Roman"/>
                <w:sz w:val="18"/>
                <w:szCs w:val="18"/>
              </w:rPr>
              <w:t xml:space="preserve">E4-015, E7-016, E3-005, E1-012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item VI.9 (p. 59); P7 V.10 (PDF p. 44); Contrato considerando vi (p. 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Demais PPPs e concessões com contraprestação do Município não identificadas no cômputo do art. 28</w:t>
            </w:r>
          </w:p>
          <w:p>
            <w:pPr>
              <w:spacing w:after="40" w:line="240"/>
              <w:jc w:val="left"/>
            </w:pPr>
            <w:r>
              <w:rPr>
                <w:rFonts w:ascii="Times New Roman" w:cs="Times New Roman" w:eastAsia="Times New Roman" w:hAnsi="Times New Roman"/>
                <w:sz w:val="18"/>
                <w:szCs w:val="18"/>
              </w:rPr>
              <w:t xml:space="preserve">O limite de 5% incide sobre o conjunto das parcerias contratadas pelo ente (inclusive por entidades controladas). P6 e P7 afirmam a conformidade sem listar os contratos vigentes nem suas despesas anuais; o P6 menciona consulta ao Anexo 13 do RREO, que não integra o pacote.</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Relação das PPPs e concessões administrativas/patrocinadas do Município e respectivas despesas anuais (RREO, Anexo 13).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28, caput,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C-140</w:t>
            </w:r>
          </w:p>
          <w:p>
            <w:pPr>
              <w:spacing w:after="40" w:line="240"/>
              <w:jc w:val="left"/>
            </w:pPr>
            <w:r>
              <w:rPr>
                <w:rFonts w:ascii="Times New Roman" w:cs="Times New Roman" w:eastAsia="Times New Roman" w:hAnsi="Times New Roman"/>
                <w:sz w:val="18"/>
                <w:szCs w:val="18"/>
              </w:rPr>
              <w:t xml:space="preserve">E4-004, E1-010, E5-002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12.2.1 e 12.3 (PDF p. 31), preâmbulo (data da sessão em branco) e cronograma (item 23, p. 52–53); P6 p. 36 (Ano 2 = 2028); capas de P1 e P4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Atualidade da data-base (maio/2026) e dos estudos frente à sessão e à assinatura</w:t>
            </w:r>
          </w:p>
          <w:p>
            <w:pPr>
              <w:spacing w:after="40" w:line="240"/>
              <w:jc w:val="left"/>
            </w:pPr>
            <w:r>
              <w:rPr>
                <w:rFonts w:ascii="Times New Roman" w:cs="Times New Roman" w:eastAsia="Times New Roman" w:hAnsi="Times New Roman"/>
                <w:sz w:val="18"/>
                <w:szCs w:val="18"/>
              </w:rPr>
              <w:t xml:space="preserve">A data da sessão não está definida e o P6 assume Ano 1 = 2027. Se a assinatura ocorrer em exercício diverso do da publicação do edital, a lei exige atualização prévia dos estudos e demonstrações dos incisos I a IV do art. 10, providência que o Edital não prevê. Os dados do diagnóstico vão até dez/2025 (SINISA 2024, Censo 2022) e as revisões de set/2026 não incorporam fatos posteriores (ex.: vencimento da LAI do Ecoparque em 08/10/2026). Em contrato de 30 anos, a defasagem afeta CAPEX, OPEX e WACC.</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Datas da publicação, da sessão pública e da assinatura prevista. O parâmetro interno de 6 meses de atualidade (origem TCE-SP) deve ser conferido perante o TCE-RO; não localizei fundamento normativo que fixe prazo máximo.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 2.º, da Lei n.º 11.079/2004; art. 25, § 7.º,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C-141</w:t>
            </w:r>
          </w:p>
          <w:p>
            <w:pPr>
              <w:spacing w:after="40" w:line="240"/>
              <w:jc w:val="left"/>
            </w:pPr>
            <w:r>
              <w:rPr>
                <w:rFonts w:ascii="Times New Roman" w:cs="Times New Roman" w:eastAsia="Times New Roman" w:hAnsi="Times New Roman"/>
                <w:sz w:val="18"/>
                <w:szCs w:val="18"/>
              </w:rPr>
              <w:t xml:space="preserve">E4-035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(sem rubrica), Tabela 15 e Figura 8 (p. 50 e seguintes) × Contrato cl. 9.5 (PDF p. 21) e 15.5 (p. 37)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Custos da garantia de execução e efeito de descontos de IQD (até 10%) não modelados</w:t>
            </w:r>
          </w:p>
          <w:p>
            <w:pPr>
              <w:spacing w:after="40" w:line="240"/>
              <w:jc w:val="left"/>
            </w:pPr>
            <w:r>
              <w:rPr>
                <w:rFonts w:ascii="Times New Roman" w:cs="Times New Roman" w:eastAsia="Times New Roman" w:hAnsi="Times New Roman"/>
                <w:sz w:val="18"/>
                <w:szCs w:val="18"/>
              </w:rPr>
              <w:t xml:space="preserve">O P6 calibra a CMM com TIR igual ao WACC supondo recebimento integral. Não se identifica custo de seguro-garantia ou fiança da garantia de execução (10% do valor anual) nem cenário de desconto por IQD. Pela Figura 8, uma redução de receita dessa ordem teria efeito comparável aos cenários de OPEX +5% a +15% (TIR entre 8,71% e 2,80%).</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Planilha do modelo, para verificar se esses custos estão embutidos em outras rubricas.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VIII, e art. 6.º, § 1.º, da Lei n.º 11.079/2004; 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C-142</w:t>
            </w:r>
          </w:p>
          <w:p>
            <w:pPr>
              <w:spacing w:after="40" w:line="240"/>
              <w:jc w:val="left"/>
            </w:pPr>
            <w:r>
              <w:rPr>
                <w:rFonts w:ascii="Times New Roman" w:cs="Times New Roman" w:eastAsia="Times New Roman" w:hAnsi="Times New Roman"/>
                <w:sz w:val="18"/>
                <w:szCs w:val="18"/>
              </w:rPr>
              <w:t xml:space="preserve">E6-053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Tabela 16 (PDF p. 46); P3 Tabelas 10 e 22 (p. 21 e 44); P6 p. 42–43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OPEX constante do Ano 5 ao Ano 30 apesar do crescimento da massa; saltos de custo sem memória</w:t>
            </w:r>
          </w:p>
          <w:p>
            <w:pPr>
              <w:spacing w:after="40" w:line="240"/>
              <w:jc w:val="left"/>
            </w:pPr>
            <w:r>
              <w:rPr>
                <w:rFonts w:ascii="Times New Roman" w:cs="Times New Roman" w:eastAsia="Times New Roman" w:hAnsi="Times New Roman"/>
                <w:sz w:val="18"/>
                <w:szCs w:val="18"/>
              </w:rPr>
              <w:t xml:space="preserve">O RSU bruto cresce de 150,8 mil t (2027) para 172,8 mil t (2056), mas mão de obra, combustíveis e manutenção ficam constantes do Ano 5 ao Ano 30, e a frota de compactadores passa de 17 para 18 só no Ano 10. A mão de obra de coleta da Sede sobe 32,8% no Ano 5 e os combustíveis caem 20% no Ano 3, sem explicação.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Memória de cálculo do dimensionamento de equipes, frota e consumo por ano (planilha do modelo e do P2).</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C-146</w:t>
            </w:r>
          </w:p>
          <w:p>
            <w:pPr>
              <w:spacing w:after="40" w:line="240"/>
              <w:jc w:val="left"/>
            </w:pPr>
            <w:r>
              <w:rPr>
                <w:rFonts w:ascii="Times New Roman" w:cs="Times New Roman" w:eastAsia="Times New Roman" w:hAnsi="Times New Roman"/>
                <w:sz w:val="18"/>
                <w:szCs w:val="18"/>
              </w:rPr>
              <w:t xml:space="preserve">E3-084, E7-026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13.1.1 (PDF p. 34) × P6 p. 44 × P7 V.11 (p. 44) e XI.3.3 (p. 68)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TRCF de 1,5% sobre receita bruta, repassada à contraprestação; faculdade legal de não incidência não utilizada</w:t>
            </w:r>
          </w:p>
          <w:p>
            <w:pPr>
              <w:spacing w:after="40" w:line="240"/>
              <w:jc w:val="left"/>
            </w:pPr>
            <w:r>
              <w:rPr>
                <w:rFonts w:ascii="Times New Roman" w:cs="Times New Roman" w:eastAsia="Times New Roman" w:hAnsi="Times New Roman"/>
                <w:sz w:val="18"/>
                <w:szCs w:val="18"/>
              </w:rPr>
              <w:t xml:space="preserve">A TRCF incide sobre a receita operacional bruta e, segundo o P6, é integralmente repassada à contraprestação: o Município paga, via PPP, a taxa que ele próprio arrecada. O P6 registra que a LC 1.013/2025 (art. 51, §§ 1.º e 2.º) permite ao contrato de PPP administrativa prever a não incidência; o Contrato cita o art. 53 e impõe a incidência, e o P7 não menciona a faculdade. A base de cálculo em receita bruta é questionável para taxa de poder de polícia.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Texto consolidado da LC Municipal 1.013/2025 (arts. 51 e 53).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145, inciso II e § 2.º, da Constituição Federal; art. 77, parágrafo único, da Lei n.º 5.172/1966 (CTN); arts. 51 e 53 da Lei Complementar Municipal n.º 1.013/2025</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C-147</w:t>
            </w:r>
          </w:p>
          <w:p>
            <w:pPr>
              <w:spacing w:after="40" w:line="240"/>
              <w:jc w:val="left"/>
            </w:pPr>
            <w:r>
              <w:rPr>
                <w:rFonts w:ascii="Times New Roman" w:cs="Times New Roman" w:eastAsia="Times New Roman" w:hAnsi="Times New Roman"/>
                <w:sz w:val="18"/>
                <w:szCs w:val="18"/>
              </w:rPr>
              <w:t xml:space="preserve">E7-052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III.3 (PDF p. 28); P0 p. 16; P6 p. 15 e 35–36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Justificativa do prazo de 30 anos remetida ao P6, que não contém análise comparativa de prazos</w:t>
            </w:r>
          </w:p>
          <w:p>
            <w:pPr>
              <w:spacing w:after="40" w:line="240"/>
              <w:jc w:val="left"/>
            </w:pPr>
            <w:r>
              <w:rPr>
                <w:rFonts w:ascii="Times New Roman" w:cs="Times New Roman" w:eastAsia="Times New Roman" w:hAnsi="Times New Roman"/>
                <w:sz w:val="18"/>
                <w:szCs w:val="18"/>
              </w:rPr>
              <w:t xml:space="preserve">O P0 previa a determinação do prazo de concessão mais adequado no Caderno 6. A busca no P6 localizou só o tenor da dívida (25 anos) e menções ao horizonte de 30 anos, sem estudo de prazos. O CAPEX tem ciclos quinquenais de frota, o que relativiza o argumento de amortização.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Confirmar no P6 integral (ou na planilha) se há análise de prazo; caso inexistente, o ponto passa a omissão documentada.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C-148</w:t>
            </w:r>
          </w:p>
          <w:p>
            <w:pPr>
              <w:spacing w:after="40" w:line="240"/>
              <w:jc w:val="left"/>
            </w:pPr>
            <w:r>
              <w:rPr>
                <w:rFonts w:ascii="Times New Roman" w:cs="Times New Roman" w:eastAsia="Times New Roman" w:hAnsi="Times New Roman"/>
                <w:sz w:val="18"/>
                <w:szCs w:val="18"/>
              </w:rPr>
              <w:t xml:space="preserve">E4-050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VI.5 e VI.6 (PDF p. 54); Figuras 4 e 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PSC e PPP descontados ao WACC privado (11,63% real), sem justificativa nem sensibilidade da taxa</w:t>
            </w:r>
          </w:p>
          <w:p>
            <w:pPr>
              <w:spacing w:after="40" w:line="240"/>
              <w:jc w:val="left"/>
            </w:pPr>
            <w:r>
              <w:rPr>
                <w:rFonts w:ascii="Times New Roman" w:cs="Times New Roman" w:eastAsia="Times New Roman" w:hAnsi="Times New Roman"/>
                <w:sz w:val="18"/>
                <w:szCs w:val="18"/>
              </w:rPr>
              <w:t xml:space="preserve">A taxa de desconto altera o resultado do VfM quando os perfis temporais dos fluxos diferem (o PSC concentra CAPEX no início). O P6 não justifica o uso da taxa privada para o fluxo público nem apresenta sensibilidade.</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Sensibilidade do VfM à taxa de desconto (planilha do modelo).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e § 1.º,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C-149</w:t>
            </w:r>
          </w:p>
          <w:p>
            <w:pPr>
              <w:spacing w:after="40" w:line="240"/>
              <w:jc w:val="left"/>
            </w:pPr>
            <w:r>
              <w:rPr>
                <w:rFonts w:ascii="Times New Roman" w:cs="Times New Roman" w:eastAsia="Times New Roman" w:hAnsi="Times New Roman"/>
                <w:sz w:val="18"/>
                <w:szCs w:val="18"/>
              </w:rPr>
              <w:t xml:space="preserve">E5-005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Tabela 11 e texto (PDF p. 65); P6 Tabela 5 (p. 34); P2 p. 37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Série de massa coletada lacunosa e com duas linhas divergentes (TOTAL × "RSU"); medida × projetada</w:t>
            </w:r>
          </w:p>
          <w:p>
            <w:pPr>
              <w:spacing w:after="40" w:line="240"/>
              <w:jc w:val="left"/>
            </w:pPr>
            <w:r>
              <w:rPr>
                <w:rFonts w:ascii="Times New Roman" w:cs="Times New Roman" w:eastAsia="Times New Roman" w:hAnsi="Times New Roman"/>
                <w:sz w:val="18"/>
                <w:szCs w:val="18"/>
              </w:rPr>
              <w:t xml:space="preserve">Faltam mai–jul/2024 e jan–set/2025; a linha "RSU" traz zero em mar/2024 e valores superiores à linha TOTAL (dez/2025: 15.630 t × 12.445 t), sem explicação; o texto cita 10.413 t quando a tabela mostra 10.423 t. A média da linha "RSU" em out–dez/2025 (~442 t/dia) supera a geração projetada pelo P6 para 2027 (~413 t/dia), e a linha TOTAL (~364 t/dia) fica abaixo, o que torna incerta a base de demanda.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Série completa de pesagens e esclarecimento do que compõe a linha "RSU" (ex.: grandes geradores no Ecoparque).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18, § 1.º, inciso IV, da Lei n.º 14.133/2021 (aplicação subsidiária)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C-150</w:t>
            </w:r>
          </w:p>
          <w:p>
            <w:pPr>
              <w:spacing w:after="40" w:line="240"/>
              <w:jc w:val="left"/>
            </w:pPr>
            <w:r>
              <w:rPr>
                <w:rFonts w:ascii="Times New Roman" w:cs="Times New Roman" w:eastAsia="Times New Roman" w:hAnsi="Times New Roman"/>
                <w:sz w:val="18"/>
                <w:szCs w:val="18"/>
              </w:rPr>
              <w:t xml:space="preserve">E5-038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VII.1 (PDF p. 30) e PA-02 (Tabela 9, p. 26); P2 p. 37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Sem estudo gravimétrico primário; composição do PMSB 2022 e caracterização transferida à concessionária</w:t>
            </w:r>
          </w:p>
          <w:p>
            <w:pPr>
              <w:spacing w:after="40" w:line="240"/>
              <w:jc w:val="left"/>
            </w:pPr>
            <w:r>
              <w:rPr>
                <w:rFonts w:ascii="Times New Roman" w:cs="Times New Roman" w:eastAsia="Times New Roman" w:hAnsi="Times New Roman"/>
                <w:sz w:val="18"/>
                <w:szCs w:val="18"/>
              </w:rPr>
              <w:t xml:space="preserve">Toda a modelagem usa a composição 51/32/17% do PMSB 2022, e o P2 admite que o balanço de massa é um exemplo a atualizar; o P1 não realizou gravimetria. A caracterização passa a ser obrigação da concessionária após a assinatura, e a proposta será formulada sobre dado secundário.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Existência de estudo gravimétrico recente do Município fora do pacote.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 "a", da Lei n.º 11.079/2004; art. 19, inciso I,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C-151</w:t>
            </w:r>
          </w:p>
          <w:p>
            <w:pPr>
              <w:spacing w:after="40" w:line="240"/>
              <w:jc w:val="left"/>
            </w:pPr>
            <w:r>
              <w:rPr>
                <w:rFonts w:ascii="Times New Roman" w:cs="Times New Roman" w:eastAsia="Times New Roman" w:hAnsi="Times New Roman"/>
                <w:sz w:val="18"/>
                <w:szCs w:val="18"/>
              </w:rPr>
              <w:t xml:space="preserve">E6-011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P3 III.1 (PDF p. 11–12); P0 p. 10–11; Contrato cl. 6.5 e 10.13.5 (p. 16 e 32)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Projeção de demanda em cenário único, encerrada em 2056, sem horizonte de prorrogação nem pós-reversão</w:t>
            </w:r>
          </w:p>
          <w:p>
            <w:pPr>
              <w:spacing w:after="40" w:line="240"/>
              <w:jc w:val="left"/>
            </w:pPr>
            <w:r>
              <w:rPr>
                <w:rFonts w:ascii="Times New Roman" w:cs="Times New Roman" w:eastAsia="Times New Roman" w:hAnsi="Times New Roman"/>
                <w:sz w:val="18"/>
                <w:szCs w:val="18"/>
              </w:rPr>
              <w:t xml:space="preserve">As projeções de população e massa terminam em 2056, em cenário único (sem alto/baixo). O Contrato admite prorrogação até 35 anos e remete a vida útil remanescente do aterro à "projeção de geração e de aporte de rejeitos constante dos Anexos", que não existe para o período posterior a 2056.</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Existência de cenários alternativos na planilha do modelo; necessidade técnica do horizonte pós-reversão.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 e art. 10, inciso I, alínea "a",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bl>
    <w:p>
      <w:pPr>
        <w:pStyle w:val="Heading2"/>
        <w:keepNext/>
        <w:spacing w:after="120" w:before="240" w:line="360"/>
      </w:pPr>
      <w:r>
        <w:rPr>
          <w:rFonts w:ascii="Times New Roman" w:cs="Times New Roman" w:eastAsia="Times New Roman" w:hAnsi="Times New Roman"/>
          <w:b/>
          <w:bCs/>
          <w:sz w:val="26"/>
          <w:szCs w:val="26"/>
        </w:rPr>
        <w:t xml:space="preserve">Remuneração, desempenho e reajuste (1)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C-188</w:t>
            </w:r>
          </w:p>
          <w:p>
            <w:pPr>
              <w:spacing w:after="40" w:line="240"/>
              <w:jc w:val="left"/>
            </w:pPr>
            <w:r>
              <w:rPr>
                <w:rFonts w:ascii="Times New Roman" w:cs="Times New Roman" w:eastAsia="Times New Roman" w:hAnsi="Times New Roman"/>
                <w:sz w:val="18"/>
                <w:szCs w:val="18"/>
              </w:rPr>
              <w:t xml:space="preserve">E2-093, E5-077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15 (PDF p. 26–27); P4 Tabela 8 (p. 24); Anexo D Tabela 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Indicadores do Anexo III fora do controle da concessionária (diarreia, renda de cooperados) com efeito indefinido</w:t>
            </w:r>
          </w:p>
          <w:p>
            <w:pPr>
              <w:spacing w:after="40" w:line="240"/>
              <w:jc w:val="left"/>
            </w:pPr>
            <w:r>
              <w:rPr>
                <w:rFonts w:ascii="Times New Roman" w:cs="Times New Roman" w:eastAsia="Times New Roman" w:hAnsi="Times New Roman"/>
                <w:sz w:val="18"/>
                <w:szCs w:val="18"/>
              </w:rPr>
              <w:t xml:space="preserve">A Tabela 15 fixa metas de internação por diarreia, renda dos cooperados e número de cooperados integrados (14 → 40 → 120), que dependem de fatores alheios à concessão. Não diz se são metas exigíveis, com que consequência, nem como se relacionam com o IQS do Anexo D; a unidade "37,5 internações por 1.000 hab." merece conferência.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Se as metas da Tabela 15 do Anexo III produzem consequência contratual (IQD, penalidade); se sim, o ponto passa a IRREGULAR por ausência de critério objetivo de atribuição.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Riscos e garantias (14)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C-256</w:t>
            </w:r>
          </w:p>
          <w:p>
            <w:pPr>
              <w:spacing w:after="40" w:line="240"/>
              <w:jc w:val="left"/>
            </w:pPr>
            <w:r>
              <w:rPr>
                <w:rFonts w:ascii="Times New Roman" w:cs="Times New Roman" w:eastAsia="Times New Roman" w:hAnsi="Times New Roman"/>
                <w:sz w:val="18"/>
                <w:szCs w:val="18"/>
              </w:rPr>
              <w:t xml:space="preserve">E7-019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23.2, III (PDF p. 53); Anexo VI considerandos (PDF p. 3) e cl. 5.4 (p. 6); P7 V.2 e V.3 (PDF p. 40)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Lei autorizativa específica da vinculação do FPM não identificada</w:t>
            </w:r>
          </w:p>
          <w:p>
            <w:pPr>
              <w:spacing w:after="40" w:line="240"/>
              <w:jc w:val="left"/>
            </w:pPr>
            <w:r>
              <w:rPr>
                <w:rFonts w:ascii="Times New Roman" w:cs="Times New Roman" w:eastAsia="Times New Roman" w:hAnsi="Times New Roman"/>
                <w:sz w:val="18"/>
                <w:szCs w:val="18"/>
              </w:rPr>
              <w:t xml:space="preserve">O Contrato atribui ao Poder Concedente o dever de 'promover a autorização' do uso do FPM por meio do próprio Anexo VI, isto é, por instrumento contratual futuro. O Anexo VI cita o art. 54, I, da LC municipal 592/2015, e o P7 menciona genericamente os arts. 53 a 58 da mesma lei, sem transcrevê-los nem afirmar que autorizam a vinculação ou a cessão fiduciária do FPM. Nenhum documento identifica lei específica que autorize a vinculação desta receita a este contrato.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Texto dos arts. 53 a 58 da LC Municipal n.º 592/2015 e eventual lei específica de vinculação do FPM a esta PPP.</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inciso I, da Lei n.º 11.079/2004; art. 167, inciso IV, da CF/1988; arts. 53 a 58 da LC Municipal n.º 592/2015 (texto não disponível)</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C-257</w:t>
            </w:r>
          </w:p>
          <w:p>
            <w:pPr>
              <w:spacing w:after="40" w:line="240"/>
              <w:jc w:val="left"/>
            </w:pPr>
            <w:r>
              <w:rPr>
                <w:rFonts w:ascii="Times New Roman" w:cs="Times New Roman" w:eastAsia="Times New Roman" w:hAnsi="Times New Roman"/>
                <w:sz w:val="18"/>
                <w:szCs w:val="18"/>
              </w:rPr>
              <w:t xml:space="preserve">E3-108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23.4.3 (PDF p. 53) e 23.5, III (p. 54); Anexo VI cl. 1.1.4 (PDF p. 4); P6 VI.10 (p. 60)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Saldo de 2 contraprestações (~R$ 13 mi) declarado apto a cobrir também indenizações e reequilíbrios</w:t>
            </w:r>
          </w:p>
          <w:p>
            <w:pPr>
              <w:spacing w:after="40" w:line="240"/>
              <w:jc w:val="left"/>
            </w:pPr>
            <w:r>
              <w:rPr>
                <w:rFonts w:ascii="Times New Roman" w:cs="Times New Roman" w:eastAsia="Times New Roman" w:hAnsi="Times New Roman"/>
                <w:sz w:val="18"/>
                <w:szCs w:val="18"/>
              </w:rPr>
              <w:t xml:space="preserve">A Conta Garantia cobre contraprestações, encargos moratórios e indenizações, inclusive por investimentos não amortizados (Anexo VI 1.1.4) e por reequilíbrio (23.5, III), mas o saldo mínimo é de duas CMEs (~R$ 13 mi) frente a CAPEX de R$ 298,3 mi a R$ 313,8 mi. Não há garantia específica para indenização por extinção antecipada nem regra de prioridade entre as obrigações cobertas. Não localizei fundamento normativo que fixe dimensão mínima da garantia.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Estimativa do montante potencial de indenizações (extinção antecipada, reequilíbrios) frente ao saldo de ~R$ 13 mi, e regra de prioridade entre as obrigações cobertas.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e art. 5.º, § 2.º,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C-258</w:t>
            </w:r>
          </w:p>
          <w:p>
            <w:pPr>
              <w:spacing w:after="40" w:line="240"/>
              <w:jc w:val="left"/>
            </w:pPr>
            <w:r>
              <w:rPr>
                <w:rFonts w:ascii="Times New Roman" w:cs="Times New Roman" w:eastAsia="Times New Roman" w:hAnsi="Times New Roman"/>
                <w:sz w:val="18"/>
                <w:szCs w:val="18"/>
              </w:rPr>
              <w:t xml:space="preserve">E7-022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V.4 (PDF p. 40-41); Contrato cl. 23.4 a 23.4.6 (PDF p. 53); Anexo VI cl. 6.3 e 7.1 (p. 7)</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Pagamento automático a partir de conta municipal sem análise do rito de empenho, liquidação e pagamento</w:t>
            </w:r>
          </w:p>
          <w:p>
            <w:pPr>
              <w:spacing w:after="40" w:line="240"/>
              <w:jc w:val="left"/>
            </w:pPr>
            <w:r>
              <w:rPr>
                <w:rFonts w:ascii="Times New Roman" w:cs="Times New Roman" w:eastAsia="Times New Roman" w:hAnsi="Times New Roman"/>
                <w:sz w:val="18"/>
                <w:szCs w:val="18"/>
              </w:rPr>
              <w:t xml:space="preserve">Sendo a Conta Garantia de titularidade municipal, as transferências automáticas pelo agente configuram execução de despesa pública. O P7 não examina a compatibilidade desse fluxo com o prévio empenho e a liquidação, nem com o regime de execução contra a Fazenda Pública. A exequibilidade da garantia depende do desenho orçamentário do depósito inicial e das recomposições.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Desenho orçamentário do depósito inicial e das recomposições (se empenhados como despesa e quando) — não informado.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60, 62 e 63 da Lei n.º 4.320/1964; art. 100 da CF/1988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C-259</w:t>
            </w:r>
          </w:p>
          <w:p>
            <w:pPr>
              <w:spacing w:after="40" w:line="240"/>
              <w:jc w:val="left"/>
            </w:pPr>
            <w:r>
              <w:rPr>
                <w:rFonts w:ascii="Times New Roman" w:cs="Times New Roman" w:eastAsia="Times New Roman" w:hAnsi="Times New Roman"/>
                <w:sz w:val="18"/>
                <w:szCs w:val="18"/>
              </w:rPr>
              <w:t xml:space="preserve">E7-023, E3-107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V.1 a V.4 (PDF p. 39-41); P0 Caderno 6, Etapa 4.2 (PDF p. 16) e Data Request jurídico (p. 25); Contrato cl. 23.1 a 23.5 (PDF p. 52-54); Edital 5.3 (p. 15)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Alternativas de garantia (fundo garantidor, seguro, taxa de RSU) não avaliadas; garantia sem fonte setorial</w:t>
            </w:r>
          </w:p>
          <w:p>
            <w:pPr>
              <w:spacing w:after="40" w:line="240"/>
              <w:jc w:val="left"/>
            </w:pPr>
            <w:r>
              <w:rPr>
                <w:rFonts w:ascii="Times New Roman" w:cs="Times New Roman" w:eastAsia="Times New Roman" w:hAnsi="Times New Roman"/>
                <w:sz w:val="18"/>
                <w:szCs w:val="18"/>
              </w:rPr>
              <w:t xml:space="preserve">O P0 previa avaliar fundo garantidor, contragarantias e vinculação de receitas e pediu os atos de criação de fundos de PPP ou de saneamento. O P7 não informa se existe fundo garantidor municipal (ou previsto na LC 592/2015), por que foi preterido em favor do FPM, nem analisa seguro-garantia ou garantia bancária. Também não examina a taxa de RSU (LC 878/2021, citada no P7) como fonte vinculável, alternativa sem a restrição do art. 167, IV, da CF (sobre a sustentabilidade por cobrança, ver E5-017 e E7-024, grupo MODELAGEM/REMUNERACAO).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Existência de fundo garantidor municipal ou de fundo previsto na LC 592/2015; situação de instituição, arrecadação e vinculabilidade da taxa de RSU (LC 878/2021).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8.º, incisos I a V, da Lei n.º 11.079/2004; art. 29, inciso II, e art. 35, § 2.º,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C-262</w:t>
            </w:r>
          </w:p>
          <w:p>
            <w:pPr>
              <w:spacing w:after="40" w:line="240"/>
              <w:jc w:val="left"/>
            </w:pPr>
            <w:r>
              <w:rPr>
                <w:rFonts w:ascii="Times New Roman" w:cs="Times New Roman" w:eastAsia="Times New Roman" w:hAnsi="Times New Roman"/>
                <w:sz w:val="18"/>
                <w:szCs w:val="18"/>
              </w:rPr>
              <w:t xml:space="preserve">E5-012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p. 64 e 88 (Contrato 028/PGM/2025); P4 Tab. 7 (p. 21) e Tab. 13 (p. 34); Contrato cl. 7.4 (PDF p. 17); P7 p. 11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Transição presume vigência do contrato emergencial da ECOPVH, sem data, prazo e valor informados</w:t>
            </w:r>
          </w:p>
          <w:p>
            <w:pPr>
              <w:spacing w:after="40" w:line="240"/>
              <w:jc w:val="left"/>
            </w:pPr>
            <w:r>
              <w:rPr>
                <w:rFonts w:ascii="Times New Roman" w:cs="Times New Roman" w:eastAsia="Times New Roman" w:hAnsi="Times New Roman"/>
                <w:sz w:val="18"/>
                <w:szCs w:val="18"/>
              </w:rPr>
              <w:t xml:space="preserve">O diagnóstico não informa data, prazo ou valor do Contrato 028/PGM/2025 (emergencial). O P4 e o Contrato (7.4) preveem sobreposição de 30 dias com o 'operador cessante (ECOPVH)', o que pressupõe vínculo vigente na Ordem de Início (2027), embora contratações emergenciais tenham prazo máximo legal e vedação de prorrogação. Sobre a extrapolação do prazo fixado pelo TCE-RO, ver E5-013/E7-072 (QUESTOES_FORMAIS).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Data de assinatura e prazo do Contrato 028/PGM/2025 e eventuais novas contratações até a Ordem de Início.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75, inciso VIII, da Lei n.º 14.133/2021; 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C-263</w:t>
            </w:r>
          </w:p>
          <w:p>
            <w:pPr>
              <w:spacing w:after="40" w:line="240"/>
              <w:jc w:val="left"/>
            </w:pPr>
            <w:r>
              <w:rPr>
                <w:rFonts w:ascii="Times New Roman" w:cs="Times New Roman" w:eastAsia="Times New Roman" w:hAnsi="Times New Roman"/>
                <w:sz w:val="18"/>
                <w:szCs w:val="18"/>
              </w:rPr>
              <w:t xml:space="preserve">E3-036, E4-077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8.6.1.1, 8.6.1.2.3 e 8.6.3 (PDF p. 18-19); Matriz SA-01, SA-02, SA-05 e SA-13 (frase final)</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Corte temporal pela Ordem de Início aplicado a contaminação de efeito continuado</w:t>
            </w:r>
          </w:p>
          <w:p>
            <w:pPr>
              <w:spacing w:after="40" w:line="240"/>
              <w:jc w:val="left"/>
            </w:pPr>
            <w:r>
              <w:rPr>
                <w:rFonts w:ascii="Times New Roman" w:cs="Times New Roman" w:eastAsia="Times New Roman" w:hAnsi="Times New Roman"/>
                <w:sz w:val="18"/>
                <w:szCs w:val="18"/>
              </w:rPr>
              <w:t xml:space="preserve">Pluma de contaminação, chorume, biogás e incêndios em massa de resíduos antiga continuam a ocorrer após a Ordem de Início. O critério do fato gerador (8.6.1.1, 8.6.1.2.3, 8.6.3) e a regra da Matriz de que eventos posteriores à Ordem de Início são risco da concessionária não distinguem a manifestação tardia de passivo antigo de dano novo causado pela operação, em áreas que a concessionária passa a operar e monitorar.</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Linha de base ambiental (investigação confirmatória) nas áreas na data da Ordem de Início.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Resolução CONAMA n.º 420/2009</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C-265</w:t>
            </w:r>
          </w:p>
          <w:p>
            <w:pPr>
              <w:spacing w:after="40" w:line="240"/>
              <w:jc w:val="left"/>
            </w:pPr>
            <w:r>
              <w:rPr>
                <w:rFonts w:ascii="Times New Roman" w:cs="Times New Roman" w:eastAsia="Times New Roman" w:hAnsi="Times New Roman"/>
                <w:sz w:val="18"/>
                <w:szCs w:val="18"/>
              </w:rPr>
              <w:t xml:space="preserve">E2-059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IE3 e IE4 (PDF p. 14 e 19); Contrato cl. 5.1.2 (p. 14), 8.6.2 (p. 19) e 26.30 (p. 62); Caderno XI.4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Indicadores IE3 (Jirau) e IE4 (incinerador) dependem de atos do PC, sem excludente no Anexo D</w:t>
            </w:r>
          </w:p>
          <w:p>
            <w:pPr>
              <w:spacing w:after="40" w:line="240"/>
              <w:jc w:val="left"/>
            </w:pPr>
            <w:r>
              <w:rPr>
                <w:rFonts w:ascii="Times New Roman" w:cs="Times New Roman" w:eastAsia="Times New Roman" w:hAnsi="Times New Roman"/>
                <w:sz w:val="18"/>
                <w:szCs w:val="18"/>
              </w:rPr>
              <w:t xml:space="preserve">A meta de 100% no Ano 2 para Jirau e incinerador depende da disponibilização do Jirau pelo Poder Concedente (8.6.2) e da entrega do incinerador por termo (Caderno XI.4). O Anexo D não prevê neutralização do indicador em caso de atraso do Poder Concedente; as excludentes genéricas do Contrato (5.1.2, 26.30) não se referem expressamente ao IQS.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Se as excludentes das cl. 5.1.2 e 26.30 se aplicam ao cálculo do IQS (a esclarecer).</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incisos III e VII,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C-266</w:t>
            </w:r>
          </w:p>
          <w:p>
            <w:pPr>
              <w:spacing w:after="40" w:line="240"/>
              <w:jc w:val="left"/>
            </w:pPr>
            <w:r>
              <w:rPr>
                <w:rFonts w:ascii="Times New Roman" w:cs="Times New Roman" w:eastAsia="Times New Roman" w:hAnsi="Times New Roman"/>
                <w:sz w:val="18"/>
                <w:szCs w:val="18"/>
              </w:rPr>
              <w:t xml:space="preserve">E2-095, E5-061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item XIV.1 (PDF p. 33) e Tabela 7 (p. 13-14); P1 p. 87; P4 VI.2 (p. 27) e Tab. 13 (p. 33); P0 p. 24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Ações civis públicas e atuação do MP-RO (Lixeira, catadores, Jirau) citadas sem identificação</w:t>
            </w:r>
          </w:p>
          <w:p>
            <w:pPr>
              <w:spacing w:after="40" w:line="240"/>
              <w:jc w:val="left"/>
            </w:pPr>
            <w:r>
              <w:rPr>
                <w:rFonts w:ascii="Times New Roman" w:cs="Times New Roman" w:eastAsia="Times New Roman" w:hAnsi="Times New Roman"/>
                <w:sz w:val="18"/>
                <w:szCs w:val="18"/>
              </w:rPr>
              <w:t xml:space="preserve">O Anexo III e o P4 referem ACPs 'em tramitação' relativas à Lixeira e aos catadores, e o P1 cita documentos do MP-RO sobre o Jirau, sem número de processo, juízo, pedidos, decisões ou obrigações já impostas ao Município. O P0 havia solicitado cópia integral da ACP. Sem esses dados, o licitante não consegue avaliar obrigações judiciais que recairão sobre a concessão.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Números, objeto, pedidos e situação processual das ACPs e eventual TAC.</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21 da Lei n.º 8.987/1995 c/c art. 3.º da Lei n.º 11.079/2004; 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C-267</w:t>
            </w:r>
          </w:p>
          <w:p>
            <w:pPr>
              <w:spacing w:after="40" w:line="240"/>
              <w:jc w:val="left"/>
            </w:pPr>
            <w:r>
              <w:rPr>
                <w:rFonts w:ascii="Times New Roman" w:cs="Times New Roman" w:eastAsia="Times New Roman" w:hAnsi="Times New Roman"/>
                <w:sz w:val="18"/>
                <w:szCs w:val="18"/>
              </w:rPr>
              <w:t xml:space="preserve">E7-073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P0 III.2 Data Request jurídico (PDF p. 25) e Caderno 5 (p. 11-14); P7 IV.6 (p. 39); Matriz SA-12 e TO-15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Ação civil pública e decisão judicial sobre a operação anterior não analisadas no Caderno Jurídico</w:t>
            </w:r>
          </w:p>
          <w:p>
            <w:pPr>
              <w:spacing w:after="40" w:line="240"/>
              <w:jc w:val="left"/>
            </w:pPr>
            <w:r>
              <w:rPr>
                <w:rFonts w:ascii="Times New Roman" w:cs="Times New Roman" w:eastAsia="Times New Roman" w:hAnsi="Times New Roman"/>
                <w:sz w:val="18"/>
                <w:szCs w:val="18"/>
              </w:rPr>
              <w:t xml:space="preserve">O P0 registra ação civil pública sobre o contrato anterior e 'decisão judicial que reconhece a operação precária'. O P7 não examina esses processos nem seus efeitos (bens em uso, pedidos de indenização do operador anterior, eventual obstáculo à transição ou aos ativos), limitando-se ao risco genérico de judicialização (SA-12). Sobre o Caderno 5 (indenização ao operador anterior) ausente do pacote, ver E7-074/E6-009 (MODELAGEM_ECONOMICA).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Cópia da ACP e da decisão judicial sobre a operação precária; eventual pedido de indenização do operador anterior.</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C-269</w:t>
            </w:r>
          </w:p>
          <w:p>
            <w:pPr>
              <w:spacing w:after="40" w:line="240"/>
              <w:jc w:val="left"/>
            </w:pPr>
            <w:r>
              <w:rPr>
                <w:rFonts w:ascii="Times New Roman" w:cs="Times New Roman" w:eastAsia="Times New Roman" w:hAnsi="Times New Roman"/>
                <w:sz w:val="18"/>
                <w:szCs w:val="18"/>
              </w:rPr>
              <w:t xml:space="preserve">E2-089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item X, § 3.º, e Tabela 14, Níveis 3 e 4 (PDF p. 25-26); P6 p. 39, itens 3.1.4-3.1.7; Caderno X.6.6 (p. 46)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Risco hidrológico tratado como estrutural; meios de contingência do PCOS sem previsão de custo</w:t>
            </w:r>
          </w:p>
          <w:p>
            <w:pPr>
              <w:spacing w:after="40" w:line="240"/>
              <w:jc w:val="left"/>
            </w:pPr>
            <w:r>
              <w:rPr>
                <w:rFonts w:ascii="Times New Roman" w:cs="Times New Roman" w:eastAsia="Times New Roman" w:hAnsi="Times New Roman"/>
                <w:sz w:val="18"/>
                <w:szCs w:val="18"/>
              </w:rPr>
              <w:t xml:space="preserve">O Anexo III afasta a natureza excepcional da estiagem e exige soluções especiais (tirolesa logística, canoas de alumínio com motor de 15 HP, embarcações reserva, estoques de bombonas). O CAPEX do P6 prevê balsa, catamarã de 20 HP, barcos de 40 HP e quadriciclo, sem tirolesa nem embarcação reserva. O custo da contingência fica com a concessionária até o gatilho restrito da Matriz (TO-04). Sobre a falta de CAPEX/OPEX das soluções de estiagem, ver E6-043 (MODELAGEM_ECONOMICA).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Custo operacional do PCOS por nível e sua inclusão no OPEX/CAPEX referencial.</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C-270</w:t>
            </w:r>
          </w:p>
          <w:p>
            <w:pPr>
              <w:spacing w:after="40" w:line="240"/>
              <w:jc w:val="left"/>
            </w:pPr>
            <w:r>
              <w:rPr>
                <w:rFonts w:ascii="Times New Roman" w:cs="Times New Roman" w:eastAsia="Times New Roman" w:hAnsi="Times New Roman"/>
                <w:sz w:val="18"/>
                <w:szCs w:val="18"/>
              </w:rPr>
              <w:t xml:space="preserve">E5-093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p. 16-17, 48, 52 e 82-83; P4 Fig. 4 (p. 18); Matriz (sem linha específica)</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Erosão fluvial ('terras caídas') sobre pontos de apoio, ETRs e acessos sem quantificação nem alocação</w:t>
            </w:r>
          </w:p>
          <w:p>
            <w:pPr>
              <w:spacing w:after="40" w:line="240"/>
              <w:jc w:val="left"/>
            </w:pPr>
            <w:r>
              <w:rPr>
                <w:rFonts w:ascii="Times New Roman" w:cs="Times New Roman" w:eastAsia="Times New Roman" w:hAnsi="Times New Roman"/>
                <w:sz w:val="18"/>
                <w:szCs w:val="18"/>
              </w:rPr>
              <w:t xml:space="preserve">O diagnóstico documenta erosão fluvial em Calama, São Carlos e Nazaré, com recuo de margem superior a 100 m, que afeta pontos de embarque e futuras estruturas fluviais. Os estudos não quantificam o risco nem indicam se é evento previsível da concessionária ou caso fortuito; a Matriz não tem linha específica, e a cl. 20.1.2, v, do Contrato abrange interferências 'mesmo que previstas'.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Avaliação geotécnica dos pontos de atracação e ETRs do Baixo Madeira e definição da alocação do risco.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C-271</w:t>
            </w:r>
          </w:p>
          <w:p>
            <w:pPr>
              <w:spacing w:after="40" w:line="240"/>
              <w:jc w:val="left"/>
            </w:pPr>
            <w:r>
              <w:rPr>
                <w:rFonts w:ascii="Times New Roman" w:cs="Times New Roman" w:eastAsia="Times New Roman" w:hAnsi="Times New Roman"/>
                <w:sz w:val="18"/>
                <w:szCs w:val="18"/>
              </w:rPr>
              <w:t xml:space="preserve">E2-085, E6-051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16 (PDF p. 27); Anexo D IQ1 (p. 14 e 17), TO-10 e TO-11 (p. 9); P2 III.1 (p. 10) e V.6 (p. 40); P3 VII.1 (p. 51); P6 p. 48; Contrato cl. 10.8 e 18.5.2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Metas de recuperação e de triagem imputadas à concessionária, mas operação e receita são das cooperativas</w:t>
            </w:r>
          </w:p>
          <w:p>
            <w:pPr>
              <w:spacing w:after="40" w:line="240"/>
              <w:jc w:val="left"/>
            </w:pPr>
            <w:r>
              <w:rPr>
                <w:rFonts w:ascii="Times New Roman" w:cs="Times New Roman" w:eastAsia="Times New Roman" w:hAnsi="Times New Roman"/>
                <w:sz w:val="18"/>
                <w:szCs w:val="18"/>
              </w:rPr>
              <w:t xml:space="preserve">A triagem na UVR e a venda dos recicláveis ficam com cooperativas autônomas, que retêm 100% da receita (Contrato 18.5.2), e o Anexo III aponta barreira logística de ~3.500 km até os compradores. O IQ1, a CS-01 e os indicadores de desvio e de paralisação da triagem recaem sobre a concessionária, que não controla a operação nem a remuneração das cooperativas. Não há modelagem do vínculo com as cooperativas nem do custo de apoio.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Modelo de vínculo contratual com as cooperativas (contrato, metas, apoio) e capacidade operacional das cooperativas existentes.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III, da Lei n.º 11.079/2004; art. 36, § 1.º, da Lei n.º 12.305/2010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C-272</w:t>
            </w:r>
          </w:p>
          <w:p>
            <w:pPr>
              <w:spacing w:after="40" w:line="240"/>
              <w:jc w:val="left"/>
            </w:pPr>
            <w:r>
              <w:rPr>
                <w:rFonts w:ascii="Times New Roman" w:cs="Times New Roman" w:eastAsia="Times New Roman" w:hAnsi="Times New Roman"/>
                <w:sz w:val="18"/>
                <w:szCs w:val="18"/>
              </w:rPr>
              <w:t xml:space="preserve">E7-056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II.14 (PDF p. 22-23); Contrato cl. 20.10 (PDF p. 48-49); Matriz EF-05 (p. 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Regime contratual da reforma tributária não confrontado com as regras de reequilíbrio da LC 214/2025</w:t>
            </w:r>
          </w:p>
          <w:p>
            <w:pPr>
              <w:spacing w:after="40" w:line="240"/>
              <w:jc w:val="left"/>
            </w:pPr>
            <w:r>
              <w:rPr>
                <w:rFonts w:ascii="Times New Roman" w:cs="Times New Roman" w:eastAsia="Times New Roman" w:hAnsi="Times New Roman"/>
                <w:sz w:val="18"/>
                <w:szCs w:val="18"/>
              </w:rPr>
              <w:t xml:space="preserve">O P7 remete os impactos do IBS/CBS à execução e ao reequilíbrio mediante prova de impacto, sem examinar se a LC 214/2025 traz regras próprias de reequilíbrio de contratos administrativos que se sobreponham à cl. 20.10 ou conflitem com a exigência de extrapolar a álea ordinária. Em contrato de 30 anos com transição iniciada em 2026, o ponto afeta a precificação; a EF-05 é classificada como risco de nível elevado. Sobre a modelagem de PIS/COFINS/ISS sem a transição, ver E4-036 (MODELAGEM_ECONOMICA).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Teor da LC n.º 214/2025 sobre reequilíbrio de contratos administrativos e sua compatibilidade com a cl. 20.10 (verificar na Fase 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EC n.º 132/2023; LC n.º 214/2025 (disposições sobre reequilíbrio de contratos administrativos — dispositivos a verificar); art. 124, inciso II, alínea 'd',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C-273</w:t>
            </w:r>
          </w:p>
          <w:p>
            <w:pPr>
              <w:spacing w:after="40" w:line="240"/>
              <w:jc w:val="left"/>
            </w:pPr>
            <w:r>
              <w:rPr>
                <w:rFonts w:ascii="Times New Roman" w:cs="Times New Roman" w:eastAsia="Times New Roman" w:hAnsi="Times New Roman"/>
                <w:sz w:val="18"/>
                <w:szCs w:val="18"/>
              </w:rPr>
              <w:t xml:space="preserve">E3-126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28.7.1 a 28.7.6 (PDF p. 64); P6 p. 47 (ativo financeiro, ICPC 01)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Metodologia de indenização exclui juros de construção, margem e despesas pré-SPE</w:t>
            </w:r>
          </w:p>
          <w:p>
            <w:pPr>
              <w:spacing w:after="40" w:line="240"/>
              <w:jc w:val="left"/>
            </w:pPr>
            <w:r>
              <w:rPr>
                <w:rFonts w:ascii="Times New Roman" w:cs="Times New Roman" w:eastAsia="Times New Roman" w:hAnsi="Times New Roman"/>
                <w:sz w:val="18"/>
                <w:szCs w:val="18"/>
              </w:rPr>
              <w:t xml:space="preserve">A base de indenização exclui juros capitalizados, margem de construção, ágios e despesas anteriores à SPE e adota amortização linear pelo menor prazo entre o termo e a vida útil. Isso pode reduzir a indenização abaixo do saldo contábil do ativo financeiro (ICPC 01) que o P6 projeta, com efeito sobre a bancabilidade.</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Comparação entre a indenização calculada pela metodologia da cl. 28.7 e o saldo do ativo financeiro projetado no P6.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36 da Lei n.º 8.987/1995; art. 10-A, inciso III,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Regulação e fiscalização (7)</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C-301</w:t>
            </w:r>
          </w:p>
          <w:p>
            <w:pPr>
              <w:spacing w:after="40" w:line="240"/>
              <w:jc w:val="left"/>
            </w:pPr>
            <w:r>
              <w:rPr>
                <w:rFonts w:ascii="Times New Roman" w:cs="Times New Roman" w:eastAsia="Times New Roman" w:hAnsi="Times New Roman"/>
                <w:sz w:val="18"/>
                <w:szCs w:val="18"/>
              </w:rPr>
              <w:t xml:space="preserve">E7-036</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II.5 (PDF p. 17-18); P1 V.4 (p. 58-59)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Independência da ARDPV afirmada sem exame da LC 1.013/2025 (mandatos, autonomia financeira, funções de 'desenvolvimento')</w:t>
            </w:r>
          </w:p>
          <w:p>
            <w:pPr>
              <w:spacing w:after="40" w:line="240"/>
              <w:jc w:val="left"/>
            </w:pPr>
            <w:r>
              <w:rPr>
                <w:rFonts w:ascii="Times New Roman" w:cs="Times New Roman" w:eastAsia="Times New Roman" w:hAnsi="Times New Roman"/>
                <w:sz w:val="18"/>
                <w:szCs w:val="18"/>
              </w:rPr>
              <w:t xml:space="preserve">O P7 não transcreve nem analisa a LC 1.013/2025 quanto à natureza autárquica, mandato fixo e estabilidade dos dirigentes, autonomia orçamentária e financeira e transparência. A denominação 'Agência Reguladora dos Serviços Públicos Delegados e de Desenvolvimento' sugere acumulação de funções de fomento com funções regulatórias, o que exige exame à luz da independência decisória.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Texto integral da LC Municipal n.º 1.013/2025 e ato de instalação da ARDPV (diretoria, quadro, orçamento).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21 da Lei n.º 11.445/2007; NR n.º 7/2024 da ANA (Resolução ANA n.º 187/2024)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C-302</w:t>
            </w:r>
          </w:p>
          <w:p>
            <w:pPr>
              <w:spacing w:after="40" w:line="240"/>
              <w:jc w:val="left"/>
            </w:pPr>
            <w:r>
              <w:rPr>
                <w:rFonts w:ascii="Times New Roman" w:cs="Times New Roman" w:eastAsia="Times New Roman" w:hAnsi="Times New Roman"/>
                <w:sz w:val="18"/>
                <w:szCs w:val="18"/>
              </w:rPr>
              <w:t xml:space="preserve">E3-020, E7-037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4.5 e 4.6 (PDF p. 13); P7 II.5 (PDF p. 18), III.1.4 (p. 26) e V.6 (p. 41)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Adesão facultativa às normas de referência da ANA; normas de regulação locais para RSU não identificadas</w:t>
            </w:r>
          </w:p>
          <w:p>
            <w:pPr>
              <w:spacing w:after="40" w:line="240"/>
              <w:jc w:val="left"/>
            </w:pPr>
            <w:r>
              <w:rPr>
                <w:rFonts w:ascii="Times New Roman" w:cs="Times New Roman" w:eastAsia="Times New Roman" w:hAnsi="Times New Roman"/>
                <w:sz w:val="18"/>
                <w:szCs w:val="18"/>
              </w:rPr>
              <w:t xml:space="preserve">A redação facultativa não assegura aderência às normas de referência da ANA (inclusive a NR 7/2024 para RSU), cuja observância condiciona o acesso a recursos federais e a financiamentos com recursos da União; o P7 aponta BNDES e Caixa como financiadores. O P7 não identifica normas de regulação editadas pela ARDPV para RSU nem confronta Edital e Contrato com as normas de referência. A existência de normas de regulação é condição de validade do contrato.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Adesão formal da ARDPV às normas de referência da ANA e existência de normas de regulação municipais para RSU.</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11, inciso III e § 2.º, art. 23 e art. 50 da Lei n.º 11.445/2007; art. 4.º-A da Lei n.º 9.984/2000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C-303</w:t>
            </w:r>
          </w:p>
          <w:p>
            <w:pPr>
              <w:spacing w:after="40" w:line="240"/>
              <w:jc w:val="left"/>
            </w:pPr>
            <w:r>
              <w:rPr>
                <w:rFonts w:ascii="Times New Roman" w:cs="Times New Roman" w:eastAsia="Times New Roman" w:hAnsi="Times New Roman"/>
                <w:sz w:val="18"/>
                <w:szCs w:val="18"/>
              </w:rPr>
              <w:t xml:space="preserve">E7-039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II.2 (PDF p. 15); P0 Data Request jurídico (PDF p. 25)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Regionalização da prestação de RSU em Rondônia mencionada mas não analisada</w:t>
            </w:r>
          </w:p>
          <w:p>
            <w:pPr>
              <w:spacing w:after="40" w:line="240"/>
              <w:jc w:val="left"/>
            </w:pPr>
            <w:r>
              <w:rPr>
                <w:rFonts w:ascii="Times New Roman" w:cs="Times New Roman" w:eastAsia="Times New Roman" w:hAnsi="Times New Roman"/>
                <w:sz w:val="18"/>
                <w:szCs w:val="18"/>
              </w:rPr>
              <w:t xml:space="preserve">O P7 registra a exigência de prestação regionalizada, mas não verifica se o Estado de Rondônia instituiu microrregião ou unidade regional de RSU que inclua Porto Velho, se houve adesão do Município, nem se isso afeta a titularidade e a competência para licitar isoladamente. O P0 pediu convênios, consórcios e protocolos com Estado e municípios, sem resultado relatado. A estruturação regionalizada também condiciona o acesso a recursos federais.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Legislação estadual de Rondônia sobre regionalização do saneamento/RSU e eventual ato de adesão do Município.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3.º, inciso VI, art. 8.º, incisos I e II, e art. 50 da Lei n.º 11.445/2007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C-304</w:t>
            </w:r>
          </w:p>
          <w:p>
            <w:pPr>
              <w:spacing w:after="40" w:line="240"/>
              <w:jc w:val="left"/>
            </w:pPr>
            <w:r>
              <w:rPr>
                <w:rFonts w:ascii="Times New Roman" w:cs="Times New Roman" w:eastAsia="Times New Roman" w:hAnsi="Times New Roman"/>
                <w:sz w:val="18"/>
                <w:szCs w:val="18"/>
              </w:rPr>
              <w:t xml:space="preserve">E5-014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p. 80, 88, 90-91 e 98; P4 Tab. 1 (p. 10) e Tab. 5 (p. 15)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Descumprimentos do operador atual documentados no diagnóstico sem registro de providência fiscalizatória</w:t>
            </w:r>
          </w:p>
          <w:p>
            <w:pPr>
              <w:spacing w:after="40" w:line="240"/>
              <w:jc w:val="left"/>
            </w:pPr>
            <w:r>
              <w:rPr>
                <w:rFonts w:ascii="Times New Roman" w:cs="Times New Roman" w:eastAsia="Times New Roman" w:hAnsi="Times New Roman"/>
                <w:sz w:val="18"/>
                <w:szCs w:val="18"/>
              </w:rPr>
              <w:t xml:space="preserve">O P1 e o P4 registram que a ECOPVH não opera o incinerador previsto no Contrato 028/PGM/2025, entrega recicláveis misturados a orgânicos à CATANORTE, mistura RSS com RSU em São Carlos e não controla manifesto e pesagem de RSS nos distritos. Os estudos não informam medidas de fiscalização, o que afeta a linha de base e o estado dos bens na transição. O fato de os estudos não as mencionarem não demonstra sua inexistência.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Registros de fiscalização do Contrato 028/PGM/2025 (notificações, sanções, glosas).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117 da Lei n.º 14.133/2021; Resolução CONAMA n.º 358/2005; RDC ANVISA n.º 222/2018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C-305</w:t>
            </w:r>
          </w:p>
          <w:p>
            <w:pPr>
              <w:spacing w:after="40" w:line="240"/>
              <w:jc w:val="left"/>
            </w:pPr>
            <w:r>
              <w:rPr>
                <w:rFonts w:ascii="Times New Roman" w:cs="Times New Roman" w:eastAsia="Times New Roman" w:hAnsi="Times New Roman"/>
                <w:sz w:val="18"/>
                <w:szCs w:val="18"/>
              </w:rPr>
              <w:t xml:space="preserve">E5-068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PA-06 (Tab. 9, p. 26); P1 p. 74, 75, 80 e 97-98; Anexo III PA-06; Contrato cl. 10.3.10.4 (PDF p. 29)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Meta 'zero RSS misturado desde M1' sem fase de transição, diante do estado diagnosticado</w:t>
            </w:r>
          </w:p>
          <w:p>
            <w:pPr>
              <w:spacing w:after="40" w:line="240"/>
              <w:jc w:val="left"/>
            </w:pPr>
            <w:r>
              <w:rPr>
                <w:rFonts w:ascii="Times New Roman" w:cs="Times New Roman" w:eastAsia="Times New Roman" w:hAnsi="Times New Roman"/>
                <w:sz w:val="18"/>
                <w:szCs w:val="18"/>
              </w:rPr>
              <w:t xml:space="preserve">O diagnóstico documenta bombonas de RSS expostas e acessíveis (Fortaleza do Abunã, Vista Alegre, São Carlos), mistura de RSS com RSU em São Carlos e ausência de controle de manifesto e pesagem. O P4 fixa meta absoluta desde o primeiro mês, sem prazo de adequação; os mecanismos de consequência (IQD, penalidades) precisam ser compatíveis com o ponto de partida.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Se a meta do PA-06 tem consequência contratual (IQD ou penalidade) a partir do M1.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VII, da Lei n.º 11.079/2004; RDC ANVISA n.º 222/2018</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C-308</w:t>
            </w:r>
          </w:p>
          <w:p>
            <w:pPr>
              <w:spacing w:after="40" w:line="240"/>
              <w:jc w:val="left"/>
            </w:pPr>
            <w:r>
              <w:rPr>
                <w:rFonts w:ascii="Times New Roman" w:cs="Times New Roman" w:eastAsia="Times New Roman" w:hAnsi="Times New Roman"/>
                <w:sz w:val="18"/>
                <w:szCs w:val="18"/>
              </w:rPr>
              <w:t xml:space="preserve">E2-102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VII itens 13 e 14 (PDF p. 6); Contrato cl. 41.2 (p. 78), 8.6.1.2.2 (p. 18-19), 8.10 (p. 20), 10.9 e 10.13.2 (p. 30-31)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VI com papel decisório (aprovação do excedente do GAC, pareceres-condição) e ARDPV tratada como meio do Poder Concedente</w:t>
            </w:r>
          </w:p>
          <w:p>
            <w:pPr>
              <w:spacing w:after="40" w:line="240"/>
              <w:jc w:val="left"/>
            </w:pPr>
            <w:r>
              <w:rPr>
                <w:rFonts w:ascii="Times New Roman" w:cs="Times New Roman" w:eastAsia="Times New Roman" w:hAnsi="Times New Roman"/>
                <w:sz w:val="18"/>
                <w:szCs w:val="18"/>
              </w:rPr>
              <w:t xml:space="preserve">O Contrato faz do parecer do VI requisito de decisões da Entidade Reguladora (8.10, 10.9, 10.13.2) e exige aprovação conjunta do órgão ambiental e do VI para apurar o excedente do GAC (8.6.1.2.2), o que dá ao VI papel decisório; a cl. 41.2 afirma que o VI não substitui o regulador. O Anexo VII qualifica a ARDPV como meio de atuação do Poder Concedente. Ambos tensionam a independência e as funções próprias do regulador.</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Rol de funções indelegáveis da entidade reguladora na NR ANA n.º 7/2024 (conferir na Fase 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arts. 21, 22 e 23 da Lei n.º 11.445/2007; NR n.º 7/2024 da ANA (Resolução ANA n.º 187/2024)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C-309</w:t>
            </w:r>
          </w:p>
          <w:p>
            <w:pPr>
              <w:spacing w:after="40" w:line="240"/>
              <w:jc w:val="left"/>
            </w:pPr>
            <w:r>
              <w:rPr>
                <w:rFonts w:ascii="Times New Roman" w:cs="Times New Roman" w:eastAsia="Times New Roman" w:hAnsi="Times New Roman"/>
                <w:sz w:val="18"/>
                <w:szCs w:val="18"/>
              </w:rPr>
              <w:t xml:space="preserve">E3-101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26.4 (PDF p. 57) e 15.5; P6 p. 6 (ICSD 1,30x)</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Teto anual de multas de 50% da receita anual, cumulável com desconto de IQD e multas fora do teto</w:t>
            </w:r>
          </w:p>
          <w:p>
            <w:pPr>
              <w:spacing w:after="40" w:line="240"/>
              <w:jc w:val="left"/>
            </w:pPr>
            <w:r>
              <w:rPr>
                <w:rFonts w:ascii="Times New Roman" w:cs="Times New Roman" w:eastAsia="Times New Roman" w:hAnsi="Times New Roman"/>
                <w:sz w:val="18"/>
                <w:szCs w:val="18"/>
              </w:rPr>
              <w:t xml:space="preserve">O teto (~R$ 39 mi/ano) pode ser somado ao desconto de IQD (até 10%) e às multas fora do item 26.3. A proporcionalidade frente ao fluxo de caixa (ICSD mínimo de 1,30x no P6) não é demonstrada. Sobre a cumulação de desconto e multa pelo mesmo fato, ver E3-056 (REMUNERACAO_REAJUSTE).</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Demonstração da proporcionalidade do teto frente ao fluxo de caixa e ao serviço da dívida.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inciso II, da Lei n.º 11.079/2004; art. 156, § 1.º,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pStyle w:val="Heading2"/>
        <w:keepNext/>
        <w:spacing w:after="120" w:before="240" w:line="360"/>
      </w:pPr>
      <w:r>
        <w:rPr>
          <w:rFonts w:ascii="Times New Roman" w:cs="Times New Roman" w:eastAsia="Times New Roman" w:hAnsi="Times New Roman"/>
          <w:b/>
          <w:bCs/>
          <w:sz w:val="26"/>
          <w:szCs w:val="26"/>
        </w:rPr>
        <w:t xml:space="preserve">Habilitação (3)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C-342</w:t>
            </w:r>
          </w:p>
          <w:p>
            <w:pPr>
              <w:spacing w:after="40" w:line="240"/>
              <w:jc w:val="left"/>
            </w:pPr>
            <w:r>
              <w:rPr>
                <w:rFonts w:ascii="Times New Roman" w:cs="Times New Roman" w:eastAsia="Times New Roman" w:hAnsi="Times New Roman"/>
                <w:sz w:val="18"/>
                <w:szCs w:val="18"/>
              </w:rPr>
              <w:t xml:space="preserve">E1-051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8.2, d (PDF p. 18)</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Quarentena de 12 meses para ex-servidores de qualquer órgão municipal</w:t>
            </w:r>
          </w:p>
          <w:p>
            <w:pPr>
              <w:spacing w:after="40" w:line="240"/>
              <w:jc w:val="left"/>
            </w:pPr>
            <w:r>
              <w:rPr>
                <w:rFonts w:ascii="Times New Roman" w:cs="Times New Roman" w:eastAsia="Times New Roman" w:hAnsi="Times New Roman"/>
                <w:sz w:val="18"/>
                <w:szCs w:val="18"/>
              </w:rPr>
              <w:t xml:space="preserve">A Lei 14.133 veda a participação de agente público do órgão licitante e de quem tenha vínculo com dirigentes ou agentes da licitação, e remete à legislação sobre conflito de interesses as situações posteriores ao exercício do cargo. O Edital cria quarentena de 12 meses para ex-servidores de qualquer órgão municipal, alcançando inclusive responsáveis técnicos, sem indicar a norma local que a fundamenta.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Verificar se a Lei Orgânica ou o estatuto dos servidores de Porto Velho preveem a quarentena.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9.º, § 1.º, e art. 14, inciso IV, da Lei n.º 14.133/2021; não localizei fundamento normativo específico para a quarentena na legislação federal</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C-343</w:t>
            </w:r>
          </w:p>
          <w:p>
            <w:pPr>
              <w:spacing w:after="40" w:line="240"/>
              <w:jc w:val="left"/>
            </w:pPr>
            <w:r>
              <w:rPr>
                <w:rFonts w:ascii="Times New Roman" w:cs="Times New Roman" w:eastAsia="Times New Roman" w:hAnsi="Times New Roman"/>
                <w:sz w:val="18"/>
                <w:szCs w:val="18"/>
              </w:rPr>
              <w:t xml:space="preserve">E1-073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11.18, a (PDF p. 29); Anexo C, Modelo 2, item 7.4 (p. 25)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Número da Circular SUSEP do seguro-garantia a confirmar (Edital: 622/2022)</w:t>
            </w:r>
          </w:p>
          <w:p>
            <w:pPr>
              <w:spacing w:after="40" w:line="240"/>
              <w:jc w:val="left"/>
            </w:pPr>
            <w:r>
              <w:rPr>
                <w:rFonts w:ascii="Times New Roman" w:cs="Times New Roman" w:eastAsia="Times New Roman" w:hAnsi="Times New Roman"/>
                <w:sz w:val="18"/>
                <w:szCs w:val="18"/>
              </w:rPr>
              <w:t xml:space="preserve">Edital e Anexo C citam a 'Circular SUSEP nº 622/2022'. Busca na web (fontes secundárias, sem acesso ao texto oficial) indica que a norma do seguro-garantia é a Circular SUSEP n.º 662, de 11/04/2022. Se o número estiver errado, as apólices remeterão a norma diversa; a cláusula 'ou outra que venha a substituí-la' não resolve erro de identificação.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Confirmar no portal da SUSEP o número e a vigência da circular sobre seguro-garantia.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96, § 1.º, inciso II,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C-344</w:t>
            </w:r>
          </w:p>
          <w:p>
            <w:pPr>
              <w:spacing w:after="40" w:line="240"/>
              <w:jc w:val="left"/>
            </w:pPr>
            <w:r>
              <w:rPr>
                <w:rFonts w:ascii="Times New Roman" w:cs="Times New Roman" w:eastAsia="Times New Roman" w:hAnsi="Times New Roman"/>
                <w:sz w:val="18"/>
                <w:szCs w:val="18"/>
              </w:rPr>
              <w:t xml:space="preserve">E1-100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13.23.1.3 (PDF p. 37), 1.1.7-1.1.9 e 1.1.33-1.1.35 (p. 6-8) e 3.1, i a xi (p. 12-13)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Atividades técnicas a comprovar não incluem CDR, compostagem, autoclave, logística fluvial, remediação e obras</w:t>
            </w:r>
          </w:p>
          <w:p>
            <w:pPr>
              <w:spacing w:after="40" w:line="240"/>
              <w:jc w:val="left"/>
            </w:pPr>
            <w:r>
              <w:rPr>
                <w:rFonts w:ascii="Times New Roman" w:cs="Times New Roman" w:eastAsia="Times New Roman" w:hAnsi="Times New Roman"/>
                <w:sz w:val="18"/>
                <w:szCs w:val="18"/>
              </w:rPr>
              <w:t xml:space="preserve">O 13.23.1.3 lista seis atividades para os atestados, sem incluir processamento de CDR, compostagem, autoclave, logística fluvial no Baixo Madeira, remediação pelo rito GAC e obras civis da CTR, que integram o objeto. Não fica claro se as atividades listadas são cumulativas. Saber quais parcelas atingem 4% do valor depende da decomposição do CAPEX e do OPEX por atividade.</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Decomposição de CAPEX/OPEX por atividade (P2/P6) para identificar as parcelas de maior relevância; validação de engenharia.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67, inciso II e § 1.º,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[VALIDAÇÃO TÉCNICA]</w:t>
            </w:r>
          </w:p>
        </w:tc>
      </w:tr>
    </w:tbl>
    <w:p>
      <w:pPr>
        <w:pStyle w:val="Heading2"/>
        <w:keepNext/>
        <w:spacing w:after="120" w:before="240" w:line="360"/>
      </w:pPr>
      <w:r>
        <w:rPr>
          <w:rFonts w:ascii="Times New Roman" w:cs="Times New Roman" w:eastAsia="Times New Roman" w:hAnsi="Times New Roman"/>
          <w:b/>
          <w:bCs/>
          <w:sz w:val="26"/>
          <w:szCs w:val="26"/>
        </w:rPr>
        <w:t xml:space="preserve">Questões formais e condições prévias (14)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Problema e comentário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Fundamento normativo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Flags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C-391</w:t>
            </w:r>
          </w:p>
          <w:p>
            <w:pPr>
              <w:spacing w:after="40" w:line="240"/>
              <w:jc w:val="left"/>
            </w:pPr>
            <w:r>
              <w:rPr>
                <w:rFonts w:ascii="Times New Roman" w:cs="Times New Roman" w:eastAsia="Times New Roman" w:hAnsi="Times New Roman"/>
                <w:sz w:val="18"/>
                <w:szCs w:val="18"/>
              </w:rPr>
              <w:t xml:space="preserve">DD-ext</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preâmbulo (PDF p. 4); Contrato, considerandos ii–iii e vi (p. 5–6); P6 p. 59</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Litígio sobre a anulação do contrato anterior não informado no Edital</w:t>
            </w:r>
          </w:p>
          <w:p>
            <w:pPr>
              <w:spacing w:after="40" w:line="240"/>
              <w:jc w:val="left"/>
            </w:pPr>
            <w:r>
              <w:rPr>
                <w:rFonts w:ascii="Times New Roman" w:cs="Times New Roman" w:eastAsia="Times New Roman" w:hAnsi="Times New Roman"/>
                <w:sz w:val="18"/>
                <w:szCs w:val="18"/>
              </w:rPr>
              <w:t xml:space="preserve">O Edital e o P6 tratam o Contrato 019/PGM/2024 como extinto e usam sua despesa (4,46% da RCL) como margem fiscal. Pelas fontes externas, a anulação segue em litígio: houve mandado de segurança que restabeleceu o contrato (03/10/2025), depois suspenso (29/10/2025); há medida cautelar do TCE-RO mantida em 25/09/2026 e ação civil pública em curso. Isso afeta a segurança jurídica do objeto, a margem fiscal e a eventual indenização ao operador anterior, cujo estudo (P5) não consta do pacote.</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Certidão de objeto e pé do mandado de segurança e da ação civil pública (TJRO) e situação do processo no TCE-RO; P5 (avaliação da indenização).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5.º da Lei n.º 14.133/2021; art. 10, inciso I, alíneas 'a' e 'b',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[FONTE EXTERNA — VERIFICAR]</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C-392</w:t>
            </w:r>
          </w:p>
          <w:p>
            <w:pPr>
              <w:spacing w:after="40" w:line="240"/>
              <w:jc w:val="left"/>
            </w:pPr>
            <w:r>
              <w:rPr>
                <w:rFonts w:ascii="Times New Roman" w:cs="Times New Roman" w:eastAsia="Times New Roman" w:hAnsi="Times New Roman"/>
                <w:sz w:val="18"/>
                <w:szCs w:val="18"/>
              </w:rPr>
              <w:t xml:space="preserve">E1-002, E7-001, E7-003</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preâmbulo, 2.º parágrafo (PDF p. 4); P7 I.3 e II.4 (p. 12 e 16-17); P7 V.10 (p. 44)</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Autorização da autoridade competente e estudo técnico do art. 10, I, não identificados</w:t>
            </w:r>
          </w:p>
          <w:p>
            <w:pPr>
              <w:spacing w:after="40" w:line="240"/>
              <w:jc w:val="left"/>
            </w:pPr>
            <w:r>
              <w:rPr>
                <w:rFonts w:ascii="Times New Roman" w:cs="Times New Roman" w:eastAsia="Times New Roman" w:hAnsi="Times New Roman"/>
                <w:sz w:val="18"/>
                <w:szCs w:val="18"/>
              </w:rPr>
              <w:t xml:space="preserve">O pacote não contém o ato da autoridade competente que autoriza a abertura da licitação nem o estudo técnico que demonstre: (a) a conveniência e a oportunidade da opção pela PPP; (b) que as despesas criadas não afetarão as metas de resultados fiscais, com compensação dos efeitos financeiros nos períodos seguintes; (c) a observância dos limites e condições da LRF; tudo com premissas e metodologia de cálculo (§ 1.º). O Edital menciona apenas a publicação da justificativa no DOM, com data em branco. O P7 descreve o Termo de Autorização do MIP 005/2025, que autorizou a elaboração dos estudos e não a licitação, e no item V.10 trata a demonstração fiscal como providência a consolidar na instrução processual. Também não consta a deliberação do CGP/PVH que aprove os estudos e as minutas.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Processo administrativo: ato de autorização da licitação; estudo técnico com as demonstrações das alíneas a a c (premissas e metodologia); deliberação do CGP/PVH aprovando os estudos e as minutas.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 alíneas a, b e c, e § 1.º, da Lei n.º 11.079/2004; arts. 16 e 17 da Lei Complementar n.º 101/2000; art. 18, inciso I, e arts. 22 a 27 da Lei Complementar Municipal n.º 592/2015 (conforme citados no P7, p. 17 e 44)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C-393</w:t>
            </w:r>
          </w:p>
          <w:p>
            <w:pPr>
              <w:spacing w:after="40" w:line="240"/>
              <w:jc w:val="left"/>
            </w:pPr>
            <w:r>
              <w:rPr>
                <w:rFonts w:ascii="Times New Roman" w:cs="Times New Roman" w:eastAsia="Times New Roman" w:hAnsi="Times New Roman"/>
                <w:sz w:val="18"/>
                <w:szCs w:val="18"/>
              </w:rPr>
              <w:t xml:space="preserve">E7-008, E1-004</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5.2 (PDF p. 15); P7 V.10 (p. 44) e X.2.2 (p. 66)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Declaração do ordenador de despesa (art. 10, III) não mencionada</w:t>
            </w:r>
          </w:p>
          <w:p>
            <w:pPr>
              <w:spacing w:after="40" w:line="240"/>
              <w:jc w:val="left"/>
            </w:pPr>
            <w:r>
              <w:rPr>
                <w:rFonts w:ascii="Times New Roman" w:cs="Times New Roman" w:eastAsia="Times New Roman" w:hAnsi="Times New Roman"/>
                <w:sz w:val="18"/>
                <w:szCs w:val="18"/>
              </w:rPr>
              <w:t xml:space="preserve">Nem o Edital nem o P7 mencionam a declaração do ordenador de despesa de que as obrigações do contrato são compatíveis com a LDO e estão previstas na LOA. É ato do processo administrativo e pode existir fora do pacote. Com a dotação ainda em branco (G4-003), não há elemento documental que indique sua emissão.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Cópia da declaração do ordenador de despesa nos autos do processo administrativo.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III, da Lei n.º 11.079/2004; art. 16, inciso II, da Lei Complementar n.º 101/2000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C-394</w:t>
            </w:r>
          </w:p>
          <w:p>
            <w:pPr>
              <w:spacing w:after="40" w:line="240"/>
              <w:jc w:val="left"/>
            </w:pPr>
            <w:r>
              <w:rPr>
                <w:rFonts w:ascii="Times New Roman" w:cs="Times New Roman" w:eastAsia="Times New Roman" w:hAnsi="Times New Roman"/>
                <w:sz w:val="18"/>
                <w:szCs w:val="18"/>
              </w:rPr>
              <w:t xml:space="preserve">E2-086, E5-075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item XIV.1 (PDF p. 33) e Tabela 19, Fase 1 (p. 30); P4 VIII.2 e Tabela 14 (p. 34-35); Edital, preâmbulo (p. 5)</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Condições pré-edital fixadas pelos próprios estudos (consultas locais, TCE-RO, MP-RO, FUNAI/INCRA) sem comprovação</w:t>
            </w:r>
          </w:p>
          <w:p>
            <w:pPr>
              <w:spacing w:after="40" w:line="240"/>
              <w:jc w:val="left"/>
            </w:pPr>
            <w:r>
              <w:rPr>
                <w:rFonts w:ascii="Times New Roman" w:cs="Times New Roman" w:eastAsia="Times New Roman" w:hAnsi="Times New Roman"/>
                <w:sz w:val="18"/>
                <w:szCs w:val="18"/>
              </w:rPr>
              <w:t xml:space="preserve">O Anexo III e o P4 definem como condições anteriores à publicação do Edital: consulta comunitária no entorno da Lixeira de Vila Princesa; audiências presenciais em Calama e São Carlos (Baixo Madeira); reuniões com TCE-RO, MP-RO e órgão ambiental; consulta (data request) à FUNAI e ao INCRA; cadastro georreferenciado de catadores. O pacote não traz atas ou registros dessas providências, e o preâmbulo do Edital só menciona audiência no auditório da sede e consulta pública, ambas sem data. A consulta prévia da Convenção 169 da OIT fica em LICENCIAMENTO_AMBIENTAL (E1-014, E7-080).</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Atas e registros das consultas, audiências e reuniões; respostas da FUNAI e do INCRA; cadastro de catadores.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inciso VI, da Lei n.º 11.079/2004; art. 11, inciso IV, da Lei n.º 11.445/2007; art. 21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C-395</w:t>
            </w:r>
          </w:p>
          <w:p>
            <w:pPr>
              <w:spacing w:after="40" w:line="240"/>
              <w:jc w:val="left"/>
            </w:pPr>
            <w:r>
              <w:rPr>
                <w:rFonts w:ascii="Times New Roman" w:cs="Times New Roman" w:eastAsia="Times New Roman" w:hAnsi="Times New Roman"/>
                <w:sz w:val="18"/>
                <w:szCs w:val="18"/>
              </w:rPr>
              <w:t xml:space="preserve">E7-014, E1-010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12.3 (PDF p. 31) e 23.1 (p. 52-53); P7 X.2 e XII.4 (p. 66 e 72)</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Atualização dos estudos se a assinatura ocorrer em outro exercício (art. 10, § 2.º) não prevista</w:t>
            </w:r>
          </w:p>
          <w:p>
            <w:pPr>
              <w:spacing w:after="40" w:line="240"/>
              <w:jc w:val="left"/>
            </w:pPr>
            <w:r>
              <w:rPr>
                <w:rFonts w:ascii="Times New Roman" w:cs="Times New Roman" w:eastAsia="Times New Roman" w:hAnsi="Times New Roman"/>
                <w:sz w:val="18"/>
                <w:szCs w:val="18"/>
              </w:rPr>
              <w:t xml:space="preserve">O P6 adota 2027 como Ano 1; o Edital está em 2.ª versão de setembro de 2026, com cronograma em branco; e o P7 lista pendências prévias à publicação. Se a assinatura ocorrer em exercício diverso do da publicação do edital, a lei exige atualização prévia dos estudos e demonstrações dos incisos I a IV do art. 10. Nem o Edital nem o P7 preveem essa providência.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Datas efetivas de publicação do edital e de assinatura do contrato.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 2.º,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C-396</w:t>
            </w:r>
          </w:p>
          <w:p>
            <w:pPr>
              <w:spacing w:after="40" w:line="240"/>
              <w:jc w:val="left"/>
            </w:pPr>
            <w:r>
              <w:rPr>
                <w:rFonts w:ascii="Times New Roman" w:cs="Times New Roman" w:eastAsia="Times New Roman" w:hAnsi="Times New Roman"/>
                <w:sz w:val="18"/>
                <w:szCs w:val="18"/>
              </w:rPr>
              <w:t xml:space="preserve">E7-011</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II.3, II.4 e II.12 (PDF p. 16-17 e 22); Contrato cl. 3.2, xi (p. 11)</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Autorização legislativa: P7 apoia-se na LC 592/2015 sem examinar a Lei Orgânica</w:t>
            </w:r>
          </w:p>
          <w:p>
            <w:pPr>
              <w:spacing w:after="40" w:line="240"/>
              <w:jc w:val="left"/>
            </w:pPr>
            <w:r>
              <w:rPr>
                <w:rFonts w:ascii="Times New Roman" w:cs="Times New Roman" w:eastAsia="Times New Roman" w:hAnsi="Times New Roman"/>
                <w:sz w:val="18"/>
                <w:szCs w:val="18"/>
              </w:rPr>
              <w:t xml:space="preserve">O P7 não identifica lei municipal específica que autorize esta concessão e se apoia na LC 592/2015, lei do programa municipal de PPP. A Lei 11.079 exige lei autorizativa específica apenas para concessão patrocinada com mais de 70% de remuneração pública. A Lei 9.074 dispensa lei autorizativa para saneamento básico e limpeza urbana, ressalvados os casos referidos nas Leis Orgânicas. O P7 cita a Lei Orgânica de Porto Velho (27/03/1990) como incidente, mas não examina se ela exige autorização legislativa para concessões ou PPPs.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Texto da Lei Orgânica de Porto Velho sobre concessões e PPPs; eventual lei específica.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10, § 3.º, da Lei n.º 11.079/2004; art. 2.º da Lei n.º 9.074/1995; Lei Orgânica do Município de Porto Velho (27/03/1990)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C-397</w:t>
            </w:r>
          </w:p>
          <w:p>
            <w:pPr>
              <w:spacing w:after="40" w:line="240"/>
              <w:jc w:val="left"/>
            </w:pPr>
            <w:r>
              <w:rPr>
                <w:rFonts w:ascii="Times New Roman" w:cs="Times New Roman" w:eastAsia="Times New Roman" w:hAnsi="Times New Roman"/>
                <w:sz w:val="18"/>
                <w:szCs w:val="18"/>
              </w:rPr>
              <w:t xml:space="preserve">E7-017</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V.10 (PDF p. 44); Anexo V (Matriz de Riscos)</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Envio prévio de informações ao Senado e à STN (art. 28, § 1.º) não abordado</w:t>
            </w:r>
          </w:p>
          <w:p>
            <w:pPr>
              <w:spacing w:after="40" w:line="240"/>
              <w:jc w:val="left"/>
            </w:pPr>
            <w:r>
              <w:rPr>
                <w:rFonts w:ascii="Times New Roman" w:cs="Times New Roman" w:eastAsia="Times New Roman" w:hAnsi="Times New Roman"/>
                <w:sz w:val="18"/>
                <w:szCs w:val="18"/>
              </w:rPr>
              <w:t xml:space="preserve">O P7 não menciona a obrigação de encaminhar ao Senado Federal e à STN, antes da contratação, as informações necessárias à verificação dos limites do art. 28. Também não examina o registro da PPP segundo as normas gerais de consolidação das contas públicas a que remete o art. 10, § 1.º, à luz dos riscos alocados ao Poder Concedente na Matriz.</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Comprovante de envio das informações ao Senado Federal e à STN antes da assinatura.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28, § 1.º, e art. 10, § 1.º,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C-398</w:t>
            </w:r>
          </w:p>
          <w:p>
            <w:pPr>
              <w:spacing w:after="40" w:line="240"/>
              <w:jc w:val="left"/>
            </w:pPr>
            <w:r>
              <w:rPr>
                <w:rFonts w:ascii="Times New Roman" w:cs="Times New Roman" w:eastAsia="Times New Roman" w:hAnsi="Times New Roman"/>
                <w:sz w:val="18"/>
                <w:szCs w:val="18"/>
              </w:rPr>
              <w:t xml:space="preserve">E1-015, E3-004, E5-062, E6-065, E7-070, E4-065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preâmbulo, 3.º parágrafo (PDF p. 4); Contrato, considerandos ii e iii (p. 5); P7 Sumário (p. 9), I.2 (p. 11-12), II.13 (p. 22), III.2.2 (p. 27), III.4.6 (p. 31) e XII.3 (p. 71-72); P0 III.2 (p. 25); P1, P2, P3, P4 e P6 (sem tratamento do tema)</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Determinações dos Acórdãos APL-TC 00068/24 e 00105/24 não descritas; saneamento não verificável</w:t>
            </w:r>
          </w:p>
          <w:p>
            <w:pPr>
              <w:spacing w:after="40" w:line="240"/>
              <w:jc w:val="left"/>
            </w:pPr>
            <w:r>
              <w:rPr>
                <w:rFonts w:ascii="Times New Roman" w:cs="Times New Roman" w:eastAsia="Times New Roman" w:hAnsi="Times New Roman"/>
                <w:sz w:val="18"/>
                <w:szCs w:val="18"/>
              </w:rPr>
              <w:t xml:space="preserve">O Edital e o Contrato afirmam que a nova PPP sana as irregularidades julgadas pelo TCE-RO, mas nenhum documento transcreve as irregularidades ou determinações dos acórdãos. O P7 é o único que descreve o que teria sido considerado: quatro 'decisões centrais' (menor contraprestação em vez de técnica e preço; ordem de fases da Lei 14.133; supressão da proposta técnica pontuada; substituição da Lei 8.666) e duas 'orientações' (utilidades às expensas da concessionária, p. 27; somatório de atestados inclusive concomitantes, p. 31). P1, P2, P3, P4 e P6 não tratam do tema; o P0 pediu cópia integral do processo no data request. O P7 menciona 'expectativa de manifestação prévia do Tribunal', sem registro de que tenha ocorrido. O Edital ainda remete à Lei 8.666 (G4-046) e limita o somatório de atestados (G4-084). O considerando ii do Contrato nomeia a antiga concessionária e sua controladora, com grafia 'SI A'. Os acórdãos são referidos como fato documental.</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Inteiro teor dos Acórdãos APL-TC 00068/24 e 00105/24 e da Decisão 001/2025/GAB-PREF/PMPV, para cotejo de cada determinação com o Edital, o Contrato e a modelagem.</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71, inciso IX, c/c art. 75 da Constituição Federal; Acórdãos APL-TC 00068/24 e APL-TC 00105/24, Processo TCE-RO 00421/2022 (fato documental: Edital p. 4; Contrato p. 5; P7 p. 9, 11 e 22)</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C-400</w:t>
            </w:r>
          </w:p>
          <w:p>
            <w:pPr>
              <w:spacing w:after="40" w:line="240"/>
              <w:jc w:val="left"/>
            </w:pPr>
            <w:r>
              <w:rPr>
                <w:rFonts w:ascii="Times New Roman" w:cs="Times New Roman" w:eastAsia="Times New Roman" w:hAnsi="Times New Roman"/>
                <w:sz w:val="18"/>
                <w:szCs w:val="18"/>
              </w:rPr>
              <w:t xml:space="preserve">E7-075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P0 I.2 (PDF p. 4), II.1 (p. 7), III.2 (p. 18) e IV.1 (p. 26); P7 I.3 (p. 12) e X.1 (p. 65); Edital 2.11.1 (p. 12), 20.1.8 (p. 49) e 21.1 (p. 50); Contrato, considerando iv (p. 5) e cl. 10.7 (p. 30)</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Procedimento dos estudos designado ora como Chamamento Público, ora como MIP, ora como PMI</w:t>
            </w:r>
          </w:p>
          <w:p>
            <w:pPr>
              <w:spacing w:after="40" w:line="240"/>
              <w:jc w:val="left"/>
            </w:pPr>
            <w:r>
              <w:rPr>
                <w:rFonts w:ascii="Times New Roman" w:cs="Times New Roman" w:eastAsia="Times New Roman" w:hAnsi="Times New Roman"/>
                <w:sz w:val="18"/>
                <w:szCs w:val="18"/>
              </w:rPr>
              <w:t xml:space="preserve">Os documentos designam o mesmo procedimento de três formas. O P7 o trata como Manifestação de Interesse Privado por apresentação direta (art. 28 da LC 592/2015, com redação da LC 918/2022, segundo o P7). O P0 fala em Chamamento Público, que pressupõe procedimento aberto a outros interessados. A distinção repercute na isonomia da fase de estudos e no fundamento do ressarcimento.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Termo de Autorização 005/2025 e eventual edital de chamamento público.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81 da Lei n.º 14.133/2021; art. 21 da Lei n.º 8.987/1995; art. 28 da Lei Complementar Municipal n.º 592/2015 (conforme citado no P7)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C-401</w:t>
            </w:r>
          </w:p>
          <w:p>
            <w:pPr>
              <w:spacing w:after="40" w:line="240"/>
              <w:jc w:val="left"/>
            </w:pPr>
            <w:r>
              <w:rPr>
                <w:rFonts w:ascii="Times New Roman" w:cs="Times New Roman" w:eastAsia="Times New Roman" w:hAnsi="Times New Roman"/>
                <w:sz w:val="18"/>
                <w:szCs w:val="18"/>
              </w:rPr>
              <w:t xml:space="preserve">E7-078</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P0 I.1, I.2 e IV.1 (PDF p. 3-4 e 26-27); capas do P6 (26/05/2026), do P7 (11/09/2026) e do Edital (08/09/2026)</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Estudos entregues após o prazo de 240 dias, sem registro de prorrogação</w:t>
            </w:r>
          </w:p>
          <w:p>
            <w:pPr>
              <w:spacing w:after="40" w:line="240"/>
              <w:jc w:val="left"/>
            </w:pPr>
            <w:r>
              <w:rPr>
                <w:rFonts w:ascii="Times New Roman" w:cs="Times New Roman" w:eastAsia="Times New Roman" w:hAnsi="Times New Roman"/>
                <w:sz w:val="18"/>
                <w:szCs w:val="18"/>
              </w:rPr>
              <w:t xml:space="preserve">Contados de 25/09/2025, os 240 dias terminaram em 23/05/2026. O P6 tem 1.ª versão de 26/05/2026; P1 a P4 e os anexos têm revisões de agosto e setembro de 2026; o P7 e o Edital são de setembro de 2026. O pacote não traz prorrogação do Termo de Autorização nem atos do CGP/PVH sobre as entregas.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Ato de prorrogação do prazo, se houver, e registros de recebimento dos produtos pelo CGP/PVH.</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Termo de Autorização n.º 005/2025 (prazo de 240 dias — fato documental: P0, p. 3-4); art. 28 da Lei Complementar Municipal n.º 592/2015 (conforme citado no P7)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C-402</w:t>
            </w:r>
          </w:p>
          <w:p>
            <w:pPr>
              <w:spacing w:after="40" w:line="240"/>
              <w:jc w:val="left"/>
            </w:pPr>
            <w:r>
              <w:rPr>
                <w:rFonts w:ascii="Times New Roman" w:cs="Times New Roman" w:eastAsia="Times New Roman" w:hAnsi="Times New Roman"/>
                <w:sz w:val="18"/>
                <w:szCs w:val="18"/>
              </w:rPr>
              <w:t xml:space="preserve">E7-074, E6-009</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P0 III.1, Caderno 5 (PDF p. 11-14), EAP (p. 18) e IV.1 (p. 26); P3 (p. 5, 6 e 52); P7 I.4 (p. 12-13)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Caderno 5 (indenização ao operador anterior) ausente; P3 o confunde com a modelagem</w:t>
            </w:r>
          </w:p>
          <w:p>
            <w:pPr>
              <w:spacing w:after="40" w:line="240"/>
              <w:jc w:val="left"/>
            </w:pPr>
            <w:r>
              <w:rPr>
                <w:rFonts w:ascii="Times New Roman" w:cs="Times New Roman" w:eastAsia="Times New Roman" w:hAnsi="Times New Roman"/>
                <w:sz w:val="18"/>
                <w:szCs w:val="18"/>
              </w:rPr>
              <w:t xml:space="preserve">O P0 prevê oito cadernos, entre eles o Caderno 5, sobre a indenização ao operador do contrato anulado. O pacote não contém esse caderno; o P7 não o menciona ao articular os produtos; e o P3 chama de 'Caderno 5' a modelagem econômico-financeira, que é o Caderno 6. Eventual indenização ao operador anterior é obrigação do Município, com efeito sobre a estimativa de impacto orçamentário e sobre a transição, e os estudos postos à disposição dos interessados ficam incompletos em relação ao plano de trabalho.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Caderno 5 ou registro de sua dispensa pelo CGP/PVH; a decisão judicial a que se refere; valor apurado.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21 da Lei n.º 8.987/1995, c/c art. 11, caput, da Lei n.º 11.079/2004 (estudos à disposição dos interessados); art. 10, incisos II e IV, da Lei n.º 11.079/2004</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C-403</w:t>
            </w:r>
          </w:p>
          <w:p>
            <w:pPr>
              <w:spacing w:after="40" w:line="240"/>
              <w:jc w:val="left"/>
            </w:pPr>
            <w:r>
              <w:rPr>
                <w:rFonts w:ascii="Times New Roman" w:cs="Times New Roman" w:eastAsia="Times New Roman" w:hAnsi="Times New Roman"/>
                <w:sz w:val="18"/>
                <w:szCs w:val="18"/>
              </w:rPr>
              <w:t xml:space="preserve">E7-082</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P0, cabeçalhos das PDF p. 30-32 × P0 p. 3 e 7 e demais documentos</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Composição do consórcio autorizado divergente: KRAFT (P0) × MASTERPRO (demais documentos)</w:t>
            </w:r>
          </w:p>
          <w:p>
            <w:pPr>
              <w:spacing w:after="40" w:line="240"/>
              <w:jc w:val="left"/>
            </w:pPr>
            <w:r>
              <w:rPr>
                <w:rFonts w:ascii="Times New Roman" w:cs="Times New Roman" w:eastAsia="Times New Roman" w:hAnsi="Times New Roman"/>
                <w:sz w:val="18"/>
                <w:szCs w:val="18"/>
              </w:rPr>
              <w:t xml:space="preserve">Parte do P0 identifica o consórcio com a KRAFT no lugar da MASTERPRO. A autorização é pessoal e intransferível, e a cessão depende de anuência expressa do CGP/PVH (P0, p. 4, limitação iii). O pacote não permite saber se houve alteração de membro do consórcio ou se é resíduo de modelo.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Termo de Autorização 005/2025 (empresas autorizadas) e eventual anuência do CGP/PVH a alteração da composição.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Termo de Autorização n.º 005/2025, limitação (iii) (fato documental: P0, p. 4); art. 28 da Lei Complementar Municipal n.º 592/2015 (conforme citado no P7)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C-404</w:t>
            </w:r>
          </w:p>
          <w:p>
            <w:pPr>
              <w:spacing w:after="40" w:line="240"/>
              <w:jc w:val="left"/>
            </w:pPr>
            <w:r>
              <w:rPr>
                <w:rFonts w:ascii="Times New Roman" w:cs="Times New Roman" w:eastAsia="Times New Roman" w:hAnsi="Times New Roman"/>
                <w:sz w:val="18"/>
                <w:szCs w:val="18"/>
              </w:rPr>
              <w:t xml:space="preserve">E1-025</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23.1, eventos 1 e 8 (PDF p. 52-53)</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Intervalo mínimo entre publicação e entrega das propostas não verificável</w:t>
            </w:r>
          </w:p>
          <w:p>
            <w:pPr>
              <w:spacing w:after="40" w:line="240"/>
              <w:jc w:val="left"/>
            </w:pPr>
            <w:r>
              <w:rPr>
                <w:rFonts w:ascii="Times New Roman" w:cs="Times New Roman" w:eastAsia="Times New Roman" w:hAnsi="Times New Roman"/>
                <w:sz w:val="18"/>
                <w:szCs w:val="18"/>
              </w:rPr>
              <w:t xml:space="preserve">Com o cronograma em branco, não é possível aferir o prazo mínimo legal. O critério 'menor valor da contraprestação' não coincide com 'menor preço' ou 'maior desconto', o que pode atrair o prazo residual de 35 dias úteis (alínea d); se o regime for de contratação integrada, 60 dias úteis (alínea c); o de 25 dias úteis (alínea b) pressupõe menor preço ou maior desconto.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Datas de publicação do edital e da sessão; enquadramento do regime de execução.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55, inciso II, alíneas b, c e d,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C-405</w:t>
            </w:r>
          </w:p>
          <w:p>
            <w:pPr>
              <w:spacing w:after="40" w:line="240"/>
              <w:jc w:val="left"/>
            </w:pPr>
            <w:r>
              <w:rPr>
                <w:rFonts w:ascii="Times New Roman" w:cs="Times New Roman" w:eastAsia="Times New Roman" w:hAnsi="Times New Roman"/>
                <w:sz w:val="18"/>
                <w:szCs w:val="18"/>
              </w:rPr>
              <w:t xml:space="preserve">E3-140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preâmbulo e assinaturas (PDF p. 5 e 83); Anexo VI e Anexo IV (preâmbulos)</w:t>
            </w:r>
          </w:p>
        </w:tc>
        <w:tc>
          <w:tcPr>
            <w:tcW w:type="dxa" w:w="617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Competência do Secretário da SEINFRA para firmar a PPP não demonstrada</w:t>
            </w:r>
          </w:p>
          <w:p>
            <w:pPr>
              <w:spacing w:after="40" w:line="240"/>
              <w:jc w:val="left"/>
            </w:pPr>
            <w:r>
              <w:rPr>
                <w:rFonts w:ascii="Times New Roman" w:cs="Times New Roman" w:eastAsia="Times New Roman" w:hAnsi="Times New Roman"/>
                <w:sz w:val="18"/>
                <w:szCs w:val="18"/>
              </w:rPr>
              <w:t xml:space="preserve">O Contrato é assinado só pelo Secretário Municipal de Infraestrutura, com base em decreto de 2013, sem indicação de ato de delegação específico nem participação do Prefeito ou da PGM; o Anexo VI e o Anexo IV referem-se à 'Prefeitura' como parte. O contrato deve mencionar o ato que autorizou sua lavratura.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Decreto 12.931/2013 e regras da LC 592/2015 sobre competência para firmar PPP.</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art. 89, § 1.º, da Lei n.º 14.133/2021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w:t>
            </w:r>
          </w:p>
        </w:tc>
      </w:tr>
    </w:tbl>
    <w:p>
      <w:pPr>
        <w:sectPr>
          <w:headerReference w:type="default" r:id="rId11"/>
          <w:footerReference w:type="default" r:id="rId12"/>
          <w:pgSz w:w="16838" w:h="11906" w:orient="landscape"/>
          <w:pgMar w:top="1134" w:right="1134" w:bottom="1134" w:left="1134" w:header="708" w:footer="708" w:gutter="0"/>
          <w:pgNumType/>
          <w:docGrid w:linePitch="360"/>
        </w:sectPr>
      </w:pPr>
    </w:p>
    <w:p>
      <w:pPr>
        <w:pStyle w:val="Heading1"/>
        <w:keepNext/>
        <w:spacing w:after="120" w:before="240" w:line="360"/>
      </w:pPr>
      <w:r>
        <w:rPr>
          <w:rFonts w:ascii="Times New Roman" w:cs="Times New Roman" w:eastAsia="Times New Roman" w:hAnsi="Times New Roman"/>
          <w:b/>
          <w:bCs/>
          <w:sz w:val="28"/>
          <w:szCs w:val="28"/>
        </w:rPr>
        <w:t xml:space="preserve">4. [RESERVA — NÃO PROTOCOLAR]</w:t>
      </w:r>
    </w:p>
    <w:p>
      <w:pPr>
        <w:spacing w:after="120" w:before="0" w:line="360"/>
        <w:jc w:val="both"/>
      </w:pPr>
      <w:r>
        <w:rPr>
          <w:rFonts w:ascii="Times New Roman" w:cs="Times New Roman" w:eastAsia="Times New Roman" w:hAnsi="Times New Roman"/>
          <w:sz w:val="24"/>
          <w:szCs w:val="24"/>
        </w:rPr>
        <w:t xml:space="preserve">Pontos que favorecem a concessionária ou um licitante específico, ou cujo levantamento depende da posição comercial do grupo. Não protocolar sem decisão expressa do advogado.</w:t>
      </w:r>
    </w:p>
    <w:p>
      <w:pPr>
        <w:pStyle w:val="Heading2"/>
        <w:keepNext/>
        <w:spacing w:after="120" w:before="240" w:line="360"/>
      </w:pPr>
      <w:r>
        <w:rPr>
          <w:rFonts w:ascii="Times New Roman" w:cs="Times New Roman" w:eastAsia="Times New Roman" w:hAnsi="Times New Roman"/>
          <w:b/>
          <w:bCs/>
          <w:sz w:val="26"/>
          <w:szCs w:val="26"/>
        </w:rPr>
        <w:t xml:space="preserve">Objeto e escopo (11)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Ponto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Por que reservar / decisão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Tipo</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C-001</w:t>
            </w:r>
          </w:p>
          <w:p>
            <w:pPr>
              <w:spacing w:after="40" w:line="240"/>
              <w:jc w:val="left"/>
            </w:pPr>
            <w:r>
              <w:rPr>
                <w:rFonts w:ascii="Times New Roman" w:cs="Times New Roman" w:eastAsia="Times New Roman" w:hAnsi="Times New Roman"/>
                <w:sz w:val="18"/>
                <w:szCs w:val="18"/>
              </w:rPr>
              <w:t xml:space="preserve">E1-033, E3-023, E7-085</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 (sem definição de EVTEA), 2.8 e 2.9 (PDF p. 11), 2.11, 2.11.1 e 2.11.2 (p. 11-12), 3.1 'Investimentos em Infraestrutura' (p. 13), 3.1.4 (p. 14); Contrato considerando iv (p. 5), cl. 4.2, 4.2.1 e 4.2.1.1 (p. 13), 7.1 (p. 17); P0 I.3, objetivo (ix) (p. 5) e Fase 5 (p. 26-27); P7 III.2.2 (p. 27) e XI.4 (p. 70-71)</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EVTEA vinculante e definidor do escopo de investimentos, mas sem definição e fora do rol de anexos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Edital (3.1) e o Contrato (4.2) tratam o EVTEA como parte indissociável do Contrato e como delimitador do escopo integral dos investimentos; o Contrato remete a ele dezenas de vezes ('inclusive o EVTEA'). O EVTEA, porém, não é definido no item 1.1, não consta dos róis de anexos (Edital 2.8 e 2.9) e é subordinado aos anexos em caso de divergência (2.11.2). O item 2.11.1 o identifica com três estudos (técnico, econômico-financeiro e jurídico-institucional), o P0 previa um relatório consolidado (Fase 5) que não integra o pacote, e o Caderno 5 (indenização) previsto no P0 também não foi disponibilizado. Combinado com Edital 3.1.4 e Contrato 4.2.1.1, investimento não listado nos anexos 'ou no EVTEA' só é exigível mediante reequilíbrio, o que torna indeterminado o instrumento que fixa o escopo de investimento.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limitação do escopo de investimento ao que estiver listado nos anexos/EVTEA (Edital 3.1.4; Contrato 4.2.1.1) favorece a concessionária: todo investimento não listado gera pleito de reequilíbrio. Impugnar a indefinição pode levar à fixação de escopo mais amplo e exigível sem recomposição.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C-002</w:t>
            </w:r>
          </w:p>
          <w:p>
            <w:pPr>
              <w:spacing w:after="40" w:line="240"/>
              <w:jc w:val="left"/>
            </w:pPr>
            <w:r>
              <w:rPr>
                <w:rFonts w:ascii="Times New Roman" w:cs="Times New Roman" w:eastAsia="Times New Roman" w:hAnsi="Times New Roman"/>
                <w:sz w:val="18"/>
                <w:szCs w:val="18"/>
              </w:rPr>
              <w:t xml:space="preserve">E2-003, E1-011, E2-016</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 'Investimentos em Infraestrutura' (PDF p. 13) e 3.1.4 (p. 14); Contrato cl. 4.2 e 4.2.1 (p. 13), 10.3.8 (p. 28), 10.13.5 (p. 32); Caderno I (p. 7), Tabelas 23 e 24 (p. 26-27), XI.4 (p. 62)</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Obras da CTR sem especificação, quantificação, capacidades ou elementos de projeto básico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Edital afirma que os investimentos estão especificados, quantificados, localizados e cronogramados no Caderno, mas o Caderno traz apenas encargos qualitativos para a CTR (UVR com triagem mecanizada, pátio de compostagem, linha de CDR, autoclave e aterro de rejeitos): não há capacidade nominal (t/dia), área, volume, vida útil do aterro nem especificações mínimas. O Contrato (10.3.8) remete as instalações mínimas aos Anexos, e o Caderno (XI.4) transfere à concessionária a apresentação do 'projeto básico ou executivo das unidades'. O Contrato (10.13.5) exige que o aterro chegue à reversão com vida útil remanescente mínima de 30 anos, sem premissa de volume nos anexos. Não se identificam, no pacote, os elementos de anteprojeto que embasaram o valor dos investimentos.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indefinição permite pleitear reequilíbrio sobre componentes não quantificados (UVR mecanizada, CDR, autoclave, compostagem, dimensão do aterro), pela combinação Edital 3.1.4 / Contrato 4.2.1.1. A impugnação pode eliminar essa margem. [VALIDAÇÃO TÉCNICA: ponto depende de confirmação de engenharia — dimensionamento de volume e área do aterro para 30 anos de operação mais 30 anos remanescentes]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C-007</w:t>
            </w:r>
          </w:p>
          <w:p>
            <w:pPr>
              <w:spacing w:after="40" w:line="240"/>
              <w:jc w:val="left"/>
            </w:pPr>
            <w:r>
              <w:rPr>
                <w:rFonts w:ascii="Times New Roman" w:cs="Times New Roman" w:eastAsia="Times New Roman" w:hAnsi="Times New Roman"/>
                <w:sz w:val="18"/>
                <w:szCs w:val="18"/>
              </w:rPr>
              <w:t xml:space="preserve">E2-044, E5-037, E6-048</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IX.6 (PDF p. 24); P4 VII.1 (p. 31); P2 V.5.1 (p. 37), Figura 18 (p. 38) e V.5.2 (p. 39); P3 Tabela 10 (p. 21); P6 III.8 (p. 22) e Tabela 4 (p. 34); Anexo D Tabela 1, Meta 7 (p. 8)</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Capacidade de compostagem divergente entre Anexo III, P2, P3/P6 e Meta 7</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Anexo III (que prevalece sobre o EVTEA, Edital 2.11.2) e o P4 recomendam unidade central de 30 t/dia evoluindo para 80-120 t/dia em M60, além de unidades comunitárias. O texto do P2 afirma que 108,4 t/dia seriam encaminhadas à compostagem, mas o valor provém de figura ilustrativa ('exemplo de fluxo de massa', Figura 18), na qual 108,4 t/dia consta da coluna 'evaporação'. O P3 (Tabela 10) projeta recuperação orgânica de 1.783 t/ano em 2027 (cerca de 5 t/dia — cálculo), e o P6 prevê apenas compostagem de resíduos de feiras e mercados, sem linha de CAPEX específica. O termo 'recomenda-se' deixa incerto se a capacidade do Anexo III é obrigatória.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'recomenda-se' permite sustentar que só a Meta 7 é exigível; se a fiscalização exigir 80-120 t/dia, abre-se pleito de reequilíbrio (Edital 3.1.4). A impugnação pode fixar capacidade exigível sem recomposição.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C-019</w:t>
            </w:r>
          </w:p>
          <w:p>
            <w:pPr>
              <w:spacing w:after="40" w:line="240"/>
              <w:jc w:val="left"/>
            </w:pPr>
            <w:r>
              <w:rPr>
                <w:rFonts w:ascii="Times New Roman" w:cs="Times New Roman" w:eastAsia="Times New Roman" w:hAnsi="Times New Roman"/>
                <w:sz w:val="18"/>
                <w:szCs w:val="18"/>
              </w:rPr>
              <w:t xml:space="preserve">E3-010, E4-029, E6-057, E7-043, E7-084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considerando i (PDF p. 5), cl. 1.3.49 (p. 10) e 4.1 (p. 12); Edital 3.1 (p. 12-13); P7 II.8 (p. 20), III.2 (p. 26) e III.2.4 (p. 28); P6 II.2 (p. 11-12) e Tabela 8 (p. 42); P0 II.2 (p. 8)</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Limpeza urbana/varrição: excluída pelo P7, incluída no objeto do Contrato e remunerada pela CP segundo o P6</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Contrato inclui 'limpeza urbana' no objeto (4.1), na definição de Serviços (1.3.49: 'limpeza urbana e manejo de resíduos sólidos') e no considerando i, enquanto Edital (3.1), Caderno e Anexo III não preveem varrição, capina ou atividades congêneres e o P7 afirma a exclusão integral da limpeza urbana. O P6 (p. 11-12) descreve a varrição como serviço da concessão remunerado pela contraprestação, mas sua Tabela 8 (custos de pessoal) não contém equipes de varrição; o P0 incluía a varrição no escopo dos estudos. A divergência permite exigir serviço não precificado ou, inversamente, sustentar custo de varrição embutido na contraprestação sem obrigação correspondente.</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Hipótese do extrator E7: se a CP precifica varrição não exigida pelo Caderno, há erro favorável à concessionária. A Tabela 8 do P6 não traz equipes de varrição, o que não confirma essa hipótese; a ambiguidade tem também efeito adverso (exigência de varrição sem remuneração). Decisão do advogado.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C-024</w:t>
            </w:r>
          </w:p>
          <w:p>
            <w:pPr>
              <w:spacing w:after="40" w:line="240"/>
              <w:jc w:val="left"/>
            </w:pPr>
            <w:r>
              <w:rPr>
                <w:rFonts w:ascii="Times New Roman" w:cs="Times New Roman" w:eastAsia="Times New Roman" w:hAnsi="Times New Roman"/>
                <w:sz w:val="18"/>
                <w:szCs w:val="18"/>
              </w:rPr>
              <w:t xml:space="preserve">E2-014, E5-049, E6-064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 viii (PDF p. 13); Contrato cl. 10.13 e 10.13.1 (p. 31); Caderno Tabela 19 (p. 23) e Figura 9 (p. 29); Anexo III Tabela 3 (p. 9); P1 p. 65 e 85; P2 III.2.3.1 (p. 13) e V.5 (p. 36)</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'CTR Porto Velho' designa a central a construir e a titular do aterro privado Ecoparque</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central objeto da PPP chama-se 'CTR Porto Velho', mesma denominação da titular da LAO do aterro privado Ecoparque ('CTR PORTO VELHO S/A'). O Caderno usa 'Aterro Sanitário CTR Porto Velho' como destino nas rotas de referência. O Contrato (10.13 e 10.13.1) permite cumprir a obrigação de aterro por aquisição de aterro existente ou de participação societária. A homonímia deixa ambíguas cláusulas de destinação, transição e bens reversíveis, inclusive quanto a se o objeto exige construir o aterro de rejeitos ou admite usar ou adquirir o aterro privado.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Licitante ligado ao único aterro licenciado da Sede, ou com acordo de aquisição, tem vantagem de custo e prazo. Suscitar ou não depende da posição comercial do grupo em relação ao Ecoparque.</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C-025</w:t>
            </w:r>
          </w:p>
          <w:p>
            <w:pPr>
              <w:spacing w:after="40" w:line="240"/>
              <w:jc w:val="left"/>
            </w:pPr>
            <w:r>
              <w:rPr>
                <w:rFonts w:ascii="Times New Roman" w:cs="Times New Roman" w:eastAsia="Times New Roman" w:hAnsi="Times New Roman"/>
                <w:sz w:val="18"/>
                <w:szCs w:val="18"/>
              </w:rPr>
              <w:t xml:space="preserve">E3-045, E7-047</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10.13.1, inciso v, e 10.13.3 a 10.13.8 (PDF p. 31-33); P7 XI.3.3 (p. 68-69)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Aterro da concessionária: Contrato exige propriedade plena; P7 admite arrendamento ou contratação de terceiro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Contrato só admite formas que transfiram a propriedade plena do aterro (construção, compra, aquisição societária, permuta etc.) e o inclui entre os bens reversíveis, com requisitos dos itens 10.13.3 a 10.13.8. O P7 descreve a obrigação como cumprível por arrendamento ou contratação de terceiro, hipóteses incompatíveis com a reversão. A divergência afeta a formação do preço da solução de disposição final.</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leitura ampla do P7 (arrendamento/contratação de terceiro) favorece quem detém ou pode contratar o aterro licenciado da Sede; a conveniência de esclarecer depende da posição comercial do grupo.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C-031</w:t>
            </w:r>
          </w:p>
          <w:p>
            <w:pPr>
              <w:spacing w:after="40" w:line="240"/>
              <w:jc w:val="left"/>
            </w:pPr>
            <w:r>
              <w:rPr>
                <w:rFonts w:ascii="Times New Roman" w:cs="Times New Roman" w:eastAsia="Times New Roman" w:hAnsi="Times New Roman"/>
                <w:sz w:val="18"/>
                <w:szCs w:val="18"/>
              </w:rPr>
              <w:t xml:space="preserve">E2-037</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13 (PDF p. 16) e X.6.2 (p. 42-43); Contrato cl. 10.3.7 (p. 28); Anexo III Tabela 1 (p. 7); Anexo D Tabela 5, IO1 (p. 14 e 16)</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Sem frequências mínimas de coleta; indicador de maior peso (IO1) mede contra a programação da concessionária</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Contrato remete a frequência mínima aos Anexos, mas o Caderno não a fixa por tipo de área (o Anexo III, Tabela 1, traz apenas frequências de referência). O critério de aceite é a 'rota executada conforme programação', e o IO1 (peso de 38,5% do IQS) mede rotas realizadas sobre rotas programadas pela própria concessionária. O padrão de serviço não é exigível de forma objetiva.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concessionária define a programação contra a qual é medida, o que reduz a exposição a descontos; a impugnação poderia eliminar esse efeito.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C-038</w:t>
            </w:r>
          </w:p>
          <w:p>
            <w:pPr>
              <w:spacing w:after="40" w:line="240"/>
              <w:jc w:val="left"/>
            </w:pPr>
            <w:r>
              <w:rPr>
                <w:rFonts w:ascii="Times New Roman" w:cs="Times New Roman" w:eastAsia="Times New Roman" w:hAnsi="Times New Roman"/>
                <w:sz w:val="18"/>
                <w:szCs w:val="18"/>
              </w:rPr>
              <w:t xml:space="preserve">E7-046</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III.2 e III.2.1-III.2.3 (PDF p. 26-28); Edital 3.1 (p. 12-13); demais documentos (sem exame do parcelamento)</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Lote único (coleta, logística fluvial, remediação GAC, CTR/aterro, RSS) sem justificativa de não parcelamento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objeto reúne em um único contrato coleta e transporte, logística fluvial no Baixo Madeira, remediação de passivos pelo rito GAC, implantação e operação da CTR e do aterro e tratamento de RSS. Nenhum documento do pacote examina a viabilidade técnica e econômica do parcelamento nem seus efeitos sobre a competição (busca por 'parcelamento' e 'lote' sem resultado pertinente). A Lei 14.133, aplicável subsidiariamente às PPPs, exige considerar o parcelamento e justificar a opção. Contra-argumento provável: integração da cadeia e economia de escopo do manejo de RSU.</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lote único favorece grupos com capacidade de executar coleta, logística fluvial, remediação, CTR/aterro e RSS ao mesmo tempo. Levantar ou não depende da escala e da estratégia do grupo.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C-041</w:t>
            </w:r>
          </w:p>
          <w:p>
            <w:pPr>
              <w:spacing w:after="40" w:line="240"/>
              <w:jc w:val="left"/>
            </w:pPr>
            <w:r>
              <w:rPr>
                <w:rFonts w:ascii="Times New Roman" w:cs="Times New Roman" w:eastAsia="Times New Roman" w:hAnsi="Times New Roman"/>
                <w:sz w:val="18"/>
                <w:szCs w:val="18"/>
              </w:rPr>
              <w:t xml:space="preserve">E1-037, E2-012, E7-042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1.1.9 (PDF p. 7), 3.1, iii (p. 12), 3.1.2 e 3.1.2.2 (p. 13-14); Caderno Tabela 2, termo RSS (p. 8); Contrato cl. 18.2, i, e 18.2.2 (p. 42); P7 II.9 e II.10 (p. 20-21); P1 VI (p. 59)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Universo de RSS custeado pela contraprestação indefinido; RSS privado de recebimento compulsório</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O Edital exclui do objeto os RSS de geradores 'não abrangidos pela coleta pública', sem dizer quais geradores estão abrangidos; o Caderno limita o RSS do objeto às 'unidades municipais atendidas', e o P1 (p. 59) se refere aos RSS 'gerados pelas unidades da prefeitura'. Não há cadastro ou quantitativo das unidades geradoras abrangidas. O Edital (3.1.2) obriga a concessionária a receber e tratar RSS de geradores privados, invocando 'monopólio dos serviços públicos de tratamento térmico de RSS', mediante tarifa especial fixada pela ARDPV como receita acessória (Contrato 18.2.2), sem dimensionamento da capacidade de tratamento para essa demanda. A legislação atribui ao gerador o gerenciamento dos seus RSS.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Cadastro das unidades geradoras públicas abrangidas e massa de RSS considerada no P3/P6; existência de alternativa privada de tratamento (o P1, p. 88, refere incinerador particular em uso).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obrigação de receber RSS de geradores privados, com tarifa especial e exclusividade de fato, cria receita acessória cativa e pouco evidente para quem tiver capacidade de tratamento. Suscitar a delimitação pode eliminar essa receita.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C-044</w:t>
            </w:r>
          </w:p>
          <w:p>
            <w:pPr>
              <w:spacing w:after="40" w:line="240"/>
              <w:jc w:val="left"/>
            </w:pPr>
            <w:r>
              <w:rPr>
                <w:rFonts w:ascii="Times New Roman" w:cs="Times New Roman" w:eastAsia="Times New Roman" w:hAnsi="Times New Roman"/>
                <w:sz w:val="18"/>
                <w:szCs w:val="18"/>
              </w:rPr>
              <w:t xml:space="preserve">E5-082, E7-041</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II.10 (PDF p. 21); P1 V.3 (p. 58) e VI (p. 59 e 61); Contrato cl. 18.2, i (p. 42); Edital 3.1.1 (p. 13)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Grandes geradores: universo excluído da coleta pública indefinido e não quantificado</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Segundo o P7, o Decreto Municipal n.º 15.603/2018 define grandes geradores a partir de 100 L/dia e veda a coleta pública acima de 200 L/dia; o P7 afirma que grandes geradores estão fora do escopo sem tratar da faixa entre 100 e 200 L/dia, e informa que o decreto regulamentava a LC n.º 199/2004, substituída pela LC n.º 878/2021, sem verificar sua vigência. O P1 afirma, em capítulo conceitual (p. 59), caber ao Poder Concedente a gestão de 'todos esses resíduos' e, na p. 61, atribui ao gerador os grandes geradores. Os estudos não quantificam os grandes geradores nem dizem se a massa hoje destinada ao Ecoparque os inclui; o Contrato (18.2, i) trata seu atendimento como receita acessória.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Vigência do Decreto Municipal n.º 15.603/2018 após a LC Municipal n.º 878/2021; cadastro e quantificação de grandes geradores; composição da massa pesada no Ecoparque.</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Grandes geradores formam mercado de receita acessória não dimensionado nos estudos; a assimetria informacional favorece quem já conhece a demanda local.</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C-045</w:t>
            </w:r>
          </w:p>
          <w:p>
            <w:pPr>
              <w:spacing w:after="40" w:line="240"/>
              <w:jc w:val="left"/>
            </w:pPr>
            <w:r>
              <w:rPr>
                <w:rFonts w:ascii="Times New Roman" w:cs="Times New Roman" w:eastAsia="Times New Roman" w:hAnsi="Times New Roman"/>
                <w:sz w:val="18"/>
                <w:szCs w:val="18"/>
              </w:rPr>
              <w:t xml:space="preserve">E5-083</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P4 VII.1 (PDF p. 30)</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Resíduos sujeitos a logística reversa manejados pelo sistema municipal sem previsão de remuneração</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O P4 afirma que o sistema municipal absorve resíduos de logística reversa e recomenda articulação estadual, sem tratar da remuneração do titular — ou da concessionária — quando assume atividades de fabricantes e importadores por acordo setorial ou termo de compromisso. Edital e Contrato não disciplinam o tema.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Existência de acordos setoriais ou termos de compromisso aplicáveis ao Município e volume de resíduos de logística reversa recebidos.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Possível fonte de receita (remuneração por acordo setorial) não evidente nos documentos.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bl>
    <w:p>
      <w:pPr>
        <w:pStyle w:val="Heading2"/>
        <w:keepNext/>
        <w:spacing w:after="120" w:before="240" w:line="360"/>
      </w:pPr>
      <w:r>
        <w:rPr>
          <w:rFonts w:ascii="Times New Roman" w:cs="Times New Roman" w:eastAsia="Times New Roman" w:hAnsi="Times New Roman"/>
          <w:b/>
          <w:bCs/>
          <w:sz w:val="26"/>
          <w:szCs w:val="26"/>
        </w:rPr>
        <w:t xml:space="preserve">Licenciamento e passivos ambientais (3)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Ponto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Por que reservar / decisão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Tipo</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C-060</w:t>
            </w:r>
          </w:p>
          <w:p>
            <w:pPr>
              <w:spacing w:after="40" w:line="240"/>
              <w:jc w:val="left"/>
            </w:pPr>
            <w:r>
              <w:rPr>
                <w:rFonts w:ascii="Times New Roman" w:cs="Times New Roman" w:eastAsia="Times New Roman" w:hAnsi="Times New Roman"/>
                <w:sz w:val="18"/>
                <w:szCs w:val="18"/>
              </w:rPr>
              <w:t xml:space="preserve">E2-069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I e II.1 (PDF p. 6); Edital 2.11.2 (p. 12) e 3.1.3 (p. 14); Contrato cl. 8.8 (p. 19-20)</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Natureza do Anexo III ambígua: 'orientações que poderão auxiliar' x 'obrigações editalícias verificáveis'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Anexo III se descreve ao mesmo tempo como diretrizes que 'deverão orientar', orientações que 'poderão auxiliar' e 'obrigações editalícias verificáveis'. O Edital o faz prevalecer sobre o EVTEA (2.11.2) e incorpora ao objeto suas Cláusulas Sociais e Programas Ambientais (3.1.3). Não está claro quais itens (compostagem de 80-120 t/dia, PA-09, recomendações 'incorporadas como diretrizes' em XIV.3) são vinculantes.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redação facultativa permite sustentar a inexigibilidade das diretrizes de maior custo.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C-062</w:t>
            </w:r>
          </w:p>
          <w:p>
            <w:pPr>
              <w:spacing w:after="40" w:line="240"/>
              <w:jc w:val="left"/>
            </w:pPr>
            <w:r>
              <w:rPr>
                <w:rFonts w:ascii="Times New Roman" w:cs="Times New Roman" w:eastAsia="Times New Roman" w:hAnsi="Times New Roman"/>
                <w:sz w:val="18"/>
                <w:szCs w:val="18"/>
              </w:rPr>
              <w:t xml:space="preserve">E3-047, E2-077, E5-080</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10.9 (PDF p. 30); Anexo III Tabela 8, linha 'Disposição final — Ecoparque/Aterro Jirau' (p. 16) e PA-03 (p. 19); P4 PA-03 (Tabela 9, p. 26) e Tabela 6 (p. 20); P2 Tabela 16, item 4.5 (p. 46)</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Obrigações ambientais sobre o Ecoparque (condicionantes e renovação da LAO; controle de biogás), aterro privado de terceiro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Ecoparque pertence a terceiro (LAO em nome de CTR Porto Velho S/A) e é solução de destinação transitória nos Anos 1 a 4 da modelagem, enquanto o Contrato exige aterro próprio na Sede (10.13). O Contrato 10.9 atribui à concessionária as condicionantes e a renovação da LAO de bem alheio por todo o prazo. O Anexo III (Tabela 8) prevê drenos e flare em M24 para 'Ecoparque/Aterro Jirau', e o P4 (PA-03) inclui expressamente o Ecoparque, embora o PA-03 do Anexo III não o mencione. Não há instrumento de acesso nem custo modelado, e o potencial de '4.851 kWh/dia no Ano 1' pressupõe aterro em operação antes da implantação prevista da CTR.</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Pode favorecer licitante ligado ao Ecoparque; a conveniência de suscitar depende da relação do grupo com esse aterro. Falta o Contrato n.º 042/PGM/2023.</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C-082</w:t>
            </w:r>
          </w:p>
          <w:p>
            <w:pPr>
              <w:spacing w:after="40" w:line="240"/>
              <w:jc w:val="left"/>
            </w:pPr>
            <w:r>
              <w:rPr>
                <w:rFonts w:ascii="Times New Roman" w:cs="Times New Roman" w:eastAsia="Times New Roman" w:hAnsi="Times New Roman"/>
                <w:sz w:val="18"/>
                <w:szCs w:val="18"/>
              </w:rPr>
              <w:t xml:space="preserve">E3-080</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18.2, alíneas e, g e h (PDF p. 42), 18.3 e 10.13.5.4 (p. 32)</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Receitas acessórias com incineração, resíduos Classe I e efluentes industriais em bens reversíveis destinados a RSU</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O rol de receitas acessórias autoriza atividades de incineração com geração de energia, tratamento de resíduos perigosos e de efluentes industriais em instalações reversíveis destinadas a RSU. A recuperação energética depende de comprovação de viabilidade técnica e ambiental e de programa de monitoramento aprovado, e o tratamento de Classe I exige licenciamento específico, não previsto para as unidades da CTR.</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Compatibilidade das licenças a serem obtidas para a CTR com as atividades acessórias pretendidas.</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Oportunidade de receita acessória não evidente nos estudos.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bl>
    <w:p>
      <w:pPr>
        <w:pStyle w:val="Heading2"/>
        <w:keepNext/>
        <w:spacing w:after="120" w:before="240" w:line="360"/>
      </w:pPr>
      <w:r>
        <w:rPr>
          <w:rFonts w:ascii="Times New Roman" w:cs="Times New Roman" w:eastAsia="Times New Roman" w:hAnsi="Times New Roman"/>
          <w:b/>
          <w:bCs/>
          <w:sz w:val="26"/>
          <w:szCs w:val="26"/>
        </w:rPr>
        <w:t xml:space="preserve">Modelagem econômico-financeira (6)</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Ponto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Por que reservar / decisão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Tipo</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C-087</w:t>
            </w:r>
          </w:p>
          <w:p>
            <w:pPr>
              <w:spacing w:after="40" w:line="240"/>
              <w:jc w:val="left"/>
            </w:pPr>
            <w:r>
              <w:rPr>
                <w:rFonts w:ascii="Times New Roman" w:cs="Times New Roman" w:eastAsia="Times New Roman" w:hAnsi="Times New Roman"/>
                <w:sz w:val="18"/>
                <w:szCs w:val="18"/>
              </w:rPr>
              <w:t xml:space="preserve">E3-051, E4-006</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15.6.1, 15.6.3 e 15.6.4 (PDF p. 38) × P6 item V.4 e Tabela 14 (p. 46) × Edital 5.1 (p. 15) e 6.1 (p. 15)</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Fluxo de pagamentos do Contrato não reproduz o fluxo do P6 que gerou o Valor Estimado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P6 modela 357 pagamentos (3 meses sem pagamento) e Parcela B integral desde o primeiro pagamento; o Valor Estimado reproduz esse fluxo. O Contrato prevê pagamento desde o 1.º mês da Etapa de Operação, nega a existência de carência ou diferimento e reduz a Parcela B no 1.º ano. Sem o deslocamento, o mesmo cálculo dá ≈ R$ 2.329.323.425 (calculado). Não está definido se os 3 meses do P6 correspondem ao período entre a assinatura e a Ordem de Início (o prazo de 30 anos conta da assinatura, Edital 6.1) ou a meses de operação sem pagamento.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Se o Contrato pagar desde o 1.º mês de operação valores superiores aos do fluxo modelado, o teto teria folga em favor da concessionária; suscitar a contradição tende a alinhar o pagamento ao fluxo do P6.</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C-098</w:t>
            </w:r>
          </w:p>
          <w:p>
            <w:pPr>
              <w:spacing w:after="40" w:line="240"/>
              <w:jc w:val="left"/>
            </w:pPr>
            <w:r>
              <w:rPr>
                <w:rFonts w:ascii="Times New Roman" w:cs="Times New Roman" w:eastAsia="Times New Roman" w:hAnsi="Times New Roman"/>
                <w:sz w:val="18"/>
                <w:szCs w:val="18"/>
              </w:rPr>
              <w:t xml:space="preserve">E2-017, E6-031, E4-056</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Tabela 28 (PDF p. 33) e Tabelas 23–24 (p. 26–27); P2 Tabela 15, grupo 4 (p. 44), V.5 (p. 36) e VI.1 (p. 41); P6 II.2 (p. 13), Tabela 7 item 4.1 (p. 39–40) e p. 47; Edital 3.1, viii (p. 13)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CTR em verba única: equipamentos da UVR, CDR, autoclave, compostagem, balança, lixiviado e gases fora do CAPEX</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objeto (Edital 3.1, viii) e o Caderno exigem triagem mecanizada, linha de CDR, autoclave, pátio de compostagem, balança, tratamento de lixiviado e drenagem/queima de gases. P2 e P6 orçam a CTR em uma linha de "construção" (R$ 55,0 mi no P2; R$ 39,6 mi no P6, descrita como "construção civil") mais frota de terraplenagem e aterro, sem itens para esteiras, separadores ópticos/magnéticos, prensas, trituração e separação de PVC do CDR, autoclave ou equipamentos de compostagem. O P6 descreve a linha de CDR, mas não estima produção (t/ano). O Edital (3.1) restringe as obrigações de investimento às especificadas e quantificadas nos anexos e no EVTEA.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Pelo Edital 3.1/3.1.4, investimento não especificado no EVTEA gera reequilíbrio (E1-040, G3): a omissão pode sustentar pleito futuro; por outro lado, quem orçar os itens fica em desvantagem de preço frente a quem seguir o EVTEA. A mesma consideração pode valer para as demais omissões de CAPEX deste grupo.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C-127</w:t>
            </w:r>
          </w:p>
          <w:p>
            <w:pPr>
              <w:spacing w:after="40" w:line="240"/>
              <w:jc w:val="left"/>
            </w:pPr>
            <w:r>
              <w:rPr>
                <w:rFonts w:ascii="Times New Roman" w:cs="Times New Roman" w:eastAsia="Times New Roman" w:hAnsi="Times New Roman"/>
                <w:sz w:val="18"/>
                <w:szCs w:val="18"/>
              </w:rPr>
              <w:t xml:space="preserve">E5-003, E6-010, E5-004, E5-031</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P1 Sumário (PDF p. 7), III.6 e Tabela 3 (p. 25–26) e VII.1 (p. 65); P2 Tabela 14 (p. 37); P3 Tabela 3 (p. 13) e IV.1 (p. 15); P6 Tabela 3 (p. 33); Matriz TO-01 (p. 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Geração per capita incoerente: 1,2 / 0,75 / 0,97 kg/hab.dia e RDO (0,84) &gt; RSU (0,75); 0,75 adotado sem reconciliação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P1 traz três valores de geração per capita: 1,2 (sumário, "superior à média nacional"), 0,75 (SINISA, "próxima da média nacional") e 0,97 (dados municipais de out–dez/2025). Na mesma tabela, o RDO (0,84) supera o RSU (0,75), embora seja subconjunto dele; P2 e P6 adotam RDO de 0,67. P2, P3, P6 e o Caderno usam 0,75 sem série histórica de pesagens nem reconciliação. Os dados SINISA são autodeclarados e o próprio P1 registra situações de campo (queima, descarte em várzeas) incompatíveis com indicadores de 0% de disposição inadequada e 0% de coleta rural. A projeção do P3 é a referência da banda de demanda de ±10% da Matriz (TO-01).</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Se a geração real superar a projeção do P3 em mais de 10% por 6 meses, a Matriz (TO-01) prevê reequilíbrio: subestimar a base de demanda pode favorecer a concessionária. Observação do extrator E6: 11.060 t/mês (P1) × 12 ≈ 132,7 mil t/ano, próximo da projeção da Sede para 2027 (131,2 mil t) com população corrigida.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C-143</w:t>
            </w:r>
          </w:p>
          <w:p>
            <w:pPr>
              <w:spacing w:after="40" w:line="240"/>
              <w:jc w:val="left"/>
            </w:pPr>
            <w:r>
              <w:rPr>
                <w:rFonts w:ascii="Times New Roman" w:cs="Times New Roman" w:eastAsia="Times New Roman" w:hAnsi="Times New Roman"/>
                <w:sz w:val="18"/>
                <w:szCs w:val="18"/>
              </w:rPr>
              <w:t xml:space="preserve">E4-030, E5-011, E6-054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Tabela 9 (PDF p. 43) e Tabela 5 (p. 34); P2 Tabela 16, item 4.5 (p. 46) e III.2.3.1 (p. 13); P1 VII.2.4 (p. 84–88); Matriz TO-20 (p. 17)</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Destinação transitória no Ecoparque a ≈ R$ 12/t, sem preço do contrato vigente, até o Ano 4 (LAO até 10/2028)</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O modelo lança R$ 1,76 mi/ano nos Anos 1–2 e R$ 704 mil nos Anos 3–4; sobre o residual de 142.379 t de 2027 (P6 Tab. 5), isso equivale a ≈ R$ 12/t (cálculo). O P1 não informa o preço unitário do Contrato 042/PGM/2023 (empreitada por preço unitário), e não há memória que indique se o valor cobre toda a massa ou só parte. O uso até o Ano 4 ultrapassa a LAO do Ecoparque (válida até 09/10/2028), risco que a Matriz (TO-20) trata como compartilhado com reequilíbrio "parcial". Até a CTR operar, a concessionária depende de aterro privado de terceiro (LAO em nome de CTR PORTO VELHO S/A; P1 p. 85).</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Preço unitário vigente do Contrato 042/PGM/2023, massa a destinar por ano ao Ecoparque e capacidade remanescente do aterro.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custo e a dependência do Ecoparque afetam licitantes de modo distinto conforme controlem ou não aterro licenciado na região; levantar ou não o ponto depende da posição comercial do grupo em relação ao Ecoparque e a alternativas de destinação.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C-144</w:t>
            </w:r>
          </w:p>
          <w:p>
            <w:pPr>
              <w:spacing w:after="40" w:line="240"/>
              <w:jc w:val="left"/>
            </w:pPr>
            <w:r>
              <w:rPr>
                <w:rFonts w:ascii="Times New Roman" w:cs="Times New Roman" w:eastAsia="Times New Roman" w:hAnsi="Times New Roman"/>
                <w:sz w:val="18"/>
                <w:szCs w:val="18"/>
              </w:rPr>
              <w:t xml:space="preserve">E4-040</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II.5 (PDF p. 15), III.13–III.16 (p. 24–27), IV.6 (p. 31) e Figura 1 (p. 32)</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Kd (IPCA + 11,42%) com "taxa do agente" arbitrada e spread regional distinto das fontes citadas no P6</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O Kd compõe TLP 8,21%, taxa BNDES 0,95% e 2,00% de "taxa do agente". O P6 diz que a remuneração do agente foi tratada por faixa de sensibilidade, mas adota 2,00%, e usa 0,95% como taxa para a região Norte, embora o texto indique 0,75% (bens de capital no Norte) ou 1,25% (caminhões para grande empresa). O mesmo P6 descreve fontes mais longas e de menor custo (FINEM com spread de 0,9%, debêntures incentivadas, fundos constitucionais com 34 anos e 8 de carência) que não entram no modelo. O rótulo "nominal" para taxa descrita como real é erro material.</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Justificativa e sensibilidade da taxa do agente e do spread regional; condições vigentes das linhas citadas na data-base.</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Kd acima das condições de mercado eleva WACC e CMM, criando margem para licitante com funding mais barato; impugnar tende a reduzir o teto.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C-145</w:t>
            </w:r>
          </w:p>
          <w:p>
            <w:pPr>
              <w:spacing w:after="40" w:line="240"/>
              <w:jc w:val="left"/>
            </w:pPr>
            <w:r>
              <w:rPr>
                <w:rFonts w:ascii="Times New Roman" w:cs="Times New Roman" w:eastAsia="Times New Roman" w:hAnsi="Times New Roman"/>
                <w:sz w:val="18"/>
                <w:szCs w:val="18"/>
              </w:rPr>
              <w:t xml:space="preserve">E4-041</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IV.1–IV.5 (PDF p. 28–30), nota 41 e Figura 1 (p. 32); Tabela 15 (p. 50)</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Ke real de 17,76% com janelas heterogêneas e dado proprietário (Bloomberg) não replicável</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Taxa livre de risco e prêmio de mercado usam médias de 2002–2025, o risco-país vem de série Bloomberg desde 2014 e o beta é setorial dos EUA. O P6 cita a metodologia de cálculo do WACC do Tesouro (2018), mas não demonstra aderência às janelas e fontes dessa metodologia. O resultado (Ke real 17,76%; WACC real 11,63%) define diretamente a CMM, porque o modelo calibra TIR = WACC.</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Parâmetros da metodologia do Tesouro na data-base e acesso aos dados utilizados (série CDS).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Premissas de Ke elevadas aumentam o teto em benefício de licitantes com custo de capital menor.</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bl>
    <w:p>
      <w:pPr>
        <w:pStyle w:val="Heading2"/>
        <w:keepNext/>
        <w:spacing w:after="120" w:before="240" w:line="360"/>
      </w:pPr>
      <w:r>
        <w:rPr>
          <w:rFonts w:ascii="Times New Roman" w:cs="Times New Roman" w:eastAsia="Times New Roman" w:hAnsi="Times New Roman"/>
          <w:b/>
          <w:bCs/>
          <w:sz w:val="26"/>
          <w:szCs w:val="26"/>
        </w:rPr>
        <w:t xml:space="preserve">Remuneração, desempenho e reajuste (11)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Ponto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Por que reservar / decisão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Tipo</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C-157</w:t>
            </w:r>
          </w:p>
          <w:p>
            <w:pPr>
              <w:spacing w:after="40" w:line="240"/>
              <w:jc w:val="left"/>
            </w:pPr>
            <w:r>
              <w:rPr>
                <w:rFonts w:ascii="Times New Roman" w:cs="Times New Roman" w:eastAsia="Times New Roman" w:hAnsi="Times New Roman"/>
                <w:sz w:val="18"/>
                <w:szCs w:val="18"/>
              </w:rPr>
              <w:t xml:space="preserve">E4-008, E2-005, E3-049, E7-033</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V.4 (PDF p. 46–48) × Contrato cl. 15.6.2 e 15.6.4 (p. 38) × Caderno XI.6 (p. 63–64) × P7 III.6.1 (p. 32)</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Ramp-up da Parcela A com quatro regras: P6 (60/80/100%), Contrato (temporal), Caderno (8 marcos de aceite), P7 (sem escalonamento)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P6 fixa 60%/80%/100% por ano, justificado pela operação da CTR e do Jirau. O Contrato adota escalonamento cronológico (reduzido nos Anos 1–2, integral a partir do 3.º) justificado pela "avaliação da condição real dos ativos", sem percentuais nem marcos. O Caderno condiciona a Parcela A a oito marcos de entrega e aceite (frota, transbordos, sistemas, operação plena, reposição do Ano 25), sem CTR, Jirau, Vila Princesa ou incinerador, remete os percentuais ao Contrato e, na falta, à proposta da concessionária. O P7 afirma que o desenho dispensa escalonamento inicial. São regras incompatíveis para o mesmo pagamento.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No Contrato, a Parcela A cresce por decurso de tempo e não por aceite de ativos, o que favorece a concessionária; suscitar a contradição tende a prevalecer a regra de marcos do Caderno.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C-158</w:t>
            </w:r>
          </w:p>
          <w:p>
            <w:pPr>
              <w:spacing w:after="40" w:line="240"/>
              <w:jc w:val="left"/>
            </w:pPr>
            <w:r>
              <w:rPr>
                <w:rFonts w:ascii="Times New Roman" w:cs="Times New Roman" w:eastAsia="Times New Roman" w:hAnsi="Times New Roman"/>
                <w:sz w:val="18"/>
                <w:szCs w:val="18"/>
              </w:rPr>
              <w:t xml:space="preserve">E3-048, E4-009, E6-033</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15.5.2.1, 15.6.1 e 15.6.2 (PDF p. 38); P6 V.4 (p. 46–48), V.5 (p. 50) e Tabela 7, item 4.1.1 (p. 39); P2 Tabela 15, item 4.1.1 (p. 44); Anexo D Tabelas 3 e 5, IE1 (p. 10 e 14)</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Parcela A integral a partir do Ano 3 sem vínculo à disponibilização dos ativos (CTR plena no Ano 4; 3.ª fase no Ano 8)</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Parcela A remunera investimentos (CTR, Jirau, incinerador, transbordos) e é devida desde o 1.º mês de operação e integralmente a partir do Ano 3, por critério temporal. O P6 justifica os 100% no Ano 3 pela operação da CTR e do Jirau, mas afirma que a CTR só terá configuração plena no Ano 4, e P2/P6 lançam 25% da obra da CTR no Ano 4 e 25% no Ano 8 (o IE1 do Anexo D mede a CTR a 75% até o Ano 7). Há divergência interna no P6: a p. 47 baseia o ramp-up no CAPEX dos 5 primeiros anos; a p. 48, nos investimentos do Ano 2. A contraprestação deve ser precedida da disponibilização do serviço ou limitada à parcela fruível.</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Antecipa recebíveis de CAPEX em relação à entrega dos ativos, em favor da concessionária.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C-160</w:t>
            </w:r>
          </w:p>
          <w:p>
            <w:pPr>
              <w:spacing w:after="40" w:line="240"/>
              <w:jc w:val="left"/>
            </w:pPr>
            <w:r>
              <w:rPr>
                <w:rFonts w:ascii="Times New Roman" w:cs="Times New Roman" w:eastAsia="Times New Roman" w:hAnsi="Times New Roman"/>
                <w:sz w:val="18"/>
                <w:szCs w:val="18"/>
              </w:rPr>
              <w:t xml:space="preserve">E3-025, E7-049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5.1.2 (PDF p. 14); P7 III.8 (p. 35); Matriz RJ-05</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Contraprestação paga pelo cronograma original mesmo sem disponibilização do serviço por atraso do Poder Concedente</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cláusula assegura o fluxo da contraprestação segundo o cronograma original mesmo que os serviços não possam ser prestados por atraso na entrega de bens pelo Poder Concedente; o P7 a descreve sem ressalvas. A contraprestação deve ser precedida da disponibilização do serviço (ou limitada à parcela fruível); a compensação de atraso imputável ao Poder Concedente seria matéria de reequilíbrio ou indenização.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Assimetria favorável à concessionária que a impugnação poderia eliminar.</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C-163</w:t>
            </w:r>
          </w:p>
          <w:p>
            <w:pPr>
              <w:spacing w:after="40" w:line="240"/>
              <w:jc w:val="left"/>
            </w:pPr>
            <w:r>
              <w:rPr>
                <w:rFonts w:ascii="Times New Roman" w:cs="Times New Roman" w:eastAsia="Times New Roman" w:hAnsi="Times New Roman"/>
                <w:sz w:val="18"/>
                <w:szCs w:val="18"/>
              </w:rPr>
              <w:t xml:space="preserve">E2-051, E3-054, E7-057</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15.5, 15.5.1 (PDF p. 37–38) e 10.2.33.1 (p. 26); Anexo D seção VI (p. 21); P7 III.6.2 (p. 32)</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Sem função de conversão do IQS em desconto nem parcela sujeita; teto de 10% "referencial"; remissão circular</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Contrato remete o valor definitivo do desconto ao Anexo D; o Anexo D remete à "parcela definida no contrato". Nenhum dos dois define a curva ou as faixas que convertem a nota do IQS em desconto, nem se o desconto incide sobre a CME inteira ou só sobre a Parcela A ou a B (o P7 sugere aplicação diferenciada). O teto de 10% é declarado "parâmetro de referência", o que deixa indefinido o desconto máximo, e a cl. 10.2.33.1 soma ao mesmo teto os descontos das cláusulas sociais. O mecanismo de pagamento por desempenho fica inoperável.</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Sem regra de conversão, a aplicação de qualquer desconto é contestável, o que favorece a concessionária; a impugnação levaria à definição da regra.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C-170</w:t>
            </w:r>
          </w:p>
          <w:p>
            <w:pPr>
              <w:spacing w:after="40" w:line="240"/>
              <w:jc w:val="left"/>
            </w:pPr>
            <w:r>
              <w:rPr>
                <w:rFonts w:ascii="Times New Roman" w:cs="Times New Roman" w:eastAsia="Times New Roman" w:hAnsi="Times New Roman"/>
                <w:sz w:val="18"/>
                <w:szCs w:val="18"/>
              </w:rPr>
              <w:t xml:space="preserve">E2-058</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D Tabela 5, dimensão Estrutural (PDF p. 14) e V.1.4 (p. 19–20); Tabela 2, SA-01 (p. 9); Anexo III Tabela 10 (p. 18)</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Indicadores estruturais (20% do IQS) permanecem em 100% após as obras e medem etapas de projetos a aprovar</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Concluídas as obras (CTR no Ano 8; demais nos Anos 1 a 4), os seis indicadores estruturais ficam em 100% até o Ano 30 sem medir desempenho. Em vários casos o denominador são etapas previstas em projeto ainda a aprovar, elaborado pela própria concessionária. O monitoramento de 10 anos da Vila Princesa não é medido.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20% do IQS garantidos a partir da conclusão das obras: assimetria favorável à concessionária.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C-174</w:t>
            </w:r>
          </w:p>
          <w:p>
            <w:pPr>
              <w:spacing w:after="40" w:line="240"/>
              <w:jc w:val="left"/>
            </w:pPr>
            <w:r>
              <w:rPr>
                <w:rFonts w:ascii="Times New Roman" w:cs="Times New Roman" w:eastAsia="Times New Roman" w:hAnsi="Times New Roman"/>
                <w:sz w:val="18"/>
                <w:szCs w:val="18"/>
              </w:rPr>
              <w:t xml:space="preserve">E3-055, E2-064, E7-057</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15.4 e 15.4.1 (PDF p. 37) e 41.3 (p. 78); Anexo D VI.1.1, §§ 3.º e 4.º, e VI.1.2 (p. 21); P7 VII.6 (p. 51) × III.6.2 (p. 32) e II.5 (p. 18)</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Efeito do IQD no exercício seguinte: último ano sem efeito, 1.º ciclo sem desconto e início da apuração indefinido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Como o efeito é sempre no exercício seguinte, o desempenho do último Ano de Desempenho não tem como repercutir na remuneração, e não há regra de compensação (garantia, indenização). No início, há até ~14 meses sem desconto, e a aglutinação do primeiro período fica a critério do Poder Concedente, sem parâmetro; sem VI contratado, o primeiro ciclo pode ficar sem efeito (41.3). O Contrato (15.4) inicia a apuração "a partir do início da execução contratual"; o P7 descreve o mesmo termo inicial ora assim (p. 51), ora como "Etapa de Operação Definitiva" (p. 18 e 32).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defasagem reduz a exposição a descontos no primeiro e no último ciclo.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C-182</w:t>
            </w:r>
          </w:p>
          <w:p>
            <w:pPr>
              <w:spacing w:after="40" w:line="240"/>
              <w:jc w:val="left"/>
            </w:pPr>
            <w:r>
              <w:rPr>
                <w:rFonts w:ascii="Times New Roman" w:cs="Times New Roman" w:eastAsia="Times New Roman" w:hAnsi="Times New Roman"/>
                <w:sz w:val="18"/>
                <w:szCs w:val="18"/>
              </w:rPr>
              <w:t xml:space="preserve">E4-055, E6-060, E5-081</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II.2 (PDF p. 13) e V.5 (p. 48–50); P3 VII e VII.1 (p. 49–51); P4 IX (p. 36); Edital 3.1.2 (p. 13–14) e 3.1, viii; Contrato cl. 18.1–18.8 (p. 41–43)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Receitas acessórias não quantificadas nem consideradas no teto (RSS privado, gate fee, biogás, carbono, CDR)</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P6 remete a partilha ao próprio Caderno 6, que não a define, e o Contrato fixa 5% da receita bruta (18.5.1). P3, P4 e P6 listam RSS de geradores privados, gate fee de grandes geradores, biogás (4.851 kWh/dia), créditos de carbono e venda de CDR, sem volumes comercializáveis, preços, compradores ou mercados, e o P3 recomenda estudos adicionais antes de vinculação contratual, embora o Edital torne o CDR obrigatório. Fica sem quantificação o potencial de modicidade e sem base o percentual de 5%.</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Receita acessória não precificada no teto, com exclusividade de fato em RSS e partilha de 5%, é vantagem para quem a dimensionar melhor.</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C-183</w:t>
            </w:r>
          </w:p>
          <w:p>
            <w:pPr>
              <w:spacing w:after="40" w:line="240"/>
              <w:jc w:val="left"/>
            </w:pPr>
            <w:r>
              <w:rPr>
                <w:rFonts w:ascii="Times New Roman" w:cs="Times New Roman" w:eastAsia="Times New Roman" w:hAnsi="Times New Roman"/>
                <w:sz w:val="18"/>
                <w:szCs w:val="18"/>
              </w:rPr>
              <w:t xml:space="preserve">E1-038, E3-075</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3.1.2, parte final (PDF p. 13–14); Contrato cl. 18.2.2 e 18.2.2.1 (p. 42) e 18.2, i</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RSS e resíduos de geradores privados: receita cativa ("monopólio", tarifa especial) e, na falta, reequilíbrio pelo PC</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Edital exclui do objeto o RSS de geradores privados, mas obriga a concessionária a recebê-lo, mediante preço específico como receita acessória, invocando "monopólio" regional. O Contrato estende o regime a grandes geradores e a resíduos fora do escopo determinados pela ARDPV e assegura "tarifa especial" ou, se inviável, reequilíbrio a cargo do Poder Concedente. Geradores de RSS e grandes geradores respondem pelo gerenciamento de seus resíduos, e serviços prestados pelo titular devem ser remunerados por eles. Não está claro se essa receita foi considerada no P6 e no teto.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Fonte de receita cativa sem concorrência local declarada e garantia de remuneração (tarifa especial ou reequilíbrio) favoráveis à concessionária.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C-184</w:t>
            </w:r>
          </w:p>
          <w:p>
            <w:pPr>
              <w:spacing w:after="40" w:line="240"/>
              <w:jc w:val="left"/>
            </w:pPr>
            <w:r>
              <w:rPr>
                <w:rFonts w:ascii="Times New Roman" w:cs="Times New Roman" w:eastAsia="Times New Roman" w:hAnsi="Times New Roman"/>
                <w:sz w:val="18"/>
                <w:szCs w:val="18"/>
              </w:rPr>
              <w:t xml:space="preserve">E7-040, E6-062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II.6 (PDF p. 19) × II.10 (p. 21); P3 VII (p. 50); P6 p. 50; Contrato cl. 18.2, f, g, i, 18.5.1 (p. 42–43) e 10.13.5.4 (p. 32)</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Preço público de grandes geradores (LC 908/2022, art. 27) convertido em receita da concessionária, com 5% de partilha</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LC 908/2022 (art. 27) autoriza o Município a cobrar preço público de grandes geradores. O P7 transforma essa cobrança em receita acessória da concessionária, em regime negocial direto, com 5% compartilhados, usando a capacidade da CTR/aterro remunerada pela Parcela A (o P6 qualifica a CTR como "ativo subutilizado" nos anos iniciais). Os estudos não estimam volumes ou preços nem o efeito no consumo de vida útil do aterro (10.13.5.4), e não explicam como se evita dupla remuneração da mesma capacidade.</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Receita acessória não evidente para operador com estrutura comercial na região; compartilhamento reduzido.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C-186</w:t>
            </w:r>
          </w:p>
          <w:p>
            <w:pPr>
              <w:spacing w:after="40" w:line="240"/>
              <w:jc w:val="left"/>
            </w:pPr>
            <w:r>
              <w:rPr>
                <w:rFonts w:ascii="Times New Roman" w:cs="Times New Roman" w:eastAsia="Times New Roman" w:hAnsi="Times New Roman"/>
                <w:sz w:val="18"/>
                <w:szCs w:val="18"/>
              </w:rPr>
              <w:t xml:space="preserve">E3-079, E4-055</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18.5, 18.5.1 (PDF p. 43) e 18.10.10 (p. 45); P6 V.5 (p. 48–49)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Base do compartilhamento inconsistente (ganho econômico × receita bruta × receita líquida no biogás); 5% sem justificativa</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regra geral (18.5) fala em compartilhar "ganhos econômicos"; o percentual (18.5.1) incide sobre receita bruta; para o biogás (18.10.10), sobre receita líquida, deduzidos custos e amortização apurados pela própria concessionária. O P6 deixa a proporção "a definir" e não justifica os 5%.</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base líquida do biogás e o percentual de 5% favorecem a concessionária.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C-187</w:t>
            </w:r>
          </w:p>
          <w:p>
            <w:pPr>
              <w:spacing w:after="40" w:line="240"/>
              <w:jc w:val="left"/>
            </w:pPr>
            <w:r>
              <w:rPr>
                <w:rFonts w:ascii="Times New Roman" w:cs="Times New Roman" w:eastAsia="Times New Roman" w:hAnsi="Times New Roman"/>
                <w:sz w:val="18"/>
                <w:szCs w:val="18"/>
              </w:rPr>
              <w:t xml:space="preserve">E7-053</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18.2 e 18.3 a 18.3.3 (PDF p. 42–43) e 18.7; P7 III.7 (p. 34)</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Receitas acessórias em rol aberto, com autorização tácita por silêncio do Poder Concedente</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rol da cl. 18.2 já é amplo (inclui energia térmica por incineração, resíduos Classe I e efluentes industriais), e a cl. 18.3 admite qualquer outra atividade mediante comunicação, com objeção limitada a impacto comprovado no serviço e silêncio de 20 dias úteis valendo como autorização. As fontes de receitas alternativas devem constar do edital e do contrato. Não localizei base legal para anuência tácita do Poder Concedente nessa hipótese.</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Oportunidades de receita acessória não evidentes com baixo compartilhamento (5%).</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bl>
    <w:p>
      <w:pPr>
        <w:pStyle w:val="Heading2"/>
        <w:keepNext/>
        <w:spacing w:after="120" w:before="240" w:line="360"/>
      </w:pPr>
      <w:r>
        <w:rPr>
          <w:rFonts w:ascii="Times New Roman" w:cs="Times New Roman" w:eastAsia="Times New Roman" w:hAnsi="Times New Roman"/>
          <w:b/>
          <w:bCs/>
          <w:sz w:val="26"/>
          <w:szCs w:val="26"/>
        </w:rPr>
        <w:t xml:space="preserve">Riscos e garantias (32)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Ponto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Por que reservar / decisão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Tipo</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C-191</w:t>
            </w:r>
          </w:p>
          <w:p>
            <w:pPr>
              <w:spacing w:after="40" w:line="240"/>
              <w:jc w:val="left"/>
            </w:pPr>
            <w:r>
              <w:rPr>
                <w:rFonts w:ascii="Times New Roman" w:cs="Times New Roman" w:eastAsia="Times New Roman" w:hAnsi="Times New Roman"/>
                <w:sz w:val="18"/>
                <w:szCs w:val="18"/>
              </w:rPr>
              <w:t xml:space="preserve">E3-043, E5-051, DD-ext</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10.9 (PDF p. 30), 10.13 a 10.13.5 (p. 31–32); considerando v (p. 5–6); Matriz TO-20 (p. 17); P1 p. 85</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Aterro próprio e Ecoparque: único aterro licenciado da Sede é controlado por potencial licitante</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Contrato exige aterro próprio na Sede, em propriedade plena, com 30 anos de vida útil remanescente na reversão e risco integral de área e licenciamento. Na transição, a destinação depende do Ecoparque, e a cl. 10.9 ainda põe na concessionária a LAO desse aterro por todo o prazo. Pelos estudos, o Ecoparque é o único aterro licenciado da Sede (Anexo III V.1), com LAO em nome da CTR Porto Velho S/A até 09/10/2028. Pelas demonstrações da própria Orizon, a CTR Porto Velho S.A. é controlada pela Orizon (51%) desde jan/2023. Além disso, a LAI do mesmo empreendimento (triagem, compostagem, autoclave e ETE) está em nome da EcoRondônia Ambiental S/A, a concessionária do contrato anulado (P1 p. 85). Quem não detém o ativo precisa licenciar um aterro novo a tempo ou negociar com o detentor, enquanto o detentor dispensa as duas coisas.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Se o grupo não tiver relação com a Orizon ou a Ecofort, o ponto é núcleo de impugnação (e possivelmente de representação). Se tiver ou puder negociar acesso ao Ecoparque, é assimetria favorável a reservar. Decisão do advogado.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C-205</w:t>
            </w:r>
          </w:p>
          <w:p>
            <w:pPr>
              <w:spacing w:after="40" w:line="240"/>
              <w:jc w:val="left"/>
            </w:pPr>
            <w:r>
              <w:rPr>
                <w:rFonts w:ascii="Times New Roman" w:cs="Times New Roman" w:eastAsia="Times New Roman" w:hAnsi="Times New Roman"/>
                <w:sz w:val="18"/>
                <w:szCs w:val="18"/>
              </w:rPr>
              <w:t xml:space="preserve">E3-115</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15.8.6, 15.8.7 (PDF p. 40) e 32.5.1 (p. 69)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Suspensão imediata de investimentos por redução do fluxo da garantia, sem atraso de pagamento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cl. 15.8.6 confere a faculdade de suspender investimentos e atividades não essenciais após atraso superior a 90 dias. A cl. 15.8.7 permite a suspensão imediata quando o fluxo de receitas da garantia for interrompido ou reduzido a volume inferior a uma CME, ainda que não haja atraso no pagamento, e a cl. 32.5.1 permite suspender investimentos 60 dias após notificação de descumprimento do Poder Concedente; nas hipóteses de suspensão ficam afastados os descontos de IQD. A regra legal de suspensão pelo contratado pressupõe atraso de pagamento superior a dois meses.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Cláusula pró-concessionária: autoriza suspender investimentos sem inadimplemento efetivo e afasta descontos de desempenho. Impugná-la tende a eliminá-la.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C-207</w:t>
            </w:r>
          </w:p>
          <w:p>
            <w:pPr>
              <w:spacing w:after="40" w:line="240"/>
              <w:jc w:val="left"/>
            </w:pPr>
            <w:r>
              <w:rPr>
                <w:rFonts w:ascii="Times New Roman" w:cs="Times New Roman" w:eastAsia="Times New Roman" w:hAnsi="Times New Roman"/>
                <w:sz w:val="18"/>
                <w:szCs w:val="18"/>
              </w:rPr>
              <w:t xml:space="preserve">E1-048, E3-027, E4-071, E2-013, E5-047, E5-048, E6-029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6.3, iv, e 6.3.1 (PDF p. 16); Contrato cl. 5.1.1 e 5.1.1.1 (PDF p. 14); Matriz TO-05 (p. 7) e RJ-05 (p. 28-29); Caderno XI.4 (PDF p. 61-62); P2 V.5 (p. 36); Anexo III Tabela 3 (p. 9); P1 p. 62 e 84</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Área da CTR: estudos a localizam em área aparentemente municipal; Edital/Contrato põem a obtenção por conta e risco da concessionária; Matriz atribui ao PC</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Edital (6.3.1) e o Contrato (5.1.1.1) atribuem à concessionária, sem reequilíbrio, a obtenção das áreas que não sejam bens municipais ou 'expressamente previstos para desapropriação nos Anexos', mas nenhum anexo lista bens municipais a ceder (salvo incinerador e transbordo do Baixo Madeira) nem áreas para desapropriação. O P2 localiza a CTR com coordenadas em frente à Central de Triagem da Vila Princesa, o Anexo III a chama 'CTR-PV — Municipal — em implantação' e o P6 não orça terreno. A Matriz TO-05 atribui ao Poder Concedente a liberação de área e o licenciamento da CTR, e a RJ-05 limita o reequilíbrio às áreas de titularidade do Poder Concedente na data do Edital. Os estudos não informam titularidade, matrícula, dimensão nem a natureza dos 'entraves institucionais e jurídicos' que impediram a implantação da CTR municipal (P1 p. 84). Sobre a falta de custo de terreno no P6, ver E4-025 (MODELAGEM_ECONOMICA); sobre a LP, E1-009/E3-031 (LICENCIAMENTO_AMBIENTAL).</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alocação integral do risco fundiário à concessionária favorece licitante que já detenha área ou aterro licenciado em Porto Velho (o único identificado nos estudos é o Ecoparque). Por outro lado, a alocação de atraso na entrega de bens ao PC com fluência de pagamentos (Contrato 5.1.2) é assimetria favorável à concessionária. Levantar ou não depende da posição fundiária do grupo.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C-208</w:t>
            </w:r>
          </w:p>
          <w:p>
            <w:pPr>
              <w:spacing w:after="40" w:line="240"/>
              <w:jc w:val="left"/>
            </w:pPr>
            <w:r>
              <w:rPr>
                <w:rFonts w:ascii="Times New Roman" w:cs="Times New Roman" w:eastAsia="Times New Roman" w:hAnsi="Times New Roman"/>
                <w:sz w:val="18"/>
                <w:szCs w:val="18"/>
              </w:rPr>
              <w:t xml:space="preserve">E3-044, E6-029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10.13, 10.13.1 e 10.13.1.1 (PDF p. 31), 8.12 (p. 20) e 26.30 (p. 62) × Matriz TO-05 (p. 7) e TO-20 (p. 17); P2 V.5 (p. 36) e III.2.3.1 (p. 13); P3 V (p. 38-39); P1 p. 84-85</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Aterro na Sede (cl. 10.13): risco integral da concessionária × Matriz TO-20/TO-05 (área alternativa e licença como responsabilidade pública)</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cl. 10.13 obriga a concessionária a 'prover e disponibilizar' na Sede aterro licenciado, por qualquer forma (construção, compra de aterro existente, aquisição de participação societária), por sua conta e risco, sem reequilíbrio por indisponibilidade de área ou demora no licenciamento, e excepciona a regra geral de mora do licenciador (8.12, 26.30). A Matriz TO-20 classifica como 'Compartilhado' o risco de vida útil do Ecoparque, atribui ao poder público a definição de área alternativa e a licença e prevê reequilíbrio parcial; a TO-05 atribui ao Poder Concedente a área e o licenciamento da CTR. Os estudos (P2, P3) tratam o sítio da CTR como definido e municipal, e o P1 registra que a CTR municipal não foi implantada por entraves institucionais e jurídicos e aponta APP de igarapé adjacente (Anexo III p. 17). Sobre o efeito competitivo da obrigação, ver E3-043 (OBJETO_ESCOPO); sobre a exigência de propriedade plena, E3-045/E7-047.</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opção de 'aquisição de aterro existente e licenciado' na Sede favorece quem detenha ou possa adquirir aterro licenciado local. O único identificado nos estudos é o Ecoparque (LAO em nome de CTR PORTO VELHO S/A; LAI da EcoRondônia Ambiental S/A, associada pelo P1 p. 88 a outro grupo). Para licitante sem aterro local o ponto é de impugnação; a decisão depende da posição comercial do grupo.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C-210</w:t>
            </w:r>
          </w:p>
          <w:p>
            <w:pPr>
              <w:spacing w:after="40" w:line="240"/>
              <w:jc w:val="left"/>
            </w:pPr>
            <w:r>
              <w:rPr>
                <w:rFonts w:ascii="Times New Roman" w:cs="Times New Roman" w:eastAsia="Times New Roman" w:hAnsi="Times New Roman"/>
                <w:sz w:val="18"/>
                <w:szCs w:val="18"/>
              </w:rPr>
              <w:t xml:space="preserve">E7-048</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10.13.4, 10.13.5 a 10.13.5.4 (PDF p. 32); P7 XI.3.3 (PDF p. 69), IV.4 (p. 37) e IV.6 (p. 38); Matriz TO-02 e TO-20</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Aterro deve chegar à reversão com 30 anos de vida útil remanescente, sem indenização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concessionária deve entregar o aterro com capacidade remanescente para 30 anos após a reversão, aferida pela ARDPV, sob pena de executar ampliações às suas expensas (10.13.5.3), e os investimentos devem ser integralmente amortizados no prazo, sem indenização (10.13.4). Isso implica precificar na contraprestação de 30 anos capacidade para cerca de 60 anos de rejeitos. O P7 descreve a obrigação sem examinar sua coerência com a alocação do Jirau ao Poder Concedente (TO-02) e da vida útil do Ecoparque como risco compartilhado (TO-20). Sobre a ausência de dimensionamento e custo no P6, ver E3-046/E4-026/E6-028 (MODELAGEM_ECONOMICA).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Titular de aterro com grande capacidade remanescente em Porto Velho tem vantagem no atendimento da exigência; a decisão de impugnar depende da posição do grupo.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C-211</w:t>
            </w:r>
          </w:p>
          <w:p>
            <w:pPr>
              <w:spacing w:after="40" w:line="240"/>
              <w:jc w:val="left"/>
            </w:pPr>
            <w:r>
              <w:rPr>
                <w:rFonts w:ascii="Times New Roman" w:cs="Times New Roman" w:eastAsia="Times New Roman" w:hAnsi="Times New Roman"/>
                <w:sz w:val="18"/>
                <w:szCs w:val="18"/>
              </w:rPr>
              <w:t xml:space="preserve">E6-034, E4-076, E5-054, E3-033, E7-032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8.6.1.2 a 8.6.1.2.4 (PDF p. 18-19); P6 Tabela 7, item 7.1.1 e 7.2.1 (PDF p. 40) e texto (p. 35); P2 Tabela 15, itens 7.1.1 e 7.2.1 (PDF p. 45); Matriz SA-01 (p. 17-18); P7 IV.4 (p. 37)</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Teto do encargo GAC da Vila Princesa indefinido (R$ 4,2 / 10,5 / 11,3 mi; Anos 1-3 × 2-4; sem data-base)</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teto não tem valor expresso no Contrato e remete ao 'investimento previsto para o encerramento' na modelagem. Na modelagem há: (i) linha 7.1.1 'Lixão Vila Princesa — Eliminação do Passivo' com R$ 1,05 + 4,2 + 5,25 mi = R$ 10,5 mi, nos Anos 1-3 (P6 Tabela 7) ou 2-4 (P2 Tabela 15); (ii) linha 7.2.1 'Centro de Triagem' de R$ 0,8 mi, que leva o grupo 'Passivo Ambiental' a R$ 11,3 mi; (iii) o texto do P6 (p. 35), que cita R$ 4,2 mi no Ano 2 para o 'encerramento'. A leitura de R$ 5,25 mi feita por um dos extratores (E3-033) corresponde à última parcela anual, não a um total. A Lixeira já foi encerrada pela Portaria 109/SEMUSB/2023, e a cláusula fala em 'encerramento' enquanto o modelo fala em 'eliminação do passivo' e o teto em 'medidas de intervenção'. Não há data-base nem regra de atualização, e o P7 não quantifica o limite.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teto com excedente alocado ao PC é cláusula pró-concessionária, e a ambiguidade do valor-base permite sustentar a leitura mais baixa (R$ 4,2 mi), ampliando o excedente a cargo do PC. Impugnar a indefinição pode levar à fixação de valor e eliminar essa margem; por outro lado, a leitura mais alta (R$ 11,3 mi) aumenta a exposição da concessionária. Decisão do advogado.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C-213</w:t>
            </w:r>
          </w:p>
          <w:p>
            <w:pPr>
              <w:spacing w:after="40" w:line="240"/>
              <w:jc w:val="left"/>
            </w:pPr>
            <w:r>
              <w:rPr>
                <w:rFonts w:ascii="Times New Roman" w:cs="Times New Roman" w:eastAsia="Times New Roman" w:hAnsi="Times New Roman"/>
                <w:sz w:val="18"/>
                <w:szCs w:val="18"/>
              </w:rPr>
              <w:t xml:space="preserve">E4-075, E7-032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SA-01 e SA-02 (p. 17-19) × SA-05 (p. 20-21); Contrato cl. 8.6.1 a 8.6.1.2.4 (PDF p. 18-19) e 22.8 (p. 52); P7 IV.4 (PDF p. 37) × V.7 (p. 43)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Remediação do passivo histórico: risco da concessionária até o teto (SA-01/SA-02) × responsabilidade pública com reequilíbrio integral (SA-05)</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SA-01 e a SA-02 atribuem à concessionária a execução do rito GAC e da intervenção sobre a contaminação preexistente, remuneradas na contraprestação até o limite do EVTEA, com excedente ao Poder Concedente; o Contrato (8.6.1) segue esse modelo. A SA-05 afirma que a remediação de passivos anteriores à Ordem de Início é de responsabilidade pública e que sua eventual cessão enseja reequilíbrio integral. O P7 descreve o modelo do teto em IV.4 e, em V.7, afirma que a responsabilidade financeira pelos passivos históricos é exclusiva do Poder Concedente, sem a ressalva dos incisos (i) e (ii) da cl. 8.8.</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SA-05 e o P7 V.7 sustentam leitura de reequilíbrio integral dos custos de remediação, favorável à concessionária; impugnar a contradição tende a fixar o modelo do teto (SA-01) e eliminar essa leitura.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C-215</w:t>
            </w:r>
          </w:p>
          <w:p>
            <w:pPr>
              <w:spacing w:after="40" w:line="240"/>
              <w:jc w:val="left"/>
            </w:pPr>
            <w:r>
              <w:rPr>
                <w:rFonts w:ascii="Times New Roman" w:cs="Times New Roman" w:eastAsia="Times New Roman" w:hAnsi="Times New Roman"/>
                <w:sz w:val="18"/>
                <w:szCs w:val="18"/>
              </w:rPr>
              <w:t xml:space="preserve">E2-091, E5-060</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III Tabela 9 (PDF p. 16) e item XIV.2 (p. 33); P4 Tabela 7 (p. 21); Contrato cl. 8.6.1.1 e 8.6.4 (PDF p. 18-19); Caderno XI.4 (termo de entrega)</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Inventário de passivos 'antes do Dia 1' sem responsável, conteúdo ou efeito, e ausente dos documentos vinculantes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Contrato separa passivos pelo fato gerador anterior à Ordem de Início (8.6.1.1), com base em 'diagnósticos socioambientais' que só contêm avaliações preliminares. O Anexo III e o P4 mencionam um Inventário de Passivos Ambientais 'antes do Dia 1', mas não dizem quem o elabora, com que escopo (Centro de Triagem, ETR informal de São Carlos, Jirau AS1-AS5, Ecoparque) nem com que efeito probatório; o Edital, o Contrato, o Caderno e a Matriz não incorporam essa obrigação. A linha de corte entre passivo do Poder Concedente e da concessionária fica indefinida.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Se a concessionária elaborar o inventário (ou o termo de entrega), um registro amplo transfere passivos ao PC (Contrato 8.6.1 e 8.6.4). Impugnar a omissão pode levar o PC a elaborar ele próprio o inventário.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C-218</w:t>
            </w:r>
          </w:p>
          <w:p>
            <w:pPr>
              <w:spacing w:after="40" w:line="240"/>
              <w:jc w:val="left"/>
            </w:pPr>
            <w:r>
              <w:rPr>
                <w:rFonts w:ascii="Times New Roman" w:cs="Times New Roman" w:eastAsia="Times New Roman" w:hAnsi="Times New Roman"/>
                <w:sz w:val="18"/>
                <w:szCs w:val="18"/>
              </w:rPr>
              <w:t xml:space="preserve">E4-074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TO-14 (p. 13) × Caderno XI.4 (PDF p. 61-62) × Contrato cl. 10.3.10.1 a 10.3.10.4 (PDF p. 29); Anexo III Tabela 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Risco integral de reativar o incinerador público inoperante × proteção do Caderno contra defeitos preexistentes registrados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TO-14 atribui à concessionária, sem reequilíbrio, o risco de inoperância do incinerador municipal, inoperante desde a anulação do contrato anterior e sem laudo de condição nos documentos, com CAPEX de R$ 1,8 mi no P6. O Caderno (XI.4) afasta a responsabilidade da concessionária por 'defeitos ocultos ou inadequações preexistentes' registrados no termo de entrega. O objeto também prevê autoclave na CTR (rota de RSS tratada em E4-020/E5-066, OBJETO_ESCOPO).</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proteção do Caderno XI.4 (defeitos registrados no termo de entrega, lavrado após a assinatura) favorece a concessionária; eventual impugnação deve mirar a TO-14 sem atingir o XI.4.</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C-224</w:t>
            </w:r>
          </w:p>
          <w:p>
            <w:pPr>
              <w:spacing w:after="40" w:line="240"/>
              <w:jc w:val="left"/>
            </w:pPr>
            <w:r>
              <w:rPr>
                <w:rFonts w:ascii="Times New Roman" w:cs="Times New Roman" w:eastAsia="Times New Roman" w:hAnsi="Times New Roman"/>
                <w:sz w:val="18"/>
                <w:szCs w:val="18"/>
              </w:rPr>
              <w:t xml:space="preserve">E4-060, E4-061</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P6 III.11 (PDF p. 23), VII e Figura 8 (p. 61) × Matriz EF-01 (p. 29), EF-06 e EF-07 (p. 31); Contrato cl. 17.1 (p. 41)</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P6 pressupõe reequilíbrio por variação de diesel e de premissas de custo que a Matriz aloca à concessionária</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P6 afirma que a variação do diesel é mitigada por reequilíbrio, mas a Matriz EF-01 (probabilidade 4, score 16) aloca o risco exclusivamente à concessionária, salvo álea extraordinária. O P6 mostra a TIR caindo para 8,71% com OPEX +5% e para 2,80% com OPEX +15% e recomenda revisão com reequilíbrio por desvios de premissas, enquanto a Matriz classifica a variação de CAPEX e OPEX como 'Improvável (2)' e risco exclusivo da concessionária (EF-06, EF-07). A revisão ordinária do Contrato (17.1) não prevê esse reequilíbrio.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Combinada com o caráter 'vinculante' atribuído aos estudos (Edital 2.11), a afirmação do P6 pode sustentar pleitos de reequilíbrio por variação de diesel e de custos; impugnar a contradição tende a fixar a alocação da Matriz e eliminar essa leitura.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C-227</w:t>
            </w:r>
          </w:p>
          <w:p>
            <w:pPr>
              <w:spacing w:after="40" w:line="240"/>
              <w:jc w:val="left"/>
            </w:pPr>
            <w:r>
              <w:rPr>
                <w:rFonts w:ascii="Times New Roman" w:cs="Times New Roman" w:eastAsia="Times New Roman" w:hAnsi="Times New Roman"/>
                <w:sz w:val="18"/>
                <w:szCs w:val="18"/>
              </w:rPr>
              <w:t xml:space="preserve">E1-034, E4-085</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itens 2.10 e 2.11 (PDF p. 11), 3.1 'Investimentos em Infraestrutura' (p. 13), 7.5 (p. 17) e 9.9.1 (p. 22); Anexo C Declaração 7 (p. 13-14); Contrato cl. 5.1.9 (p. 15); Matriz (silêncio)</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Estudos 'vinculantes' e EVTEA definidor do escopo × responsabilidade integral do licitante pelos dados; risco de erro dos estudos sem alocação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item 2.11 dá caráter vinculante aos estudos e informações do Poder Concedente, e o item 3.1 torna o EVTEA definidor do escopo integral de investimentos. Os itens 7.5 e 9.9.1 e a Declaração 7 do Anexo C impõem ao licitante responsabilidade integral pela exatidão dos dados e renúncia a pleitos por insuficiência de informações. A Matriz não aloca o risco de erro ou omissão dos estudos referenciais; diante das omissões do P6 (autoclave, flare, terrenos, capacidade do aterro, galpão das cooperativas), não se sabe se esses itens seriam obrigação sem remuneração ou investimento fora do escopo, sujeito a reequilíbrio. Sobre o status do EVTEA, ver E1-033/E3-023/E7-085 (OBJETO_ESCOPO).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caráter vinculante dos estudos (2.11) e o escopo 'integral' do EVTEA abrem leitura favorável à concessionária (pleitos por erro de premissa ou por investimento não listado). Impugnar a contradição pode eliminar esse fundamento.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C-230</w:t>
            </w:r>
          </w:p>
          <w:p>
            <w:pPr>
              <w:spacing w:after="40" w:line="240"/>
              <w:jc w:val="left"/>
            </w:pPr>
            <w:r>
              <w:rPr>
                <w:rFonts w:ascii="Times New Roman" w:cs="Times New Roman" w:eastAsia="Times New Roman" w:hAnsi="Times New Roman"/>
                <w:sz w:val="18"/>
                <w:szCs w:val="18"/>
              </w:rPr>
              <w:t xml:space="preserve">E2-041</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item I, § 3.º (PDF p. 7), X.6.1 (p. 42) e X.6.12 (p. 50) × Edital 3.1.4 (p. 14) e Contrato cl. 4.2.1.1 (p. 13)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Obrigações 'mínimas' do Caderno abertas a exigências da fiscalização × regra de investimentos fechados do Edital</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Caderno qualifica todas as obrigações como mínimas, sujeitas a 'exigências adicionais' e 'atos da fiscalização', e trata como falha de gestão a omissão em propor revisões. O Edital (3.1.4) e o Contrato (4.2.1.1) dizem que investimento não previsto nos anexos não é exigível sem recomposição. As duas lógicas conflitam na alocação do risco de escopo.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Prevalecendo a regra do Edital 3.1.4, toda exigência adicional da fiscalização gera direito a reequilíbrio; impugnar a contradição pode levar à restrição dessa regra.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C-231</w:t>
            </w:r>
          </w:p>
          <w:p>
            <w:pPr>
              <w:spacing w:after="40" w:line="240"/>
              <w:jc w:val="left"/>
            </w:pPr>
            <w:r>
              <w:rPr>
                <w:rFonts w:ascii="Times New Roman" w:cs="Times New Roman" w:eastAsia="Times New Roman" w:hAnsi="Times New Roman"/>
                <w:sz w:val="18"/>
                <w:szCs w:val="18"/>
              </w:rPr>
              <w:t xml:space="preserve">E3-070</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19.1 (PDF p. 45), 19.5 (p. 46), 20.1.2, v e vii (p. 47) e 34.4.1 (p. 72)</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Três regras residuais distintas para riscos não previstos e força maior</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Riscos não previstos devem ser objeto de 'revisão do Contrato' para alocação (19.1); ao mesmo tempo, todo evento não segurável é do Poder Concedente (19.5, 34.4.1), e todo evento extraordinário não causado pela SPE gera revisão (20.1.2, vii). Para força maior, a cl. 20.1.2, v, dá revisão sem ressalva de segurabilidade, e a cl. 34.4.1 diz que os eventos não seguráveis 'poderão' gerar reequilíbrio. O critério de segurabilidade aparece só em linhas isoladas da Matriz.</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As regras residuais 'não segurável = PC' (19.5) e 'demais casos' (20.1.2, vii) favorecem a concessionária; impugnar a contradição tende a restringi-las.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C-232</w:t>
            </w:r>
          </w:p>
          <w:p>
            <w:pPr>
              <w:spacing w:after="40" w:line="240"/>
              <w:jc w:val="left"/>
            </w:pPr>
            <w:r>
              <w:rPr>
                <w:rFonts w:ascii="Times New Roman" w:cs="Times New Roman" w:eastAsia="Times New Roman" w:hAnsi="Times New Roman"/>
                <w:sz w:val="18"/>
                <w:szCs w:val="18"/>
              </w:rPr>
              <w:t xml:space="preserve">E3-071</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20.1.2, v (PDF p. 47)</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Reequilíbrio para interferências 'mesmo que previstas'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inclusão de interferências 'mesmo que previstas' estende ao Poder Concedente riscos previsíveis e precificáveis (ex.: geológicos, cheias do Rio Madeira tratadas no PCOS), além da hipótese legal de fatos imprevisíveis ou previsíveis de consequências incalculáveis.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Cláusula pró-concessionária; impugná-la tende a eliminá-la.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C-233</w:t>
            </w:r>
          </w:p>
          <w:p>
            <w:pPr>
              <w:spacing w:after="40" w:line="240"/>
              <w:jc w:val="left"/>
            </w:pPr>
            <w:r>
              <w:rPr>
                <w:rFonts w:ascii="Times New Roman" w:cs="Times New Roman" w:eastAsia="Times New Roman" w:hAnsi="Times New Roman"/>
                <w:sz w:val="18"/>
                <w:szCs w:val="18"/>
              </w:rPr>
              <w:t xml:space="preserve">E3-037, E2-094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8.1, I (PDF p. 17) × 20.1.2, iii (p. 47); Anexo III item XV (PDF p. 34); Contrato cl. 4.6 (p. 13)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Condicionantes ambientais supervenientes: risco da concessionária (8.1) × fato do príncipe (20.1.2, iii) × reequilíbrio 'quando cabível'</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cl. 8.1 atribui à concessionária, por sua conta, as condicionantes fixadas ao longo do licenciamento; a cl. 20.1.2, iii, qualifica como fato do príncipe as determinações de autoridades ambientais que alterem encargos, inclusive antecipação de metas. O Anexo III (XV) impõe a exigência mais restritiva superveniente e condiciona o reequilíbrio a juízo aberto ('quando cabível e juridicamente demonstrado'). Não há critério para distinguir condicionante ordinária de determinação extraordinária.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leitura da cl. 20.1.2, iii, favorece a concessionária; impugnar a contradição pode levar a restringi-la.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C-237</w:t>
            </w:r>
          </w:p>
          <w:p>
            <w:pPr>
              <w:spacing w:after="40" w:line="240"/>
              <w:jc w:val="left"/>
            </w:pPr>
            <w:r>
              <w:rPr>
                <w:rFonts w:ascii="Times New Roman" w:cs="Times New Roman" w:eastAsia="Times New Roman" w:hAnsi="Times New Roman"/>
                <w:sz w:val="18"/>
                <w:szCs w:val="18"/>
              </w:rPr>
              <w:t xml:space="preserve">E4-037, E3-069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Matriz EF-05 (p. 31) × Contrato cl. 20.1.2, ii (PDF p. 46), 20.10.1 e 20.10.7 (p. 49)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Tributos sobre a renda: Matriz EF-05 inclui IRPJ/CSLL e só prevê reequilíbrio para aumento × Contrato restrito ao consumo e simétrico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EF-05 lista IRPJ e CSLL entre as causas do risco tributário e prevê reequilíbrio apenas para aumento da tributação efetiva. O Contrato restringe o evento de reforma aos tributos sobre o consumo (20.10.1), prevê recomposição em favor do Poder Concedente quando a reforma reduzir custos (20.10.7) e, na regra geral (20.1.2, ii), remete ao art. 9.º, § 3.º, da Lei 8.987, que ressalva os impostos sobre a renda, sem reproduzir a ressalva. A divergência deixa aberta a tese de reequilíbrio unilateral por variação de IR/CSLL.</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redação assimétrica da Matriz (só aumento; inclui IRPJ/CSLL) favorece a concessionária; questioná-la tende a eliminá-la.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C-238</w:t>
            </w:r>
          </w:p>
          <w:p>
            <w:pPr>
              <w:spacing w:after="40" w:line="240"/>
              <w:jc w:val="left"/>
            </w:pPr>
            <w:r>
              <w:rPr>
                <w:rFonts w:ascii="Times New Roman" w:cs="Times New Roman" w:eastAsia="Times New Roman" w:hAnsi="Times New Roman"/>
                <w:sz w:val="18"/>
                <w:szCs w:val="18"/>
              </w:rPr>
              <w:t xml:space="preserve">E1-058</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item 8.5.2, e (PDF p. 20); Contrato (sem cláusula de solidariedade dos acionistas)</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Solidariedade das consorciadas limitada até a assinatura; Contrato não prevê responsabilidade dos acionistas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Lei 14.133 prevê a responsabilidade solidária dos consorciados tanto na licitação quanto na execução do contrato. O Edital encerra a solidariedade na assinatura, e o Contrato não traz responsabilidade ou garantia dos acionistas da SPE. A Administração pode sustentar que, na PPP, quem executa é a SPE, pessoa jurídica distinta, e que a solidariedade pós-assinatura não se aplica.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cláusula limita a exposição dos acionistas da futura concessionária; impugná-la pode estender a solidariedade à execução.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C-244</w:t>
            </w:r>
          </w:p>
          <w:p>
            <w:pPr>
              <w:spacing w:after="40" w:line="240"/>
              <w:jc w:val="left"/>
            </w:pPr>
            <w:r>
              <w:rPr>
                <w:rFonts w:ascii="Times New Roman" w:cs="Times New Roman" w:eastAsia="Times New Roman" w:hAnsi="Times New Roman"/>
                <w:sz w:val="18"/>
                <w:szCs w:val="18"/>
              </w:rPr>
              <w:t xml:space="preserve">E3-117, E7-029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25.1 a 25.7 (PDF p. 54-55); P7 V.6 (PDF p. 41-42) e IX.4 (p. 63)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Step-in dos financiadores por simples comunicação, sem autorização do PC nem regime de administração temporária</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lei prevê que o Poder Concedente autorizará a assunção do controle ou a administração temporária pelos financiadores, nas condições do contrato. A cl. 25.3 substitui autorização por comunicação com 15 dias de antecedência, fala em 'assumir a Concessão' (e não o controle da SPE), exige apenas regularidade jurídica e fiscal e não regula a administração temporária, o empenho em nome dos financiadores nem sua legitimidade para receber indenizações. O P7 (V.6) descreve uma etapa de análise pelo Poder Concedente que não consta do Contrato.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Cláusula favorável à bancabilidade e aos financiadores da concessionária; a impugnação poderia eliminá-la.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C-245</w:t>
            </w:r>
          </w:p>
          <w:p>
            <w:pPr>
              <w:spacing w:after="40" w:line="240"/>
              <w:jc w:val="left"/>
            </w:pPr>
            <w:r>
              <w:rPr>
                <w:rFonts w:ascii="Times New Roman" w:cs="Times New Roman" w:eastAsia="Times New Roman" w:hAnsi="Times New Roman"/>
                <w:sz w:val="18"/>
                <w:szCs w:val="18"/>
              </w:rPr>
              <w:t xml:space="preserve">E7-031, E3-116</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24.1.1 e 24.2 (PDF p. 54) e 1.3.22 (definição de Controle); P7 IX.3 (PDF p. 63) e XI.3.6 (p. 69)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Transferência de controle intragrupo pré-autorizada, sem verificação de requisitos; só controle direto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transferência do controle da SPE depende de autorização expressa da Administração, com verificação de capacidade técnica, idoneidade financeira e regularidade jurídica e fiscal do pretendente. A pré-autorização contratual genérica dispensa essa verificação caso a caso, e a cl. 24.1.1 alcança apenas o controle direto, deixando sem controle as mudanças de controle indireto. O P7 qualifica a regra como 'exceção relevante' sem examinar sua compatibilidade legal.</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Flexibilidade societária que favorece grupos econômicos com várias sociedades; a impugnação poderia eliminá-la.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C-246</w:t>
            </w:r>
          </w:p>
          <w:p>
            <w:pPr>
              <w:spacing w:after="40" w:line="240"/>
              <w:jc w:val="left"/>
            </w:pPr>
            <w:r>
              <w:rPr>
                <w:rFonts w:ascii="Times New Roman" w:cs="Times New Roman" w:eastAsia="Times New Roman" w:hAnsi="Times New Roman"/>
                <w:sz w:val="18"/>
                <w:szCs w:val="18"/>
              </w:rPr>
              <w:t xml:space="preserve">E3-074, E7-030</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19.6 (PDF p. 46) e 18.5 (p. 43); P7 V.6 (PDF p. 41)</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Ausência da cláusula obrigatória de compartilhamento dos ganhos da redução do risco de crédito (refinanciamento)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cl. 19.6 cobre apenas incentivos oferecidos pelo Poder Concedente (inclusive linhas de crédito especiais), e a cl. 18.5 trata do compartilhamento de receitas acessórias. Não há cláusula de compartilhamento dos ganhos econômicos efetivos decorrentes da redução do risco de crédito dos financiamentos (ex.: refinanciamento após a fase de obras), exigida em todo contrato de PPP. O P7 cita o art. 5.º, IX, como fundamento dos step-in rights.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omissão permite à concessionária reter integralmente os ganhos de refinanciamento; a impugnação tende a introduzir a cláusula de compartilhamento.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C-247</w:t>
            </w:r>
          </w:p>
          <w:p>
            <w:pPr>
              <w:spacing w:after="40" w:line="240"/>
              <w:jc w:val="left"/>
            </w:pPr>
            <w:r>
              <w:rPr>
                <w:rFonts w:ascii="Times New Roman" w:cs="Times New Roman" w:eastAsia="Times New Roman" w:hAnsi="Times New Roman"/>
                <w:sz w:val="18"/>
                <w:szCs w:val="18"/>
              </w:rPr>
              <w:t xml:space="preserve">E3-121</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34.7 (PDF p. 72) e 33.3, i (p. 71) × 28.7 e 28.7.13 (p. 64-65)</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Indenização por força maior e por anulação sobre 'todos os investimentos realizados', sem dedução da amortização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regra geral (28.7) indeniza a parcela não amortizada dos investimentos em bens reversíveis. A cl. 34.7 manda indenizar, na extinção por força maior, 'todos os investimentos realizados' e 'outros prejuízos', e a anulação não imputável à concessionária remete a essa regra (33.3, i). Há risco de dupla remuneração: investimento já amortizado pela Parcela A e indenizado novamente.</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Regime indenizatório favorável à concessionária; a impugnação tende a reduzi-lo à parcela não amortizada.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C-248</w:t>
            </w:r>
          </w:p>
          <w:p>
            <w:pPr>
              <w:spacing w:after="40" w:line="240"/>
              <w:jc w:val="left"/>
            </w:pPr>
            <w:r>
              <w:rPr>
                <w:rFonts w:ascii="Times New Roman" w:cs="Times New Roman" w:eastAsia="Times New Roman" w:hAnsi="Times New Roman"/>
                <w:sz w:val="18"/>
                <w:szCs w:val="18"/>
              </w:rPr>
              <w:t xml:space="preserve">E3-122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30.2, ii a iv, e 30.2.1 (PDF p. 66-67) × 28.7.14 (p. 65) e 32.11 (p. 70)</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Encampação com lucros cessantes, em contradição com a regra geral de quitação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Pela lei, a encampação indeniza os investimentos não amortizados. O Contrato acrescenta lucros cessantes por fluxo de caixa descontado sem taxa definida, quitação de financiamentos e custos de rescisão com terceiros, enquanto a cl. 28.7.14 exclui lucros cessantes 'a qualquer título'. A rescisão por culpa do Poder Concedente (32.11) importa as mesmas condições.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Regime indenizatório ampliado favorece a concessionária; a impugnação tende a eliminá-lo.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C-249</w:t>
            </w:r>
          </w:p>
          <w:p>
            <w:pPr>
              <w:spacing w:after="40" w:line="240"/>
              <w:jc w:val="left"/>
            </w:pPr>
            <w:r>
              <w:rPr>
                <w:rFonts w:ascii="Times New Roman" w:cs="Times New Roman" w:eastAsia="Times New Roman" w:hAnsi="Times New Roman"/>
                <w:sz w:val="18"/>
                <w:szCs w:val="18"/>
              </w:rPr>
              <w:t xml:space="preserve">E3-124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31.1 e 31.2 (PDF p. 67) × 26.14 (p. 59), 22.7 (p. 52) e 35.3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Rol de caducidade restrito a três hipóteses, omitindo as causas legais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rol limita-se a falência ou condenação por sonegação ou corrupção, falta de reposição da garantia de execução em 90 dias e falta de seguros. Omite serviço inadequado, descumprimento de cláusulas, paralisação, perda de condições técnicas ou econômicas e desatendimento de intimações; trata a falência, causa autônoma de extinção, como caducidade; e conflita com a cl. 26.14 (reincidência leva a caducidade). O prazo de 90 dias para repor a garantia difere dos 30 dias da cl. 22.7.</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rol restrito protege a concessionária; a impugnação tende a ampliá-lo às hipóteses legais.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C-251</w:t>
            </w:r>
          </w:p>
          <w:p>
            <w:pPr>
              <w:spacing w:after="40" w:line="240"/>
              <w:jc w:val="left"/>
            </w:pPr>
            <w:r>
              <w:rPr>
                <w:rFonts w:ascii="Times New Roman" w:cs="Times New Roman" w:eastAsia="Times New Roman" w:hAnsi="Times New Roman"/>
                <w:sz w:val="18"/>
                <w:szCs w:val="18"/>
              </w:rPr>
              <w:t xml:space="preserve">E3-128, E7-034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15.8.8 (PDF p. 40), 32.10.2 (p. 70) e 32.12 (p. 70); P7 III.6.3 (PDF p. 33), V.5 (p. 41) e XI.3.4 (p. 69)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Hipóteses amplas de interrupção dos serviços pela concessionária ('frustração de receita') antes de decisão final</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lei veda interromper ou paralisar os serviços até decisão judicial transitada em julgado na rescisão por iniciativa da concessionária. A cl. 15.8.8 admite pleito cautelar de suspensão integral dos serviços após 180 dias de inadimplência com a Conta Garantia abaixo de uma parcela, e a cl. 32.12 ressalva a interrupção diante de 'qualquer evento que resulte em restrição de caixa ou frustração de receita', o que alcança coleta de RSS e de RSU em áreas sem alternativa. O P7 (III.6.3) descreve a suspensão integral como faculdade direta da concessionária após 180 dias com a Conta Garantia abaixo de 2 CME, em desacordo com a própria cl. 15.8.8 e com o P7 V.5. As cl. 15.8.8 e 32.12 remetem a 'juízo arbitral', embora a arbitragem seja facultativa (ver G3-111).</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Proteção pró-concessionária contra inadimplência pública; a impugnação tende a eliminá-la.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C-252</w:t>
            </w:r>
          </w:p>
          <w:p>
            <w:pPr>
              <w:spacing w:after="40" w:line="240"/>
              <w:jc w:val="left"/>
            </w:pPr>
            <w:r>
              <w:rPr>
                <w:rFonts w:ascii="Times New Roman" w:cs="Times New Roman" w:eastAsia="Times New Roman" w:hAnsi="Times New Roman"/>
                <w:sz w:val="18"/>
                <w:szCs w:val="18"/>
              </w:rPr>
              <w:t xml:space="preserve">E3-129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32.6 (PDF p. 69) e 32.3 a 32.5</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Silêncio de 180 dias do PC na rescisão amigável exonera a concessionária das obrigações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rescisão amigável pressupõe acordo. Atribuir ao silêncio do Poder Concedente por 180 dias o efeito de liberar a concessionária equivale a rescisão unilateral tácita de serviço essencial, sem decisão arbitral ou judicial e sem regra de transição.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Cláusula pró-concessionária; impugná-la tende a eliminá-la.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C-253</w:t>
            </w:r>
          </w:p>
          <w:p>
            <w:pPr>
              <w:spacing w:after="40" w:line="240"/>
              <w:jc w:val="left"/>
            </w:pPr>
            <w:r>
              <w:rPr>
                <w:rFonts w:ascii="Times New Roman" w:cs="Times New Roman" w:eastAsia="Times New Roman" w:hAnsi="Times New Roman"/>
                <w:sz w:val="18"/>
                <w:szCs w:val="18"/>
              </w:rPr>
              <w:t xml:space="preserve">E2-007, E2-008</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Caderno itens XI.1 e XI.2 (PDF p. 60-61) e XI.4 (p. 61-62); Contrato cl. 5.1.1 e 5.1.1.1 (PDF p. 14); Anexo III Tabela 3 (p. 9-10)</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Relação de bens reversíveis e de bens municipais a ceder inexistente (remetida a termo de entrega futuro)</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Apesar do título, a seção 'Relação de Bens Reversíveis' traz só categorias genéricas, sem bens, quantidades, valores nem estado dos ativos existentes. Salvo o incinerador e a área do transbordo do Baixo Madeira, os bens municipais cedidos dependem de termo de entrega a ser lavrado depois (XI.4), e o Contrato (5.1.1) só obriga o Poder Concedente quanto aos bens 'expressamente relacionados nos Anexos', relação que não existe. Faltam inventário e estado de ecopontos, Centro de Triagem, ETR informal de São Carlos e contêineres.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Caderno exonera a concessionária dos passivos e defeitos 'formalmente registrados no termo de entrega', lavrado após a assinatura, o que favorece quem registrar de forma ampla na vistoria; impugnar a omissão pode antecipar o inventário ao Edital.</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C-255</w:t>
            </w:r>
          </w:p>
          <w:p>
            <w:pPr>
              <w:spacing w:after="40" w:line="240"/>
              <w:jc w:val="left"/>
            </w:pPr>
            <w:r>
              <w:rPr>
                <w:rFonts w:ascii="Times New Roman" w:cs="Times New Roman" w:eastAsia="Times New Roman" w:hAnsi="Times New Roman"/>
                <w:sz w:val="18"/>
                <w:szCs w:val="18"/>
              </w:rPr>
              <w:t xml:space="preserve">DD-ext</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10.13.1 e 10.13.3 (PDF p. 31–32)</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Área do Ecoparque arrendada × exigência de propriedade plena do aterro (cl. 10.13.1)</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O Contrato só admite cumprir a obrigação de aterro com a propriedade plena do imóvel. Pelo Fato Relevante da Orizon de 23/01/2023, há 'contrato de arrendamento da área do aterro sanitário entre CTR PV e Ecofort' [fonte externa]. Se a área é da Ecofort, comprar a participação na CTR PV não transfere a propriedade do imóvel, e a única via de aproveitamento do Ecoparque fica condicionada a negócio com o titular da área.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Matrícula do imóvel do Ecoparque e contrato de arrendamento CTR PV × Ecofort.</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Depende da posição do grupo em relação à Orizon e à Ecofort.</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C-260</w:t>
            </w:r>
          </w:p>
          <w:p>
            <w:pPr>
              <w:spacing w:after="40" w:line="240"/>
              <w:jc w:val="left"/>
            </w:pPr>
            <w:r>
              <w:rPr>
                <w:rFonts w:ascii="Times New Roman" w:cs="Times New Roman" w:eastAsia="Times New Roman" w:hAnsi="Times New Roman"/>
                <w:sz w:val="18"/>
                <w:szCs w:val="18"/>
              </w:rPr>
              <w:t xml:space="preserve">E2-015, E5-010, E5-050, E5-052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considerando v (PDF p. 5-6); Anexo III Tabela 3 (p. 10); P1 VII.2.4 (p. 84-87); P4 Tab. 1 (p. 10); P6 Tab. 9 (p. 42-43)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Destinação transitória no Ecoparque: contrato sem preço e prazo, licenças vencendo e capacidade não informada</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Até o aterro da CTR operar, os rejeitos seguem ao aterro privado Ecoparque, nas condições do Contrato 042/PGM/2023 (considerando v do Contrato), e o P6 prevê esse uso nos Anos 1 a 4. Os estudos não informam preço unitário, data, prazo nem regime de prorrogação do Contrato 042 (regido pela Lei 8.666), nem quem será o contratante da destinação na transição. A LAO do Ecoparque vence em 09/10/2028 (Ano 2) e a LAI das obras de ampliação em 08/10/2026; capacidade remanescente e vida útil não são informadas. O Caderno não disciplina alternativa licenciada. O custo orçado no P6 (~R$ 12/t) é tratado em E4-030/E6-054 (MODELAGEM_ECONOMICA).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Data, prazo, preço e vigência do Contrato 042/PGM/2023; capacidade e vida útil remanescentes do Ecoparque; situação dos pedidos de renovação da LAO/LAI; definição de quem contrata a destinação transitória.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dependência do único aterro licenciado local, de titularidade de terceiro potencialmente concorrente, afeta de modo distinto os licitantes conforme sua relação com o Ecoparque; levantar o ponto depende da posição comercial do grupo.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C-261</w:t>
            </w:r>
          </w:p>
          <w:p>
            <w:pPr>
              <w:spacing w:after="40" w:line="240"/>
              <w:jc w:val="left"/>
            </w:pPr>
            <w:r>
              <w:rPr>
                <w:rFonts w:ascii="Times New Roman" w:cs="Times New Roman" w:eastAsia="Times New Roman" w:hAnsi="Times New Roman"/>
                <w:sz w:val="18"/>
                <w:szCs w:val="18"/>
              </w:rPr>
              <w:t xml:space="preserve">E5-067</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10.3.10.1 (PDF p. 29); P1 p. 88; P4 Tab. 1 (p. 10) e Tab. 4 (p. 14); Anexo III (p. 13)</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Destino transitório de RSS dependente de incinerador particular não identificado</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Até a unidade de tratamento de RSS entrar em operação, a concessionária deve assegurar a destinação por terceiros (10.3.10.1), mas os estudos não identificam as unidades licenciadas disponíveis na região, sua capacidade ou preço. A LAI do Ecoparque inclui autoclave, o que indica dependência do operador incumbente.</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Unidades licenciadas de tratamento de RSS disponíveis na região, capacidade e preço.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Licitante com capacidade própria de tratamento de RSS na região tem vantagem; levantar o ponto depende da posição do grupo.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C-264</w:t>
            </w:r>
          </w:p>
          <w:p>
            <w:pPr>
              <w:spacing w:after="40" w:line="240"/>
              <w:jc w:val="left"/>
            </w:pPr>
            <w:r>
              <w:rPr>
                <w:rFonts w:ascii="Times New Roman" w:cs="Times New Roman" w:eastAsia="Times New Roman" w:hAnsi="Times New Roman"/>
                <w:sz w:val="18"/>
                <w:szCs w:val="18"/>
              </w:rPr>
              <w:t xml:space="preserve">E5-063, E6-027, E3-035</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8.6.2 (PDF p. 19) e 5.1.2 (p. 14); P1 VII.2.1 (p. 71) e VII.2.4 (p. 87-88); P2 Tabela 15, item 4.2.1 (p. 44) e V.1 (p. 31); P6 p. 46-48; Matriz TO-02 (p. 3-4)</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Jirau: titularidade, licença, disputa e capacidade indefinidas; disponibilização pelo PC sem prazo</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O Jirau foi implantado pela ESBR como compensação da UHE e entregue à Prefeitura para operar, adequar e licenciar; está paralisado desde 2025 por disputa cujas partes e objeto não são identificados. Não há volume remanescente, vida útil, licença ou projeto que sustente a recuperação de R$ 5,0 mi (P2) nem a operação a partir do Ano 3 (P6). O Contrato (8.6.2) põe a reativação e a regularização a cargo do Poder Concedente sem prazo; a Matriz TO-02 fala em Mês 24. Se o Jirau não for disponibilizado, o Alto Madeira seguiria à Sede (DMT 255-378 km), sem cenário de custo nos estudos.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Titularidade e situação de licença do Jirau; objeto e partes da disputa de 2025; levantamento volumétrico; cronograma de disponibilização pelo Poder Concedente.</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indisponibilidade do Jirau é risco do PC com efeitos de exoneração de prazos e reequilíbrio favoráveis à concessionária (Contrato 5.1.2 e 8.6.2); a impugnação deve evitar atingir essa alocação.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C-268</w:t>
            </w:r>
          </w:p>
          <w:p>
            <w:pPr>
              <w:spacing w:after="40" w:line="240"/>
              <w:jc w:val="left"/>
            </w:pPr>
            <w:r>
              <w:rPr>
                <w:rFonts w:ascii="Times New Roman" w:cs="Times New Roman" w:eastAsia="Times New Roman" w:hAnsi="Times New Roman"/>
                <w:sz w:val="18"/>
                <w:szCs w:val="18"/>
              </w:rPr>
              <w:t xml:space="preserve">E3-081, E7-054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18.10, 18.10.2 e 18.10.4 a 18.10.6 (PDF p. 43-45); P7 XI.3.4 (PDF p. 69); P6 V.5</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Usina de biogás do aterro reversível excluída da reversão; aquisição pelo PC a valor de mercado</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O biogás é gerado em aterro reversível, implantado e amortizado com a contraprestação; a usina de aproveitamento é excluída dos bens reversíveis, e o Poder Concedente, se quiser mantê-la, paga valor justo de mercado por reequilíbrio, inclusive após o termo. A receita entra na base de compartilhamento de 5%. Não há regra sobre a destinação do biogás (queima obrigatória) após eventual remoção da usina, e o P7 não examina a apropriação privada de valor gerado por ativo público.</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Potencial de geração de biogás e regra de continuidade da destinação do gás após a remoção da usina.</w:t>
            </w:r>
          </w:p>
          <w:p>
            <w:pPr>
              <w:spacing w:after="40" w:line="240"/>
              <w:jc w:val="left"/>
            </w:pPr>
            <w:r>
              <w:rPr>
                <w:rFonts w:ascii="Times New Roman" w:cs="Times New Roman" w:eastAsia="Times New Roman" w:hAnsi="Times New Roman"/>
                <w:sz w:val="18"/>
                <w:szCs w:val="18"/>
              </w:rPr>
              <w:t xml:space="preserve">[VALIDAÇÃO TÉCNICA: ponto depende de confirmação de engenharia]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Opção de receita acessória não evidente e de saída favorável à concessionária; impugnar tende a incluir a usina entre os bens reversíveis.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C-277</w:t>
            </w:r>
          </w:p>
          <w:p>
            <w:pPr>
              <w:spacing w:after="40" w:line="240"/>
              <w:jc w:val="left"/>
            </w:pPr>
            <w:r>
              <w:rPr>
                <w:rFonts w:ascii="Times New Roman" w:cs="Times New Roman" w:eastAsia="Times New Roman" w:hAnsi="Times New Roman"/>
                <w:sz w:val="18"/>
                <w:szCs w:val="18"/>
              </w:rPr>
              <w:t xml:space="preserve">E5-101, E5-100, E2-074, E1-040</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8.6.1 a 8.6.5 (PDF p. 18-19), 4.2.1.1 (p. 13) e 7.4 (p. 17); Edital 3.1 e 3.1.4 (PDF p. 13-14)</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Passivos preexistentes ao PC com regresso; teto da intervenção com excedente ao PC; escopo de investimentos fechado; sobreposição na transição</w:t>
            </w:r>
          </w:p>
          <w:p>
            <w:pPr>
              <w:spacing w:after="40" w:line="240"/>
              <w:jc w:val="left"/>
            </w:pPr>
            <w:r>
              <w:rPr>
                <w:rFonts w:ascii="Times New Roman" w:cs="Times New Roman" w:eastAsia="Times New Roman" w:hAnsi="Times New Roman"/>
                <w:sz w:val="18"/>
                <w:szCs w:val="18"/>
              </w:rPr>
              <w:t xml:space="preserve">(CONFORME)</w:t>
            </w:r>
          </w:p>
          <w:p>
            <w:pPr>
              <w:spacing w:after="40" w:line="240"/>
              <w:jc w:val="left"/>
            </w:pPr>
            <w:r>
              <w:rPr>
                <w:rFonts w:ascii="Times New Roman" w:cs="Times New Roman" w:eastAsia="Times New Roman" w:hAnsi="Times New Roman"/>
                <w:sz w:val="18"/>
                <w:szCs w:val="18"/>
              </w:rPr>
              <w:t xml:space="preserve">O Contrato atribui ao Poder Concedente os passivos com fato gerador anterior à Ordem de Início, com direito de regresso (8.6.4), e limita o encargo de intervenção na Vila Princesa ao valor modelado, alocando o excedente ao Poder Concedente. O Edital limita as obrigações de investimento às listadas nos anexos e assegura recomposição para exigências adicionais. A sobreposição operacional de 30 dias com o operador cessante foi incorporada (7.4). As ressalvas sobre teto (G3-026, G3-027), linha de corte (G3-030), execução do excedente (G3-029) e vigência do contrato do operador cessante (G3-025) estão nos pontos próprios.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Teto da intervenção com excedente ao PC e escopo de investimentos fechado são cláusulas pró-concessionária; impugnações sobre o rito GAC ou sobre escopo não devem atingi-las.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bl>
    <w:p>
      <w:pPr>
        <w:pStyle w:val="Heading2"/>
        <w:keepNext/>
        <w:spacing w:after="120" w:before="240" w:line="360"/>
      </w:pPr>
      <w:r>
        <w:rPr>
          <w:rFonts w:ascii="Times New Roman" w:cs="Times New Roman" w:eastAsia="Times New Roman" w:hAnsi="Times New Roman"/>
          <w:b/>
          <w:bCs/>
          <w:sz w:val="26"/>
          <w:szCs w:val="26"/>
        </w:rPr>
        <w:t xml:space="preserve">Regulação e fiscalização (3)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Ponto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Por que reservar / decisão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Tipo</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C-283</w:t>
            </w:r>
          </w:p>
          <w:p>
            <w:pPr>
              <w:spacing w:after="40" w:line="240"/>
              <w:jc w:val="left"/>
            </w:pPr>
            <w:r>
              <w:rPr>
                <w:rFonts w:ascii="Times New Roman" w:cs="Times New Roman" w:eastAsia="Times New Roman" w:hAnsi="Times New Roman"/>
                <w:sz w:val="18"/>
                <w:szCs w:val="18"/>
              </w:rPr>
              <w:t xml:space="preserve">E2-098, E3-086</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VII itens 2, 3 e 6 a 6.3 (PDF p. 3-5) × Contrato cl. 41.4 a 41.9 (PDF p. 78-79)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Seleção do VI contraditória: indicação pelo Poder Concedente (Anexo VII item 2) × escolha pela concessionária entre credenciados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item 2 do Anexo VII dá ao Poder Concedente a indicação da empresa em 30 dias da Ordem de Início; os itens 6 a 6.3 e o Contrato (41.4-41.9) dão à concessionária a escolha por técnica e preço, com no mínimo três convidados de lista formada em credenciamento público regido por 'instrumento próprio', ainda não editado, e a remuneração pela concessionária.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escolha do VI pela concessionária é favorável a ela; impugnar a contradição pode levar à prevalência da indicação pelo PC.</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C-306</w:t>
            </w:r>
          </w:p>
          <w:p>
            <w:pPr>
              <w:spacing w:after="40" w:line="240"/>
              <w:jc w:val="left"/>
            </w:pPr>
            <w:r>
              <w:rPr>
                <w:rFonts w:ascii="Times New Roman" w:cs="Times New Roman" w:eastAsia="Times New Roman" w:hAnsi="Times New Roman"/>
                <w:sz w:val="18"/>
                <w:szCs w:val="18"/>
              </w:rPr>
              <w:t xml:space="preserve">E3-087, E2-098</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Contrato cl. 41.3 e 41.5 (PDF p. 78) e 15.4 (p. 37); Anexo VII itens 1 a 6 (PDF p. 3-5)</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Sem VI contratado não há desconto por IQD; credenciamento ainda inexistente e sem consequência para atraso</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O credenciamento de verificadores depende de edital próprio (41.5) e a contratação cabe à concessionária. Enquanto o VI não estiver operacional, a contraprestação é paga sem efeito de desempenho, e o Contrato não prevê consequência para atraso imputável à concessionária ou ao Poder Concedente.</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Cronograma do credenciamento de verificadores pelo Poder Concedente.</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atraso na contratação do VI posterga os descontos de desempenho, o que favorece a concessionária.</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C-307</w:t>
            </w:r>
          </w:p>
          <w:p>
            <w:pPr>
              <w:spacing w:after="40" w:line="240"/>
              <w:jc w:val="left"/>
            </w:pPr>
            <w:r>
              <w:rPr>
                <w:rFonts w:ascii="Times New Roman" w:cs="Times New Roman" w:eastAsia="Times New Roman" w:hAnsi="Times New Roman"/>
                <w:sz w:val="18"/>
                <w:szCs w:val="18"/>
              </w:rPr>
              <w:t xml:space="preserve">E2-099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Anexo VII itens 1, 5 e 7 a 11 (PDF p. 3-6); Contrato cl. 41.9 (p. 79) e 41.14.1, b e e (p. 80)</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VI contratado e pago pela concessionária, que é a parte avaliada</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A concessionária contrata e remunera o VI, que certifica seu desempenho e emite pareceres para o Poder Concedente em pleitos de reequilíbrio, aceite de obras e vida útil do aterro. Há salvaguardas: credenciamento prévio, vedações de vínculo (item 9), declarações (item 10), substituição pelo Poder Concedente (item 11) e anuência como interveniente (item 7). A suficiência dessas salvaguardas depende do instrumento de credenciamento ainda não editado. Não localizei fundamento normativo que vede a remuneração do VI pela concessionária. Sobre o custo do VI ausente do OPEX, ver E2-100/E4-032 (MODELAGEM_ECONOMICA).</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Instrumento de credenciamento dos verificadores (requisitos de independência e regras de substituição).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contratação e o pagamento do VI pela concessionária lhe são favoráveis; questionar a independência pode transferir a contratação ao PC.</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bl>
    <w:p>
      <w:pPr>
        <w:pStyle w:val="Heading2"/>
        <w:keepNext/>
        <w:spacing w:after="120" w:before="240" w:line="360"/>
      </w:pPr>
      <w:r>
        <w:rPr>
          <w:rFonts w:ascii="Times New Roman" w:cs="Times New Roman" w:eastAsia="Times New Roman" w:hAnsi="Times New Roman"/>
          <w:b/>
          <w:bCs/>
          <w:sz w:val="26"/>
          <w:szCs w:val="26"/>
        </w:rPr>
        <w:t xml:space="preserve">Habilitação (8)</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Ponto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Por que reservar / decisão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Tipo</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C-312</w:t>
            </w:r>
          </w:p>
          <w:p>
            <w:pPr>
              <w:spacing w:after="40" w:line="240"/>
              <w:jc w:val="left"/>
            </w:pPr>
            <w:r>
              <w:rPr>
                <w:rFonts w:ascii="Times New Roman" w:cs="Times New Roman" w:eastAsia="Times New Roman" w:hAnsi="Times New Roman"/>
                <w:sz w:val="18"/>
                <w:szCs w:val="18"/>
              </w:rPr>
              <w:t xml:space="preserve">E1-052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8.2, alíneas l e m (PDF p. 19); Edital 2.1, e (p. 10); P7 X.1 (p. 66)</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Vedação aos autores dos estudos (8.2, l) e a seus vinculados nesta PPP (8.2, m)</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art. 3.º da Lei 11.079 manda aplicar às concessões administrativas o art. 31 da Lei 9.074/1995, que admite a participação, direta ou indireta, dos autores ou responsáveis economicamente pelos projetos básico ou executivo na licitação. A alínea l veda a participação de quem elaborou os estudos que serviram de base à PPP. A alínea m estende a vedação a quem tenha com os autores vínculo técnico, comercial, econômico, financeiro ou trabalhista 'relacionado à avaliação da PPP e/ou à formulação de proposta nesta LICITAÇÃO': o alcance fica restrito a vínculos ligados a esta PPP e a esta licitação, mas 'avaliação da PPP' e 'formulação de proposta' não são definidas. O Edital inclui a Lei 9.074 em sua base normativa (2.1, e), e o P7 invoca o art. 31 para justificar o ressarcimento. Contra-argumento provável: art. 14, incisos I e II, da Lei 14.133 (vedação aos autores de anteprojeto e projetos) e o princípio da moralidade.</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Depende de o grupo manter ou ter mantido vínculo com PEZCO, PSP Hub, Masterpro ou Apparecido &amp; Carvalho Pinto Advogados alcançável pela alínea m, e do interesse em ampliar ou não o universo de licitantes.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C-329</w:t>
            </w:r>
          </w:p>
          <w:p>
            <w:pPr>
              <w:spacing w:after="40" w:line="240"/>
              <w:jc w:val="left"/>
            </w:pPr>
            <w:r>
              <w:rPr>
                <w:rFonts w:ascii="Times New Roman" w:cs="Times New Roman" w:eastAsia="Times New Roman" w:hAnsi="Times New Roman"/>
                <w:sz w:val="18"/>
                <w:szCs w:val="18"/>
              </w:rPr>
              <w:t xml:space="preserve">E1-098</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13.23 (PDF p. 36)</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Atestado exigido sobre o objeto integral, 'precedido de obra pública'</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redação exige experiência no objeto integral, inclusive como serviço 'precedido de obra pública'. Lida literalmente, só aceita quem já executou concessão ou contrato integrado de RSU com obra, o que contraria a restrição dos atestados às parcelas de maior relevância, invocada pelo próprio 13.23.1.2.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leitura literal favorece quem já detém atestados de concessão de RSU com obra; levantar ou não depende dos atestados do grupo e dos concorrentes.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C-332</w:t>
            </w:r>
          </w:p>
          <w:p>
            <w:pPr>
              <w:spacing w:after="40" w:line="240"/>
              <w:jc w:val="left"/>
            </w:pPr>
            <w:r>
              <w:rPr>
                <w:rFonts w:ascii="Times New Roman" w:cs="Times New Roman" w:eastAsia="Times New Roman" w:hAnsi="Times New Roman"/>
                <w:sz w:val="18"/>
                <w:szCs w:val="18"/>
              </w:rPr>
              <w:t xml:space="preserve">E1-102, E7-059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13.23.2 (PDF p. 37) × P7 III.4.6 (p. 31)</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Somatório limitado a 2 atestados, contra a orientação do TCE-RO relatada no P7</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P7 afirma que o Edital admite o somatório de atestados, inclusive de contratos concomitantes, por orientação do TCE-RO no processo de anulação. O Edital limita o somatório a dois atestados, sem justificativa, e não menciona contratos concomitantes. A orientação do TCE-RO é referida como fato documental (P7, p. 31); seu teor exato depende dos acórdãos.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limite favorece quem tem poucos atestados de grande porte; levantar ou não depende do acervo do grupo e dos concorrentes.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C-333</w:t>
            </w:r>
          </w:p>
          <w:p>
            <w:pPr>
              <w:spacing w:after="40" w:line="240"/>
              <w:jc w:val="left"/>
            </w:pPr>
            <w:r>
              <w:rPr>
                <w:rFonts w:ascii="Times New Roman" w:cs="Times New Roman" w:eastAsia="Times New Roman" w:hAnsi="Times New Roman"/>
                <w:sz w:val="18"/>
                <w:szCs w:val="18"/>
              </w:rPr>
              <w:t xml:space="preserve">E1-103</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13.23.2.1 (PDF p. 37)</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Participação mínima de 25% no consórcio para o consorciado que apresenta os atestados</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A lei admite o somatório dos quantitativos de cada consorciado para a habilitação técnica, sem participação mínima. O Edital não justifica o piso de 25%, que impede o operador técnico de entrar com participação minoritária e afeta consórcios com investidores financeiros.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efeito depende de o grupo pretender liderar o consórcio ou entrar como operador minoritário.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C-334</w:t>
            </w:r>
          </w:p>
          <w:p>
            <w:pPr>
              <w:spacing w:after="40" w:line="240"/>
              <w:jc w:val="left"/>
            </w:pPr>
            <w:r>
              <w:rPr>
                <w:rFonts w:ascii="Times New Roman" w:cs="Times New Roman" w:eastAsia="Times New Roman" w:hAnsi="Times New Roman"/>
                <w:sz w:val="18"/>
                <w:szCs w:val="18"/>
              </w:rPr>
              <w:t xml:space="preserve">E1-104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13.25 e 13.25.2 (PDF p. 37)</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Atestado de empresa do grupo reduzido pela proporção da participação societária</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Edital admite atestados de controladas e controladoras, mas reduz o quantitativo pela proporção societária: a controladora com 51% de uma controlada aproveita só 51% da experiência dela. A lei prevê proporcionalidade apenas para atestado de consórcio homogêneo que não identifique as atividades de cada consorciado.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O efeito depende da estrutura societária das empresas do grupo titulares dos atestados.</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C-335</w:t>
            </w:r>
          </w:p>
          <w:p>
            <w:pPr>
              <w:spacing w:after="40" w:line="240"/>
              <w:jc w:val="left"/>
            </w:pPr>
            <w:r>
              <w:rPr>
                <w:rFonts w:ascii="Times New Roman" w:cs="Times New Roman" w:eastAsia="Times New Roman" w:hAnsi="Times New Roman"/>
                <w:sz w:val="18"/>
                <w:szCs w:val="18"/>
              </w:rPr>
              <w:t xml:space="preserve">E1-105</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13.30 (PDF p. 39) e 20.1.9-20.1.10 (p. 49)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Capacidade técnico-profissional substitui integralmente a técnico-operacional (13.30)</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13.30 permite trocar toda a comprovação técnico-operacional (13.23) por atestados de profissionais, sem quantitativos, sem registro em conselho e com remissão errada às alíneas (a) a (h) do 13.27. O item fala em 'quadro permanente', mas a alínea d aceita profissional contratado só em caso de êxito. Quem usa a alternativa fica dispensado dos 12 meses, do somatório e dos 25% dos itens 13.23.1 a 13.23.2.1. Em obras e serviços de engenharia, o profissional deve ser registrado no conselho e deter atestado de responsabilidade técnica.</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alternativa amplia a competição; impugná-la pode eliminar concorrentes sem acervo operacional, mas expõe o grupo ao argumento de restrição.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C-336</w:t>
            </w:r>
          </w:p>
          <w:p>
            <w:pPr>
              <w:spacing w:after="40" w:line="240"/>
              <w:jc w:val="left"/>
            </w:pPr>
            <w:r>
              <w:rPr>
                <w:rFonts w:ascii="Times New Roman" w:cs="Times New Roman" w:eastAsia="Times New Roman" w:hAnsi="Times New Roman"/>
                <w:sz w:val="18"/>
                <w:szCs w:val="18"/>
              </w:rPr>
              <w:t xml:space="preserve">E1-094</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13.23-13.30 (PDF p. 36-39) × 20.1.7 (p. 49)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Habilitação sem registro no CREA/CAU nem atestado com CAT, apesar das obras de engenharia</w:t>
            </w:r>
          </w:p>
          <w:p>
            <w:pPr>
              <w:spacing w:after="40" w:line="240"/>
              <w:jc w:val="left"/>
            </w:pPr>
            <w:r>
              <w:rPr>
                <w:rFonts w:ascii="Times New Roman" w:cs="Times New Roman" w:eastAsia="Times New Roman" w:hAnsi="Times New Roman"/>
                <w:sz w:val="18"/>
                <w:szCs w:val="18"/>
              </w:rPr>
              <w:t xml:space="preserve">(IRREGULAR)</w:t>
            </w:r>
          </w:p>
          <w:p>
            <w:pPr>
              <w:spacing w:after="40" w:line="240"/>
              <w:jc w:val="left"/>
            </w:pPr>
            <w:r>
              <w:rPr>
                <w:rFonts w:ascii="Times New Roman" w:cs="Times New Roman" w:eastAsia="Times New Roman" w:hAnsi="Times New Roman"/>
                <w:sz w:val="18"/>
                <w:szCs w:val="18"/>
              </w:rPr>
              <w:t xml:space="preserve">O objeto inclui obras e serviços de engenharia (CTR, aterro, ETRs, remediação, recuperação do Jirau). A habilitação técnica não exige registro da empresa no conselho profissional, atestados registrados no conselho nem profissional com CAT; o vínculo com profissional registrado só é cobrado como condição para assinar o contrato (20.1.7).</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Pedir exigências mais rígidas pode eliminar concorrentes sem acervo de engenharia registrado; depende da posição do grupo.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C-346</w:t>
            </w:r>
          </w:p>
          <w:p>
            <w:pPr>
              <w:spacing w:after="40" w:line="240"/>
              <w:jc w:val="left"/>
            </w:pPr>
            <w:r>
              <w:rPr>
                <w:rFonts w:ascii="Times New Roman" w:cs="Times New Roman" w:eastAsia="Times New Roman" w:hAnsi="Times New Roman"/>
                <w:sz w:val="18"/>
                <w:szCs w:val="18"/>
              </w:rPr>
              <w:t xml:space="preserve">E1-069</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Edital 11.10 (PDF p. 27-28), 11.19 (p. 30) e 13.17.2 (p. 35); Anexo C, Modelos 1 e 2 (p. 22-25)</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Garantia de proposta de 1% do VE no limite legal, cumulada com capital mínimo igual</w:t>
            </w:r>
          </w:p>
          <w:p>
            <w:pPr>
              <w:spacing w:after="40" w:line="240"/>
              <w:jc w:val="left"/>
            </w:pPr>
            <w:r>
              <w:rPr>
                <w:rFonts w:ascii="Times New Roman" w:cs="Times New Roman" w:eastAsia="Times New Roman" w:hAnsi="Times New Roman"/>
                <w:sz w:val="18"/>
                <w:szCs w:val="18"/>
              </w:rPr>
              <w:t xml:space="preserve">(CONFORME)</w:t>
            </w:r>
          </w:p>
          <w:p>
            <w:pPr>
              <w:spacing w:after="40" w:line="240"/>
              <w:jc w:val="left"/>
            </w:pPr>
            <w:r>
              <w:rPr>
                <w:rFonts w:ascii="Times New Roman" w:cs="Times New Roman" w:eastAsia="Times New Roman" w:hAnsi="Times New Roman"/>
                <w:sz w:val="18"/>
                <w:szCs w:val="18"/>
              </w:rPr>
              <w:t xml:space="preserve">O percentual e a aritmética conferem com o limite legal, e o prazo de devolução segue a lei. O valor absoluto decorre do VE nominal de 30 anos e se soma ao capital social mínimo de igual valor (13.17.2), com acréscimo para consórcios. A lei não veda expressamente a cumulação; a leitura do art. 11, I, da Lei 11.079, que remete ao limite do art. 31, III, da Lei 8.666/93, fica para a Fase 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A soma de garantia de proposta e capital mínimo, de R$ 23,1 milhões cada, mais o acréscimo para consórcios, favorece grupos de grande porte.</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RESERVA</w:t>
            </w:r>
          </w:p>
        </w:tc>
      </w:tr>
    </w:tbl>
    <w:p>
      <w:pPr>
        <w:pStyle w:val="Heading2"/>
        <w:keepNext/>
        <w:spacing w:after="120" w:before="240" w:line="360"/>
      </w:pPr>
      <w:r>
        <w:rPr>
          <w:rFonts w:ascii="Times New Roman" w:cs="Times New Roman" w:eastAsia="Times New Roman" w:hAnsi="Times New Roman"/>
          <w:b/>
          <w:bCs/>
          <w:sz w:val="26"/>
          <w:szCs w:val="26"/>
        </w:rPr>
        <w:t xml:space="preserve">Questões formais e condições prévias (2)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6170"/>
        <w:gridCol w:w="2700"/>
        <w:gridCol w:w="16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Nº / origem</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Previsão editalícia / contratual</w:t>
            </w:r>
          </w:p>
        </w:tc>
        <w:tc>
          <w:tcPr>
            <w:tcW w:type="dxa" w:w="6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Ponto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Por que reservar / decisão</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Tipo</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C-399</w:t>
            </w:r>
          </w:p>
          <w:p>
            <w:pPr>
              <w:spacing w:after="40" w:line="240"/>
              <w:jc w:val="left"/>
            </w:pPr>
            <w:r>
              <w:rPr>
                <w:rFonts w:ascii="Times New Roman" w:cs="Times New Roman" w:eastAsia="Times New Roman" w:hAnsi="Times New Roman"/>
                <w:sz w:val="18"/>
                <w:szCs w:val="18"/>
              </w:rPr>
              <w:t xml:space="preserve">E1-016, E5-013, E7-072</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P7 I.2 (PDF p. 11); P1 p. 64 e 88; P0 p. 3 e 26; Edital, preâmbulo (p. 4) e capa (2.ª versão, 08/09/2026)</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Prazo de 180 dias para concluir a nova licitação aparentemente excedido; emergencial em curso</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Segundo o P7, a nova licitação deveria ser concluída em até 180 dias. O Termo de Autorização dos estudos é de 25/09/2025 (prazo de 240 dias), o P6 é de 26/05/2026 e o Edital está em 2.ª versão de 08/09/2026, com cronograma em branco. O P1 registra contrato emergencial ativo da ECOPVH (Contrato 028/PGM/2025). Nenhum documento informa a data da Decisão 001/2025, prorrogação do prazo pelo TCE-RO ou a sucessão de contratações emergenciais. A Lei 14.133 limita a contratação emergencial a 1 ano e veda prorrogação e recontratação da mesma empresa. A transição com o operador emergencial fica em RISCOS_GARANTIAS (E5-012).</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Data da Decisão 001/2025; datas, prazos e aditivos dos contratos emergenciais; eventual decisão do TCE-RO que prorrogue o prazo.</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Levantar o ponto depende da posição do grupo em relação ao prestador emergencial atual e ao contrato emergencial em curso.</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r>
        <w:tc>
          <w:tcPr>
            <w:tcW w:type="dxa" w:w="14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C-406</w:t>
            </w:r>
          </w:p>
          <w:p>
            <w:pPr>
              <w:spacing w:after="40" w:line="240"/>
              <w:jc w:val="left"/>
            </w:pPr>
            <w:r>
              <w:rPr>
                <w:rFonts w:ascii="Times New Roman" w:cs="Times New Roman" w:eastAsia="Times New Roman" w:hAnsi="Times New Roman"/>
                <w:sz w:val="18"/>
                <w:szCs w:val="18"/>
              </w:rPr>
              <w:t xml:space="preserve">E6-063</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P2 VIII (PDF p. 49); P3 IX (p. 54-55); P1 p. 85 e 88; P4 p. 9</w:t>
            </w:r>
          </w:p>
        </w:tc>
        <w:tc>
          <w:tcPr>
            <w:tcW w:type="dxa" w:w="617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Estudos-base de passivos elaborados pela antiga concessionária; disponibilização aos licitantes não verificada</w:t>
            </w:r>
          </w:p>
          <w:p>
            <w:pPr>
              <w:spacing w:after="40" w:line="240"/>
              <w:jc w:val="left"/>
            </w:pPr>
            <w:r>
              <w:rPr>
                <w:rFonts w:ascii="Times New Roman" w:cs="Times New Roman" w:eastAsia="Times New Roman" w:hAnsi="Times New Roman"/>
                <w:sz w:val="18"/>
                <w:szCs w:val="18"/>
              </w:rPr>
              <w:t xml:space="preserve">(DEPENDE_DE_FATO)</w:t>
            </w:r>
          </w:p>
          <w:p>
            <w:pPr>
              <w:spacing w:after="40" w:line="240"/>
              <w:jc w:val="left"/>
            </w:pPr>
            <w:r>
              <w:rPr>
                <w:rFonts w:ascii="Times New Roman" w:cs="Times New Roman" w:eastAsia="Times New Roman" w:hAnsi="Times New Roman"/>
                <w:sz w:val="18"/>
                <w:szCs w:val="18"/>
              </w:rPr>
              <w:t xml:space="preserve">As Avaliações Preliminares de Passivo da Vila Princesa e do Jirau, base dos valores de remediação e do teto contratual, foram elaboradas pela EcoRondônia Ambiental S/A, identificada no P1 como do Grupo Marquise, contratada do Contrato 019/PGM/2024 anulado e titular da LAI do Ecoparque. Os estudos citam também o Relatório de Ratificação do Licenciamento da CTR (SEMPOG, 2024). Não se verificou se esses documentos estão à disposição dos interessados; se não estiverem, há assimetria de informação entre a antiga concessionária e os demais licitantes.</w:t>
            </w:r>
          </w:p>
          <w:p>
            <w:pPr>
              <w:spacing w:after="40" w:line="240"/>
              <w:jc w:val="left"/>
            </w:pPr>
            <w:r>
              <w:rPr>
                <w:rFonts w:ascii="Times New Roman" w:cs="Times New Roman" w:eastAsia="Times New Roman" w:hAnsi="Times New Roman"/>
                <w:b/>
                <w:bCs/>
                <w:sz w:val="18"/>
                <w:szCs w:val="18"/>
              </w:rPr>
              <w:t xml:space="preserve">Depende de:</w:t>
            </w:r>
            <w:r>
              <w:rPr>
                <w:rFonts w:ascii="Times New Roman" w:cs="Times New Roman" w:eastAsia="Times New Roman" w:hAnsi="Times New Roman"/>
                <w:sz w:val="18"/>
                <w:szCs w:val="18"/>
              </w:rPr>
              <w:t xml:space="preserve"> Confirmar se os laudos de passivo e o relatório da SEMPOG integram o data room ou os anexos publicados.</w:t>
            </w:r>
          </w:p>
        </w:tc>
        <w:tc>
          <w:tcPr>
            <w:tcW w:type="dxa" w:w="27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Levantar o ponto depende da relação do grupo com a EcoRondônia/Grupo Marquise e com o Ecoparque.</w:t>
            </w:r>
          </w:p>
        </w:tc>
        <w:tc>
          <w:tcPr>
            <w:tcW w:type="dxa" w:w="16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DECISÃO COMERCIAL</w:t>
            </w:r>
          </w:p>
        </w:tc>
      </w:tr>
    </w:tbl>
    <w:p>
      <w:pPr>
        <w:sectPr>
          <w:headerReference w:type="default" r:id="rId13"/>
          <w:footerReference w:type="default" r:id="rId14"/>
          <w:pgSz w:w="16838" w:h="11906" w:orient="landscape"/>
          <w:pgMar w:top="1134" w:right="1134" w:bottom="1134" w:left="1134" w:header="708" w:footer="708" w:gutter="0"/>
          <w:pgNumType/>
          <w:docGrid w:linePitch="360"/>
        </w:sectPr>
      </w:pPr>
    </w:p>
    <w:p>
      <w:pPr>
        <w:pStyle w:val="Heading1"/>
        <w:keepNext/>
        <w:spacing w:after="120" w:before="240" w:line="360"/>
      </w:pPr>
      <w:r>
        <w:rPr>
          <w:rFonts w:ascii="Times New Roman" w:cs="Times New Roman" w:eastAsia="Times New Roman" w:hAnsi="Times New Roman"/>
          <w:b/>
          <w:bCs/>
          <w:sz w:val="28"/>
          <w:szCs w:val="28"/>
        </w:rPr>
        <w:t xml:space="preserve">5. Diligência externa (fontes fora do pacote do edital)</w:t>
      </w:r>
    </w:p>
    <w:p>
      <w:pPr>
        <w:spacing w:after="80" w:before="0" w:line="360"/>
        <w:jc w:val="both"/>
      </w:pPr>
      <w:r>
        <w:rPr>
          <w:rFonts w:ascii="Times New Roman" w:cs="Times New Roman" w:eastAsia="Times New Roman" w:hAnsi="Times New Roman"/>
          <w:sz w:val="24"/>
          <w:szCs w:val="24"/>
        </w:rPr>
        <w:t xml:space="preserve">Diligência feita em 08/10/2026 em fontes abertas, por solicitação do advogado: (i) vínculos entre a Orizon e o consórcio autor dos estudos (PEZCO, PSP Hub, Masterpro e Apparecido &amp; Carvalho Pinto Advogados); (ii) situação do aterro Ecoparque.</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Vínculo Orizon × consórcio: não localizado.</w:t>
      </w:r>
      <w:r>
        <w:rPr>
          <w:rFonts w:ascii="Times New Roman" w:cs="Times New Roman" w:eastAsia="Times New Roman" w:hAnsi="Times New Roman"/>
          <w:sz w:val="24"/>
          <w:szCs w:val="24"/>
        </w:rPr>
        <w:t xml:space="preserve"> As credenciais do consórcio (kick-off de out/2025 e MIP de abr/2025, publicados pela Prefeitura) citam só clientes públicos e multilaterais (BID, CAF, AFD, Banco Mundial, Ministério da Economia/PNUD). A Masterpro cita operadores de saneamento (AEGEA, Iguá, Saneflow). Não foi localizada assessoria, mandato, estudo ou evento conjunto com a Orizon, a Vital Engenharia ou associações do setor. A PEZCO declara atuar também para licitantes privados (ex.: PPP prisional de Erechim).</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Alcance da vedação do Edital 8.2, 'm':</w:t>
      </w:r>
      <w:r>
        <w:rPr>
          <w:rFonts w:ascii="Times New Roman" w:cs="Times New Roman" w:eastAsia="Times New Roman" w:hAnsi="Times New Roman"/>
          <w:sz w:val="24"/>
          <w:szCs w:val="24"/>
        </w:rPr>
        <w:t xml:space="preserve"> a alínea alcança só o vínculo com os autores 'relacionado à avaliação da PPP e/ou à formulação de proposta nesta LICITAÇÃO'. Um trabalho anterior não relacionado, por si só, não aciona a vedação.</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O Ecoparque é controlado pela Orizon (fonte primária da empresa).</w:t>
      </w:r>
      <w:r>
        <w:rPr>
          <w:rFonts w:ascii="Times New Roman" w:cs="Times New Roman" w:eastAsia="Times New Roman" w:hAnsi="Times New Roman"/>
          <w:sz w:val="24"/>
          <w:szCs w:val="24"/>
        </w:rPr>
        <w:t xml:space="preserve"> Pelo Fato Relevante de 23/01/2023, a Orizon adquiriu, via Orizon Meio Ambiente, 51% da CTR Porto Velho S.A. por ≈ R$ 10 mi. A Ecofort Engenharia Ambiental ficou como minoritária, com confissão de dívida de ≈ R$ 11 mi, contrato de arrendamento da área do aterro entre CTR PV e Ecofort e acordo de acionistas.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Situação em 30/09/2025 (ITR 3T25):</w:t>
      </w:r>
      <w:r>
        <w:rPr>
          <w:rFonts w:ascii="Times New Roman" w:cs="Times New Roman" w:eastAsia="Times New Roman" w:hAnsi="Times New Roman"/>
          <w:sz w:val="24"/>
          <w:szCs w:val="24"/>
        </w:rPr>
        <w:t xml:space="preserve"> a CTR PV continua controlada indireta da Orizon (51%), com R$ 16,7 mi em aberto de empréstimos ligados 'à aquisição do ecoparque de Porto Velho'. O Relatório de Sustentabilidade 2023 lista o 'Ecoparque Porto Velho (RO)' como unidade do grupo (área própria, 1.198.000 m²).</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Licitação anterior [fonte secundária]:</w:t>
      </w:r>
      <w:r>
        <w:rPr>
          <w:rFonts w:ascii="Times New Roman" w:cs="Times New Roman" w:eastAsia="Times New Roman" w:hAnsi="Times New Roman"/>
          <w:sz w:val="24"/>
          <w:szCs w:val="24"/>
        </w:rPr>
        <w:t xml:space="preserve"> a Orizon Meio Ambiente teve garantia de proposta aceita na Concorrência 003/2021 (maio/2023) e não chegou à habilitação. Venceu a Marquise. O PMI 002/2018 que originou aquela licitação teve estudos da Construtora Marquise com a FIPE.</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Contrato anulado ainda em litígio [fonte secundária]:</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03/10/2025: mandado de segurança restabeleceu o Contrato 019/PGM/2024.</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29/10/2025: um desembargador suspendeu esse efeito.</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25/09/2026: o TCE-RO manteve medida cautelar (débito preliminar R$ 13,03 mi).</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Há ação civil pública em curso (despacho de 01/09/2026).</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O Edital fala em 'anulação integral' sem mencionar o litígio.</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Licenciamento e contrato do Ecoparque [fonte secundária]:</w:t>
      </w:r>
      <w:r>
        <w:rPr>
          <w:rFonts w:ascii="Times New Roman" w:cs="Times New Roman" w:eastAsia="Times New Roman" w:hAnsi="Times New Roman"/>
          <w:sz w:val="24"/>
          <w:szCs w:val="24"/>
        </w:rPr>
        <w:t xml:space="preserve"> em 01/07/2026 foi publicada a LO 159654/COLMAM/SEDAM em nome da CTR Porto Velho S/A, não registrada nos estudos. O Contrato 042/PGM/2023 com a CTR Porto Velho S.A. é de R$ 19,38 mi.</w:t>
      </w:r>
    </w:p>
    <w:p>
      <w:pPr>
        <w:spacing w:after="80" w:before="0" w:line="360"/>
        <w:jc w:val="both"/>
      </w:pPr>
      <w:r>
        <w:rPr>
          <w:rFonts w:ascii="Times New Roman" w:cs="Times New Roman" w:eastAsia="Times New Roman" w:hAnsi="Times New Roman"/>
          <w:b/>
          <w:bCs/>
          <w:sz w:val="24"/>
          <w:szCs w:val="24"/>
        </w:rPr>
        <w:t xml:space="preserve">Leitura para a análise:</w:t>
      </w:r>
      <w:r>
        <w:rPr>
          <w:rFonts w:ascii="Times New Roman" w:cs="Times New Roman" w:eastAsia="Times New Roman" w:hAnsi="Times New Roman"/>
          <w:sz w:val="24"/>
          <w:szCs w:val="24"/>
        </w:rPr>
        <w:t xml:space="preserve"> a estrutura do Contrato favorece o detentor do único aterro licenciado da Sede, que é controlado pela Orizon. Os elementos são:</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cl. 10.9: a concessionária mantém a LAO do Ecoparque por todo o prazo;</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cl. 10.13: aterro próprio em propriedade plena, com 30 anos de vida útil remanescente e risco integral, sem reequilíbrio;</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dependência do Ecoparque na transição;</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LAO municipal até out/2028.</w:t>
      </w:r>
    </w:p>
    <w:p>
      <w:pPr>
        <w:spacing w:after="80" w:before="0" w:line="360"/>
        <w:jc w:val="both"/>
      </w:pPr>
      <w:r>
        <w:rPr>
          <w:rFonts w:ascii="Times New Roman" w:cs="Times New Roman" w:eastAsia="Times New Roman" w:hAnsi="Times New Roman"/>
          <w:sz w:val="24"/>
          <w:szCs w:val="24"/>
        </w:rPr>
        <w:t xml:space="preserve">O enquadramento como impugnação ou reserva depende da posição comercial do grupo em relação à Orizon e à Ecofort.</w:t>
      </w:r>
    </w:p>
    <w:p>
      <w:pPr>
        <w:pStyle w:val="Heading2"/>
        <w:keepNext/>
        <w:spacing w:after="120" w:before="240" w:line="360"/>
      </w:pPr>
      <w:r>
        <w:rPr>
          <w:rFonts w:ascii="Times New Roman" w:cs="Times New Roman" w:eastAsia="Times New Roman" w:hAnsi="Times New Roman"/>
          <w:b/>
          <w:bCs/>
          <w:sz w:val="26"/>
          <w:szCs w:val="26"/>
        </w:rPr>
        <w:t xml:space="preserve">Fontes consultadas</w:t>
      </w:r>
    </w:p>
    <w:p>
      <w:pPr>
        <w:pStyle w:val="ListParagraph"/>
        <w:numPr>
          <w:ilvl w:val="0"/>
          <w:numId w:val="2"/>
        </w:numPr>
        <w:spacing w:after="40" w:before="0" w:line="360"/>
        <w:jc w:val="left"/>
      </w:pPr>
      <w:r>
        <w:rPr>
          <w:rFonts w:ascii="Times New Roman" w:cs="Times New Roman" w:eastAsia="Times New Roman" w:hAnsi="Times New Roman"/>
          <w:sz w:val="20"/>
          <w:szCs w:val="20"/>
        </w:rPr>
        <w:t xml:space="preserve">Orizon — Fato Relevante de 23/01/2023 (api.mziq.com/mzfilemanager/v2/d/9267dc34-24be-4623-bcda-2414abcbda9a/e1ddf90d-b98b-9130-85fd-cfc87cdc02d8)</w:t>
      </w:r>
    </w:p>
    <w:p>
      <w:pPr>
        <w:pStyle w:val="ListParagraph"/>
        <w:numPr>
          <w:ilvl w:val="0"/>
          <w:numId w:val="2"/>
        </w:numPr>
        <w:spacing w:after="40" w:before="0" w:line="360"/>
        <w:jc w:val="left"/>
      </w:pPr>
      <w:r>
        <w:rPr>
          <w:rFonts w:ascii="Times New Roman" w:cs="Times New Roman" w:eastAsia="Times New Roman" w:hAnsi="Times New Roman"/>
          <w:sz w:val="20"/>
          <w:szCs w:val="20"/>
        </w:rPr>
        <w:t xml:space="preserve">Orizon VR — ITR de 30/09/2025 (s3.glbimg.com/.../orizon1586183619112025.pdf)</w:t>
      </w:r>
    </w:p>
    <w:p>
      <w:pPr>
        <w:pStyle w:val="ListParagraph"/>
        <w:numPr>
          <w:ilvl w:val="0"/>
          <w:numId w:val="2"/>
        </w:numPr>
        <w:spacing w:after="40" w:before="0" w:line="360"/>
        <w:jc w:val="left"/>
      </w:pPr>
      <w:r>
        <w:rPr>
          <w:rFonts w:ascii="Times New Roman" w:cs="Times New Roman" w:eastAsia="Times New Roman" w:hAnsi="Times New Roman"/>
          <w:sz w:val="20"/>
          <w:szCs w:val="20"/>
        </w:rPr>
        <w:t xml:space="preserve">Orizon — Relatório de Sustentabilidade 2023 (orizonvr.com.br/novo_site/wp-content/uploads/2024/05/grupoOrizon_RelatorioSust2023_Versao-Final.pdf)</w:t>
      </w:r>
    </w:p>
    <w:p>
      <w:pPr>
        <w:pStyle w:val="ListParagraph"/>
        <w:numPr>
          <w:ilvl w:val="0"/>
          <w:numId w:val="2"/>
        </w:numPr>
        <w:spacing w:after="40" w:before="0" w:line="360"/>
        <w:jc w:val="left"/>
      </w:pPr>
      <w:r>
        <w:rPr>
          <w:rFonts w:ascii="Times New Roman" w:cs="Times New Roman" w:eastAsia="Times New Roman" w:hAnsi="Times New Roman"/>
          <w:sz w:val="20"/>
          <w:szCs w:val="20"/>
        </w:rPr>
        <w:t xml:space="preserve">Prefeitura de Porto Velho/CGP — Reunião de Kick-off do PMI RSU (cgp.portovelho.ro.gov.br/uploads/editor/files/Reunião de Kick-off.pdf)</w:t>
      </w:r>
    </w:p>
    <w:p>
      <w:pPr>
        <w:pStyle w:val="ListParagraph"/>
        <w:numPr>
          <w:ilvl w:val="0"/>
          <w:numId w:val="2"/>
        </w:numPr>
        <w:spacing w:after="40" w:before="0" w:line="360"/>
        <w:jc w:val="left"/>
      </w:pPr>
      <w:r>
        <w:rPr>
          <w:rFonts w:ascii="Times New Roman" w:cs="Times New Roman" w:eastAsia="Times New Roman" w:hAnsi="Times New Roman"/>
          <w:sz w:val="20"/>
          <w:szCs w:val="20"/>
        </w:rPr>
        <w:t xml:space="preserve">Prefeitura de Porto Velho — MIP de parques urbanos (portovelho.ro.gov.br/uploads/editor/files/Manifestação de Interesse da Iniciativa Privada – MIP(1).pdf)</w:t>
      </w:r>
    </w:p>
    <w:p>
      <w:pPr>
        <w:pStyle w:val="ListParagraph"/>
        <w:numPr>
          <w:ilvl w:val="0"/>
          <w:numId w:val="2"/>
        </w:numPr>
        <w:spacing w:after="40" w:before="0" w:line="360"/>
        <w:jc w:val="left"/>
      </w:pPr>
      <w:r>
        <w:rPr>
          <w:rFonts w:ascii="Times New Roman" w:cs="Times New Roman" w:eastAsia="Times New Roman" w:hAnsi="Times New Roman"/>
          <w:sz w:val="20"/>
          <w:szCs w:val="20"/>
        </w:rPr>
        <w:t xml:space="preserve">Radar PPP — Resíduos Sólidos, Primeira Concessão (Porto Velho) (radarppp.com/resumo-de-contratos-de-ppps/residuos-solidos-porto-velho/)</w:t>
      </w:r>
    </w:p>
    <w:p>
      <w:pPr>
        <w:pStyle w:val="ListParagraph"/>
        <w:numPr>
          <w:ilvl w:val="0"/>
          <w:numId w:val="2"/>
        </w:numPr>
        <w:spacing w:after="40" w:before="0" w:line="360"/>
        <w:jc w:val="left"/>
      </w:pPr>
      <w:r>
        <w:rPr>
          <w:rFonts w:ascii="Times New Roman" w:cs="Times New Roman" w:eastAsia="Times New Roman" w:hAnsi="Times New Roman"/>
          <w:sz w:val="20"/>
          <w:szCs w:val="20"/>
        </w:rPr>
        <w:t xml:space="preserve">Rondoniagora — 'Justiça determina que Prefeitura restabeleça contrato de coleta de lixo com a Ecorondônia em 24 horas' (04/10/2025)</w:t>
      </w:r>
    </w:p>
    <w:p>
      <w:pPr>
        <w:pStyle w:val="ListParagraph"/>
        <w:numPr>
          <w:ilvl w:val="0"/>
          <w:numId w:val="2"/>
        </w:numPr>
        <w:spacing w:after="40" w:before="0" w:line="360"/>
        <w:jc w:val="left"/>
      </w:pPr>
      <w:r>
        <w:rPr>
          <w:rFonts w:ascii="Times New Roman" w:cs="Times New Roman" w:eastAsia="Times New Roman" w:hAnsi="Times New Roman"/>
          <w:sz w:val="20"/>
          <w:szCs w:val="20"/>
        </w:rPr>
        <w:t xml:space="preserve">News Rondônia — 'Recebimento da Licença Ambiental: CTR PORTO VELHO S/A' (01/07/2026)</w:t>
      </w:r>
    </w:p>
    <w:p>
      <w:pPr>
        <w:pStyle w:val="ListParagraph"/>
        <w:numPr>
          <w:ilvl w:val="0"/>
          <w:numId w:val="2"/>
        </w:numPr>
        <w:spacing w:after="40" w:before="0" w:line="360"/>
        <w:jc w:val="left"/>
      </w:pPr>
      <w:r>
        <w:rPr>
          <w:rFonts w:ascii="Times New Roman" w:cs="Times New Roman" w:eastAsia="Times New Roman" w:hAnsi="Times New Roman"/>
          <w:sz w:val="20"/>
          <w:szCs w:val="20"/>
        </w:rPr>
        <w:t xml:space="preserve">Apparecido e Carvalho Pinto Advogados (acp.adv.br/equipe); PSP Hub (psphub.org); Master Pro Engenharia (masterproengenharia.com.br); Ipea TD 3077</w:t>
      </w:r>
    </w:p>
    <w:p>
      <w:pPr>
        <w:pStyle w:val="Heading1"/>
        <w:keepNext/>
        <w:spacing w:after="120" w:before="240" w:line="360"/>
      </w:pPr>
      <w:r>
        <w:rPr>
          <w:rFonts w:ascii="Times New Roman" w:cs="Times New Roman" w:eastAsia="Times New Roman" w:hAnsi="Times New Roman"/>
          <w:b/>
          <w:bCs/>
          <w:sz w:val="28"/>
          <w:szCs w:val="28"/>
        </w:rPr>
        <w:t xml:space="preserve">6. Documentos e dados ausentes do pacote</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Inteiro teor dos Acórdãos APL-TC 00068/24 e 00105/24 (TCE-RO, Processo 00421/2022) e da Decisão 001/2025/GAB-PREF/PMPV. Sem eles não é possível verificar, determinação por determinação, o saneamento afirmado no preâmbulo.</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P5 — Avaliação Econômica da Indenização (previsto no P0 e no cronograma do PMI; ausente do pacote).</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Planilha da modelagem econômico-financeira (DRE, fluxo de caixa, ICSD). Sem ela não é possível reproduzir a contraprestação máxima.</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Lei autorizativa específica da PPP e da vinculação do FPM (o Anexo VI remete genericamente à LC 592/2015, art. 54, I); LC 1.013/2025 (ARDPV); LC 878/2021 (taxa de RSU) e dados de arrecadação.</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Estimativa de impacto orçamentário por exercício, declaração do ordenador de despesa, dotação e PPA (em branco no Edital 5.2), datas da consulta e da audiência pública.</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Licença prévia ou diretrizes ambientais expedidas pelo órgão competente; 'Relatório de Ratificação do Licenciamento da CTR' (2024) citado nos estudos.</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Contratos vigentes (042/PGM/2023 Ecoparque; 028/PGM/2025 emergencial; varrição), com preços e prazos; custo atual do serviço.</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Titularidade e matrícula da área da CTR (BR-364, km 10) e situação fundiária do Aterro do Jirau.</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Laudos da avaliação preliminar da Lixeira de Vila Princesa e do Jirau (EcoRondônia/Neomax 2024); laudo do incinerador municipal.</w:t>
      </w:r>
    </w:p>
    <w:p>
      <w:pPr>
        <w:pStyle w:val="ListParagraph"/>
        <w:numPr>
          <w:ilvl w:val="0"/>
          <w:numId w:val="2"/>
        </w:numPr>
        <w:spacing w:after="40" w:before="0" w:line="360"/>
        <w:jc w:val="both"/>
      </w:pPr>
      <w:r>
        <w:rPr>
          <w:rFonts w:ascii="Times New Roman" w:cs="Times New Roman" w:eastAsia="Times New Roman" w:hAnsi="Times New Roman"/>
          <w:sz w:val="24"/>
          <w:szCs w:val="24"/>
        </w:rPr>
        <w:t xml:space="preserve">Texto do PMSB/PMGIRS (LC 972/2023 × LC 839/2021); Termo de Autorização do PMI/MIP 005/2025.</w:t>
      </w:r>
    </w:p>
    <w:p>
      <w:pPr>
        <w:pStyle w:val="Heading1"/>
        <w:keepNext/>
        <w:spacing w:after="120" w:before="240" w:line="360"/>
      </w:pPr>
      <w:r>
        <w:rPr>
          <w:rFonts w:ascii="Times New Roman" w:cs="Times New Roman" w:eastAsia="Times New Roman" w:hAnsi="Times New Roman"/>
          <w:b/>
          <w:bCs/>
          <w:sz w:val="28"/>
          <w:szCs w:val="28"/>
        </w:rPr>
        <w:t xml:space="preserve">7. Itens verificados e conformes (cobertura do checklist)</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C-055</w:t>
      </w:r>
      <w:r>
        <w:rPr>
          <w:rFonts w:ascii="Times New Roman" w:cs="Times New Roman" w:eastAsia="Times New Roman" w:hAnsi="Times New Roman"/>
          <w:sz w:val="20"/>
          <w:szCs w:val="20"/>
        </w:rPr>
        <w:t xml:space="preserve"> — Rastreabilidade de RSS (MTR para 100% e vedação de mistura com RSU) coerente entre Contrato e anexos: Caderno, Anexo III e Contrato convergem na segregação, no MTR e na vedação de mistura desde o primeiro mês; o percentual a que remete o Contrato 10.2.26 é fixado em 100% no Anexo III, coincidente com a 'totalidade' do 8.8, iii. Registro de cobertura.</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C-056</w:t>
      </w:r>
      <w:r>
        <w:rPr>
          <w:rFonts w:ascii="Times New Roman" w:cs="Times New Roman" w:eastAsia="Times New Roman" w:hAnsi="Times New Roman"/>
          <w:sz w:val="20"/>
          <w:szCs w:val="20"/>
        </w:rPr>
        <w:t xml:space="preserve"> — Parâmetros operacionais coerentes: campanhas gravimétricas, equipes da Sede e dados do Baixo Madeira no P1: Caderno e Anexo III fixam de forma compatível no mínimo quatro campanhas gravimétricas anuais por região. As equipes da Sede no P3 fecham com a frota (16 caminhões em operação, 2 turnos, 1 motorista e 3 agentes), com custo unitário de compactador constante em P2, P3 e P6. A população do Baixo Madeira (4.940 habitantes) coincide em P1, P2 e P4, e as distâncias via Rio Jamari da Tabela 5 do P1 fecham aritmeticamente (a divergência do Caderno está em G1-041). Registro de cobertura.</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C-057</w:t>
      </w:r>
      <w:r>
        <w:rPr>
          <w:rFonts w:ascii="Times New Roman" w:cs="Times New Roman" w:eastAsia="Times New Roman" w:hAnsi="Times New Roman"/>
          <w:sz w:val="20"/>
          <w:szCs w:val="20"/>
        </w:rPr>
        <w:t xml:space="preserve"> — Atualidade, utilidades (orientação do TCE-RO) e existência de PMSB/PMGIRS vigente: O Contrato distingue atualização ordinária de novos investimentos passíveis de reequilíbrio. A orientação do TCE-RO sobre utilidades no Processo 00421/2022, descrita pelo P7 (fato documental, p. 27), foi reproduzida no Contrato 10.10. Há plano de saneamento revisado pela LC Municipal n.º 972/2023, requisito de validade do contrato; a divergência de referência à LC n.º 839/2021 está em G1-019. Registro de cobertura.</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C-152</w:t>
      </w:r>
      <w:r>
        <w:rPr>
          <w:rFonts w:ascii="Times New Roman" w:cs="Times New Roman" w:eastAsia="Times New Roman" w:hAnsi="Times New Roman"/>
          <w:sz w:val="20"/>
          <w:szCs w:val="20"/>
        </w:rPr>
        <w:t xml:space="preserve"> — Existem estudo de conveniência da PPP, VfM quantitativo e horizonte de modelagem igual ao prazo (30 anos): O P7 compara contratação tradicional, concessão comum, patrocinada e administrativa. O P6 apresenta VfM em VPL com fórmulas e premissas, e a aritmética entre texto e Tabela 16 fecha (620 − 96 = 524; 743 − 96 = 647; VfM 123). O horizonte de 30 anos coincide com o prazo do Edital, prorrogável até 35. As inconsistências de método constam dos pontos de VfM deste grupo.</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C-153</w:t>
      </w:r>
      <w:r>
        <w:rPr>
          <w:rFonts w:ascii="Times New Roman" w:cs="Times New Roman" w:eastAsia="Times New Roman" w:hAnsi="Times New Roman"/>
          <w:sz w:val="20"/>
          <w:szCs w:val="20"/>
        </w:rPr>
        <w:t xml:space="preserve"> — Aritmética conferida: somas populacionais, projeções iguais entre P2/P3/P6/Caderno, tabelas do P2 e residual do P3: Conferem: soma populacional (460.434) e área (34.094 km²) do P1; médias mensais de 2024 (9.556 t) e 2025 (11.060 t); dado de vidro do P4 compatível com 11,2–11,75 mil t/mês; projeção populacional idêntica em P2, P3, P6 e Caderno, com parcelas regionais somando o total; subtotais e totais das Tabelas 15 e 16 do P2 (diferenças de R$ 1); massa residual do P3 em 16 dos 17 anos tabelados (exceção: 2037).</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C-189</w:t>
      </w:r>
      <w:r>
        <w:rPr>
          <w:rFonts w:ascii="Times New Roman" w:cs="Times New Roman" w:eastAsia="Times New Roman" w:hAnsi="Times New Roman"/>
          <w:sz w:val="20"/>
          <w:szCs w:val="20"/>
        </w:rPr>
        <w:t xml:space="preserve"> — Reajuste automático anual, sem homologação, com data-base no orçamento estimado (maio/2026): Automaticidade, anualidade e vínculo à data do orçamento estimado (maio/2026, igual à data-base da proposta) estão previstos. A cláusula não reproduz a faculdade legal de rejeição motivada pela Administração, que se aplica por força de lei. O índice e a fórmula, porém, inexistem (ver ponto de reajuste).</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C-190</w:t>
      </w:r>
      <w:r>
        <w:rPr>
          <w:rFonts w:ascii="Times New Roman" w:cs="Times New Roman" w:eastAsia="Times New Roman" w:hAnsi="Times New Roman"/>
          <w:sz w:val="20"/>
          <w:szCs w:val="20"/>
        </w:rPr>
        <w:t xml:space="preserve"> — Pesos por dimensão e por indicador do IQS somam 100%: IC 10,5 + 4,5 = 15; IO 38,5 + 2,7 + 2,7 + 8,3 + 2,8 = 55; IQ 6 + 2 + 0,5 + 1,5 = 10; IE 10,6 + 1,2 + 2,4 + 2,2 + 2,6 + 1,0 = 20; total 100%. A inconsistência está na fórmula, que não usa os pesos.</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C-274</w:t>
      </w:r>
      <w:r>
        <w:rPr>
          <w:rFonts w:ascii="Times New Roman" w:cs="Times New Roman" w:eastAsia="Times New Roman" w:hAnsi="Times New Roman"/>
          <w:sz w:val="20"/>
          <w:szCs w:val="20"/>
        </w:rPr>
        <w:t xml:space="preserve"> — Matriz de Riscos preenchida e coerente na pontuação; inadimplência, fato do príncipe (regra geral) e consulta prévia alocados ao PC: A Matriz traz 45 riscos com causa, efeito, P×I, alocação, justificativa, mitigação, indicadores e consequência, com score aritmeticamente coerente (ex.: TO-04 = 5×4 = 20). Aloca ao Poder Concedente a inadimplência da contraprestação, o fato do príncipe normativo dos três entes (com a ressalva de G3-060) e embargos por falha de consulta prévia ou passivo preexistente, com gatilhos objetivos.</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C-275</w:t>
      </w:r>
      <w:r>
        <w:rPr>
          <w:rFonts w:ascii="Times New Roman" w:cs="Times New Roman" w:eastAsia="Times New Roman" w:hAnsi="Times New Roman"/>
          <w:sz w:val="20"/>
          <w:szCs w:val="20"/>
        </w:rPr>
        <w:t xml:space="preserve"> — Garantias: 10% de garantia de execução, Conta Garantia de 2 contraprestações, mora do PC e direitos emergentes: O percentual de 10% está no limite legal admitido mediante justificativa de complexidade e risco, apresentada no P7 (base indefinida tratada em G3-066). A Conta Garantia de 2 contraprestações (2 × R$ 6.505.697,97 = R$ 13.011.395,94) é dimensionada de forma coerente entre P6, Edital e Anexo VI (base e fonte tratadas em G3-007, G3-004 e G3-001). O regime de mora do Poder Concedente prevê atualização, juros e multa, e a garantia dos direitos emergentes aos financiadores depende de autorização do Poder Concedente.</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C-276</w:t>
      </w:r>
      <w:r>
        <w:rPr>
          <w:rFonts w:ascii="Times New Roman" w:cs="Times New Roman" w:eastAsia="Times New Roman" w:hAnsi="Times New Roman"/>
          <w:sz w:val="20"/>
          <w:szCs w:val="20"/>
        </w:rPr>
        <w:t xml:space="preserve"> — Encampação com lei autorizativa e indenização prévia; ritos da caducidade e da intervenção; vistoria de bens reversíveis: Os requisitos legais da encampação (lei autorizativa e indenização prévia), o rito da caducidade (notificação prévia, processo, prazo de cura não inferior a 30 dias) e da intervenção (instauração em 30 dias e conclusão em 180 dias) reproduzem a lei. Há vistoria prévia à reversão pela ARDPV com apoio do VI e retenção de pagamentos para reparos (operacionalidade da retenção tratada em G3-011).</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C-277</w:t>
      </w:r>
      <w:r>
        <w:rPr>
          <w:rFonts w:ascii="Times New Roman" w:cs="Times New Roman" w:eastAsia="Times New Roman" w:hAnsi="Times New Roman"/>
          <w:sz w:val="20"/>
          <w:szCs w:val="20"/>
        </w:rPr>
        <w:t xml:space="preserve"> — Passivos preexistentes ao PC com regresso; teto da intervenção com excedente ao PC; escopo de investimentos fechado; sobreposição na transição: O Contrato atribui ao Poder Concedente os passivos com fato gerador anterior à Ordem de Início, com direito de regresso (8.6.4), e limita o encargo de intervenção na Vila Princesa ao valor modelado, alocando o excedente ao Poder Concedente. O Edital limita as obrigações de investimento às listadas nos anexos e assegura recomposição para exigências adicionais. A sobreposição operacional de 30 dias com o operador cessante foi incorporada (7.4). As ressalvas sobre teto (G3-026, G3-027), linha de corte (G3-030), execução do excedente (G3-029) e vigência do contrato do operador cessante (G3-025) estão nos pontos próprios.</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C-310</w:t>
      </w:r>
      <w:r>
        <w:rPr>
          <w:rFonts w:ascii="Times New Roman" w:cs="Times New Roman" w:eastAsia="Times New Roman" w:hAnsi="Times New Roman"/>
          <w:sz w:val="20"/>
          <w:szCs w:val="20"/>
        </w:rPr>
        <w:t xml:space="preserve"> — ARDPV designada como autarquia; vedações de conflito do VI; reabilitação; LGPD (conceitos, transferência, incidentes); TRCF modelada: A ARDPV é identificada como reguladora dos serviços de RSU, com autonomia declarada (independência efetiva tratada em G3-085). O TR do VI veda vínculo societário, contratual relevante e assessoria em reequilíbrio, exige declarações anuais e permite substituição pelo Poder Concedente. Os requisitos de reabilitação reproduzem a lei. O acordo de dados cita corretamente os conceitos legais, condiciona a transferência internacional às hipóteses legais e fixa comunicação de incidentes em 24 h ao controlador. A TRCF de 1,5% está modelada no P6 de forma coerente com o Contrato (base e circularidade tratadas em G3-089).</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C-345</w:t>
      </w:r>
      <w:r>
        <w:rPr>
          <w:rFonts w:ascii="Times New Roman" w:cs="Times New Roman" w:eastAsia="Times New Roman" w:hAnsi="Times New Roman"/>
          <w:sz w:val="20"/>
          <w:szCs w:val="20"/>
        </w:rPr>
        <w:t xml:space="preserve"> — Consórcio, SPE, visita, habilitação, capital mínimo, atestados de grupo e declarações conformes: Consórcio sem limite de consorciadas, com vedação de dupla participação; SPE constituída e registrada antes da assinatura; visita técnica facultativa, com declaração substitutiva e datas exclusivas; Envelope 3 entregue por todos e aberto só para o mais bem classificado (a relação com o art. 63, II e III, da Lei 14.133 fica para a Fase 2); capital mínimo de 1% do VE e acréscimo de 10% para consórcio; atestados de grupo econômico, de consórcio e de acervo transferido; declarações legais com modelos. A Portaria Conjunta RFB/PGFN 1.751/2014 (13.19.3), segundo busca na web em fontes secundárias, segue vigente com alterações (Portarias Conjuntas 3.193/2017 e 103/2021); confirmar no DOU. Ressalvas: G4-063, G4-066, G4-067, G4-085 e G4-095.</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C-346</w:t>
      </w:r>
      <w:r>
        <w:rPr>
          <w:rFonts w:ascii="Times New Roman" w:cs="Times New Roman" w:eastAsia="Times New Roman" w:hAnsi="Times New Roman"/>
          <w:sz w:val="20"/>
          <w:szCs w:val="20"/>
        </w:rPr>
        <w:t xml:space="preserve"> — Garantia de proposta de 1% do VE no limite legal, cumulada com capital mínimo igual: O percentual e a aritmética conferem com o limite legal, e o prazo de devolução segue a lei. O valor absoluto decorre do VE nominal de 30 anos e se soma ao capital social mínimo de igual valor (13.17.2), com acréscimo para consórcios. A lei não veda expressamente a cumulação; a leitura do art. 11, I, da Lei 11.079, que remete ao limite do art. 31, III, da Lei 8.666/93, fica para a Fase 2.</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C-350</w:t>
      </w:r>
      <w:r>
        <w:rPr>
          <w:rFonts w:ascii="Times New Roman" w:cs="Times New Roman" w:eastAsia="Times New Roman" w:hAnsi="Times New Roman"/>
          <w:sz w:val="20"/>
          <w:szCs w:val="20"/>
        </w:rPr>
        <w:t xml:space="preserve"> — Modalidade, critério, ordem de fases, lances, inexequibilidade, desempate e teto da proposta conformes: Concessão administrativa, concorrência eletrônica, critério de menor contraprestação e julgamento antes da habilitação; corte de 10% (mínimo de 3 licitantes) para lances, dentro do limite de 20%, e intervalo de 0,5%; inexequibilidade abaixo de 75% como presunção relativa, com diligência de 5 dias úteis; desempate pelo art. 60 e preferências do § 1.º (o sorteio final não está no art. 60, mas não localizei vedação); Carta de Proposta coerente com teto, data-base (maio/2026) e validade; teto de R$ 6.505.697,97 igual à soma das Parcelas A e B plenas do P6. Ressalvas: identificação no Envelope 2 (G4-094), benefícios de ME/EPP (G4-096) e decomposição da proposta em Parcelas A e B (E1-077, REMUNERACAO_REAJUSTE).</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C-407</w:t>
      </w:r>
      <w:r>
        <w:rPr>
          <w:rFonts w:ascii="Times New Roman" w:cs="Times New Roman" w:eastAsia="Times New Roman" w:hAnsi="Times New Roman"/>
          <w:sz w:val="20"/>
          <w:szCs w:val="20"/>
        </w:rPr>
        <w:t xml:space="preserve"> — Prazos de impugnação, prazos recursais e ritos sancionatórios conformes: Prazos de 3 dias úteis para impugnar e responder, reabertura de prazo quando a alteração afeta as propostas, 3 dias úteis para recurso e contrarrazões, efeito suspensivo, alcance municipal e máximo de 3 anos do impedimento, 3 a 6 anos de inidoneidade, defesa em 15 dias úteis e comissão de 2 servidores estáveis. Ressalva: a resposta aos esclarecimentos (7.4) remete a data do cronograma ainda em branco.</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C-408</w:t>
      </w:r>
      <w:r>
        <w:rPr>
          <w:rFonts w:ascii="Times New Roman" w:cs="Times New Roman" w:eastAsia="Times New Roman" w:hAnsi="Times New Roman"/>
          <w:sz w:val="20"/>
          <w:szCs w:val="20"/>
        </w:rPr>
        <w:t xml:space="preserve"> — Requisitos gerais da PPP (valor, prazo, PNCP, teto do ressarcimento) conformes: Valor de R$ 2,31 bilhões acima dos mínimos federal e municipal; prazo de 30 anos prorrogável até 35; objeto não restrito a mão de obra ou equipamentos; divulgação no PNCP como condição de eficácia; ressarcimento de R$ 3,14 milhões equivalente a cerca de 1% do CAPEX do P6, abaixo do teto de 2,5% (ressalvadas a base e a especificação, G4-014). Ressalva: inciso errado na fundamentação do prazo (G4-047).</w:t>
      </w:r>
    </w:p>
    <w:p>
      <w:pPr>
        <w:pStyle w:val="ListParagraph"/>
        <w:numPr>
          <w:ilvl w:val="0"/>
          <w:numId w:val="2"/>
        </w:numPr>
        <w:spacing w:after="40" w:before="0" w:line="360"/>
        <w:jc w:val="both"/>
      </w:pPr>
      <w:r>
        <w:rPr>
          <w:rFonts w:ascii="Times New Roman" w:cs="Times New Roman" w:eastAsia="Times New Roman" w:hAnsi="Times New Roman"/>
          <w:b/>
          <w:bCs/>
          <w:sz w:val="20"/>
          <w:szCs w:val="20"/>
        </w:rPr>
        <w:t xml:space="preserve">C-409</w:t>
      </w:r>
      <w:r>
        <w:rPr>
          <w:rFonts w:ascii="Times New Roman" w:cs="Times New Roman" w:eastAsia="Times New Roman" w:hAnsi="Times New Roman"/>
          <w:sz w:val="20"/>
          <w:szCs w:val="20"/>
        </w:rPr>
        <w:t xml:space="preserve"> — Arbitragem no Brasil, em português, de direito e com publicidade; mediação prevista: Sede no Brasil, língua portuguesa, arbitragem de direito restrita a direitos patrimoniais disponíveis, publicidade dos atos e mediação com câmara institucional e custos rateados. Ressalva: câmara não designada e cláusula facultativa (G4-052).</w:t>
      </w:r>
    </w:p>
    <w:sectPr>
      <w:headerReference w:type="default" r:id="rId15"/>
      <w:footerReference w:type="default" r:id="rId1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sz w:val="18"/>
        <w:szCs w:val="18"/>
      </w:rPr>
      <w:t xml:space="preserve">[USO INTERNO] — PPP RSU Porto Velho/RO — Fase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sz w:val="18"/>
        <w:szCs w:val="18"/>
      </w:rPr>
      <w:t xml:space="preserve">[USO INTERNO] — PPP RSU Porto Velho/RO — Fase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sz w:val="18"/>
        <w:szCs w:val="18"/>
      </w:rPr>
      <w:t xml:space="preserve">[USO INTERNO] — PPP RSU Porto Velho/RO — Fase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sz w:val="18"/>
        <w:szCs w:val="18"/>
      </w:rPr>
      <w:t xml:space="preserve">[USO INTERNO] — PPP RSU Porto Velho/RO — Fase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sz w:val="18"/>
        <w:szCs w:val="18"/>
      </w:rPr>
      <w:t xml:space="preserve">[USO INTERNO] — PPP RSU Porto Velho/RO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PPP RSU Porto Velho/RO — Fase 1: Big Numbers e Pontos Impugnáveis</dc:title>
  <dc:creator>solvi-editais — pipeline Fase 1</dc:creator>
  <cp:lastModifiedBy>Un-named</cp:lastModifiedBy>
  <cp:revision>1</cp:revision>
  <dcterms:created xsi:type="dcterms:W3CDTF">2026-10-08T13:20:29.284Z</dcterms:created>
  <dcterms:modified xsi:type="dcterms:W3CDTF">2026-10-08T13:20:29.284Z</dcterms:modified>
</cp:coreProperties>
</file>

<file path=docProps/custom.xml><?xml version="1.0" encoding="utf-8"?>
<Properties xmlns="http://schemas.openxmlformats.org/officeDocument/2006/custom-properties" xmlns:vt="http://schemas.openxmlformats.org/officeDocument/2006/docPropsVTypes"/>
</file>