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PROTEÇÃO CONTRATUAL PÓS-ADJUDICAÇÃO</w:t>
      </w:r>
    </w:p>
    <w:p>
      <w:pPr>
        <w:spacing w:after="4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sz w:val="32"/>
          <w:szCs w:val="32"/>
        </w:rPr>
        <w:t xml:space="preserve">Termo de Assunção Operacional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b/>
          <w:bCs/>
          <w:color w:val="CC0000"/>
          <w:sz w:val="24"/>
          <w:szCs w:val="24"/>
        </w:rPr>
        <w:t xml:space="preserve">[RESERVA — USO INTERNO]</w:t>
      </w:r>
    </w:p>
    <w:p>
      <w:pPr>
        <w:spacing w:after="200" w:before="0" w:line="276"/>
        <w:jc w:val="center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PE 30/2026 (Reabertura) — Porto Ferreira/SP — Agosto/2026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Objetivo: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assinar o termo de assunção operacional prometido pela Administração na resposta à 6.ª impugnação, documentando as condições reais da Vala 05. O laudo atestará o não atendimento da Exigência Técnica 08 da LO, tornando inviável a continuidade da disposição na vala (Item 2). A consequência contratual é a transição para o Item 3 (destinação externa).</w:t>
      </w:r>
    </w:p>
    <w:p>
      <w:pPr>
        <w:spacing w:after="20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Lógica: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 Vala 05 não reúne as condições exigidas pela ET-08 da LO CETESB n.º 4011055. O termo de assunção documenta essa realidade. Se a vala não atende as exigências técnicas da licença de operação, a disposição de resíduos ali (Item 2) não pode prosseguir sem que o Município, titular da licença e do ativo, regularize a situação. Até lá, opera-se pelo Item 3.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 O que a Administração já declarou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2400"/>
        <w:gridCol w:w="32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Declaração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Fonte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Situação atual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"A contratada não responderá por passivos ambientais, estruturais ou operacionais anteriores ao início da execução"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 (T15, C-063)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"Registro das condições iniciais da unidade por ocasião da assunção"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 à 6.ª impugnação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Não incorporada ao edital reaberto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ET-08 da LO: "Implantar em toda a Vala nº 05 sistema de drenagem de chorume, impermeabilização (manta de PEAD) e drenagem de gases"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4011055, Exigência Técnica 08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Condicionante ativa da licença; não atendida integralmente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Observação 05 da LO: descumprimento de exigências técnicas implica cancelamento automático da licença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LO CETESB 4011055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Aplica-se à ET-08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5.5.5–5.5.15: contratada deve "garantir" impermeabilização, drenagem de chorume e drenagem de gases</w:t>
            </w:r>
          </w:p>
        </w:tc>
        <w:tc>
          <w:tcPr>
            <w:tcW w:type="dxa" w:w="2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 do edital reaberto</w:t>
            </w:r>
          </w:p>
        </w:tc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Obrigação transferida sem registro do estado atual dos sistemas</w:t>
            </w:r>
          </w:p>
        </w:tc>
      </w:tr>
    </w:tbl>
    <w:p>
      <w:pPr>
        <w:spacing w:after="200" w:before="12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A resposta à 6.ª impugnação, embora não incorporada formalmente, vincula a Administração (art. 164, parágrafo único, Lei n.º 14.133/2021) e é a base para solicitar o termo de assunção na execução do contrato.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 Sequência pós-adjudicação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Pressupõe vitória no certame.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1 — Solicitação do termo de assunção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imediatamente após a assinatura do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Como: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ofício formal ao CONTRATANTE solicitando a lavratura do termo de assunção operacional, nos termos do compromisso da resposta à 6.ª impugnação.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Fundamento: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art. 5.º da Lei n.º 14.133/2021 (boa-fé, vinculação ao edital); art. 164, parágrafo único (vinculação da resposta); art. 92, XIV (responsabilidades das partes).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Conteúdo do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Referência à resposta à 6.ª impugnação;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Rol de itens a registrar: (a) levantamento planialtimétrico da Vala 05; (b) estado da impermeabilização de base (manta PEAD); (c) estado dos sistemas de drenagem de chorume; (d) estado dos sistemas de drenagem de gases; (e) capacidade volumétrica remanescente; (f) condicionantes ativas da LO; (g) registro fotográfico georreferenciado;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sz w:val="20"/>
          <w:szCs w:val="20"/>
        </w:rPr>
        <w:t xml:space="preserve">• 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Proposta de vistoria conjunta (CONTRATANTE + CONTRATADA + engenheiro RT).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Se o Município protelar, a contratada reitera o ofício e, se necessário, realiza o levantamento por conta própria (laudo com ART/RRT), notificando o CONTRATANTE para acompanhar — preserva a boa-fé e documenta o estado independentemente da adesão do fiscal.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2 — Vistoria e lavratura do termo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primeiros 15–30 dias de contrato (antes do início efetivo da operação da vala, se possível).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Execução: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equipe de engenharia da contratada, preferencialmente acompanhada do fiscal do contrato, realiza vistoria técnica na Vala 05: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Item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O que registrar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Impermeabilização (PEAD)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Presença/ausência em toda a vala; integridade; trechos sem cobertura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chorume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Existência; dimensionamento; estado;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de gases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Existência de drenos; espaçamento; funcionamento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Topografia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Levantamento planialtimétrico; capacidade remanescente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Cobertura diária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Camada sobre resíduos expostos (ET-01)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Drenagem pluvial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Estado do sistema (ET-04)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Passivos aparentes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Chorume aflorante, erosão, vetores, situação geral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Output: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laudo técnico com ART/RRT, formalizado como Termo de Assunção Operacional, entregue ao CONTRATANTE por protocolo.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3 — Constatação do não atendimento da ET-08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A ET-08 exige implantação "em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toda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a Vala nº 05" de três sistemas: drenagem de chorume, impermeabilização com manta PEAD e drenagem de gases. A implantação retroativa desses sistemas em trechos já aterrados é tecnicamente inviável. A vala não atende integralmente a ET-08.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 laudo do termo de assunção documentará essa não conformidade. O registro cumpre duas funções: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Segregação de responsabilidade: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o não atendimento da ET-08 é anterior à assunção — documentado no baseline, é passivo do titular do ativo (Município), conforme o compromisso da 6.ª impugnação.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Inviabilidade da operação pelo Item 2: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se a vala não atende as exigências técnicas da LO, a disposição de resíduos ali não pode prosseguir sem regularização pelo titular da licença. A contratada não pode operar em desacordo com as condicionantes da licença ambiental.</w:t>
      </w:r>
    </w:p>
    <w:p>
      <w:pPr>
        <w:pStyle w:val="Heading3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Etapa 4 — Comunicação ao CONTRATANTE e transição ao Item 3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Quando: 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após a conclusão do laudo.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Ofício ao CONTRATANTE comunicando os achados do termo de assunção e a consequência contratual. Tom cooperativo — a contratada está compartilhando o resultado do levantamento e solicitando a transição prevista no contrato.</w:t>
      </w:r>
    </w:p>
    <w:p>
      <w:pPr>
        <w:spacing w:after="120" w:before="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O ofício: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1.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Apresenta os achados do termo de assunção quanto à ET-08;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2.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 a vala não atende as exigências técnicas da LO, e que operar nessas condições expõe tanto a contratada quanto o Município;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3.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Registra que, sendo o Município o titular da LO e do ativo, a regularização de condicionantes preexistentes é de sua competência;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4.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Conclui que, não sendo possível a disposição na Vala 05 nas condições atuais, a operação deve transitar para o Item 3 (destinação externa), nos termos do contrato;</w:t>
      </w:r>
    </w:p>
    <w:p>
      <w:pPr>
        <w:spacing w:after="60"/>
        <w:ind w:left="36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5. </w:t>
      </w:r>
      <w:r>
        <w:rPr>
          <w:rFonts w:ascii="Times New Roman" w:cs="Times New Roman" w:eastAsia="Times New Roman" w:hAnsi="Times New Roman"/>
          <w:sz w:val="20"/>
          <w:szCs w:val="20"/>
        </w:rPr>
        <w:t xml:space="preserve">Solicita orientação formal do CONTRATANTE para a transição.</w:t>
      </w:r>
    </w:p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Desdobramentos possíveis: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00"/>
        <w:gridCol w:w="6600"/>
      </w:tblGrid>
      <w:tr>
        <w:trPr>
          <w:tblHeader/>
        </w:trP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Resposta do Município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Encaminhamento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Aceita a transição para o Item 3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Transição documentada por decisão do CONTRATANTE — cenário-alvo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Providencia a regularização da ET-08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colabora operacionalmente dentro do que o contrato prevê e remunera; Item 2 retomado após regularização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Orienta a operação normal sem regularização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registra o risco, opera conforme a orientação formal do CONTRATANTE, com o baseline nos autos — a responsabilidade está segregada</w:t>
            </w:r>
          </w:p>
        </w:tc>
      </w:tr>
      <w:tr>
        <w:tc>
          <w:tcPr>
            <w:tcW w:type="dxa" w:w="3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Silêncio</w:t>
            </w:r>
          </w:p>
        </w:tc>
        <w:tc>
          <w:tcPr>
            <w:tcW w:type="dxa" w:w="6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reitera o ofício; se necessário, provoca o fiscal do contrato (art. 117, Lei 14.133/2021)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 Proteção da contratada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000"/>
        <w:gridCol w:w="3600"/>
        <w:gridCol w:w="5200"/>
      </w:tblGrid>
      <w:tr>
        <w:trPr>
          <w:tblHeader/>
        </w:trP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Etapa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Documento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Função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Vinculação ao compromisso da Administração; boa-fé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com ART/RRT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Baseline: condições preexistentes documentadas; responsabilidade propter rem segregada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Constatação de não conformidade com a ET-08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Registro técnico do fato; inviabilidade do Item 2</w:t>
            </w:r>
          </w:p>
        </w:tc>
      </w:tr>
      <w:tr>
        <w:tc>
          <w:tcPr>
            <w:tcW w:type="dxa" w:w="10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</w:t>
            </w:r>
          </w:p>
        </w:tc>
        <w:tc>
          <w:tcPr>
            <w:tcW w:type="dxa" w:w="3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ao CONTRATANTE</w:t>
            </w:r>
          </w:p>
        </w:tc>
        <w:tc>
          <w:tcPr>
            <w:tcW w:type="dxa" w:w="5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cooperativa; transição ao Item 3 fundamentada</w:t>
            </w:r>
          </w:p>
        </w:tc>
      </w:tr>
    </w:tbl>
    <w:p>
      <w:pPr>
        <w:spacing w:after="120" w:before="120" w:line="276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Em qualquer cenário, a contratada não decide sozinha — solicita orientação do CONTRATANTE, que é o titular da licença e do ativo.</w:t>
      </w:r>
    </w:p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 Cronograma estimado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00"/>
        <w:gridCol w:w="4400"/>
      </w:tblGrid>
      <w:tr>
        <w:trPr>
          <w:tblHeader/>
        </w:trP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Marco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Prazo estimado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Assinatura do contrato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Ofício solicitando termo de assunção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Vistoria e lavratura do termo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D+15 a D+30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Laudo técnico concluído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D+30 a D+45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Comunicação dos achados e pedido de transição ao Item 3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D+45 a D+50</w:t>
            </w:r>
          </w:p>
        </w:tc>
      </w:tr>
      <w:tr>
        <w:tc>
          <w:tcPr>
            <w:tcW w:type="dxa" w:w="5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Resposta/orientação do CONTRATANTE</w:t>
            </w:r>
          </w:p>
        </w:tc>
        <w:tc>
          <w:tcPr>
            <w:tcW w:type="dxa" w:w="44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D+50 a D+65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5. Riscos</w:t>
      </w:r>
    </w:p>
    <w:tbl>
      <w:tblPr>
        <w:tblW w:type="dxa" w:w="9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200"/>
        <w:gridCol w:w="5600"/>
      </w:tblGrid>
      <w:tr>
        <w:trPr>
          <w:tblHeader/>
        </w:trP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Risco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  <w:shd w:fill="1F3864" w:color="auto" w:val="clear"/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0"/>
                <w:szCs w:val="20"/>
              </w:rPr>
              <w:t xml:space="preserve">Mitigação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Município regulariza a ET-08 antes da assunção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vala passa a operar regularmente — risco operacional mitigado; Item 2 opera normalmente até esgotamento da vida útil (1.º semestre de 2027 pelo TR), depois transita ao Item 3 de qualquer forma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alega que a contratada deveria ter identificado a situação antes de contratar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não tinha acesso aos dados técnicos (T9 — dados não divulgados); a visita técnica facultada não substitui levantamento de engenharia; a própria Administração reconheceu a necessidade de baseline na 6.ª impugnação</w:t>
            </w:r>
          </w:p>
        </w:tc>
      </w:tr>
      <w:tr>
        <w:tc>
          <w:tcPr>
            <w:tcW w:type="dxa" w:w="42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CONTRATANTE orienta operação normal sem regularizar</w:t>
            </w:r>
          </w:p>
        </w:tc>
        <w:tc>
          <w:tcPr>
            <w:tcW w:type="dxa" w:w="5600"/>
            <w:tcBorders>
              <w:top w:val="single" w:color="999999" w:sz="1"/>
              <w:left w:val="single" w:color="999999" w:sz="1"/>
              <w:bottom w:val="single" w:color="999999" w:sz="1"/>
              <w:right w:val="single" w:color="999999" w:sz="1"/>
            </w:tcBorders>
          </w:tcPr>
          <w:p>
            <w:pPr>
              <w:spacing w:after="40" w:before="40"/>
              <w:jc w:val="left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A contratada opera conforme a orientação formal do CONTRATANTE, com o registro do baseline nos autos — segregação de responsabilidade documentada no termo de assunção</w:t>
            </w:r>
          </w:p>
        </w:tc>
      </w:tr>
    </w:tbl>
    <w:p>
      <w:pPr>
        <w:pBdr>
          <w:bottom w:val="single" w:color="CCCCCC" w:sz="1" w:space="4"/>
        </w:pBdr>
        <w:spacing w:after="80" w:before="80"/>
      </w:pPr>
    </w:p>
    <w:p>
      <w:pPr>
        <w:spacing w:after="120" w:before="200" w:line="276"/>
        <w:jc w:val="both"/>
      </w:pPr>
      <w:r>
        <w:rPr>
          <w:rFonts w:ascii="Times New Roman" w:cs="Times New Roman" w:eastAsia="Times New Roman" w:hAnsi="Times New Roman"/>
          <w:i/>
          <w:iCs/>
          <w:sz w:val="20"/>
          <w:szCs w:val="20"/>
        </w:rPr>
        <w:t xml:space="preserve">Documento de estratégia interno. Não protocolar. A decisão de adotar este caminho é exclusiva do advogado, em coordenação com a engenharia e a área comercial.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2026-08-21T20:25:03.522Z</dcterms:created>
  <dcterms:modified xsi:type="dcterms:W3CDTF">2026-08-21T20:25:03.540Z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