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04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54"/>
        <w:gridCol w:w="1785"/>
        <w:gridCol w:w="2084"/>
        <w:gridCol w:w="5045"/>
        <w:gridCol w:w="2573"/>
        <w:gridCol w:w="1475"/>
        <w:gridCol w:w="1631"/>
      </w:tblGrid>
      <w:tr w:rsidR="001F5896" w14:paraId="63EE8EB0" w14:textId="77777777" w:rsidTr="00803CBB">
        <w:trPr>
          <w:tblHeader/>
        </w:trPr>
        <w:tc>
          <w:tcPr>
            <w:tcW w:w="454" w:type="dxa"/>
            <w:tcBorders>
              <w:top w:val="single" w:sz="4" w:space="0" w:color="BFBFBF"/>
              <w:left w:val="single" w:sz="4" w:space="0" w:color="BFBFBF"/>
              <w:bottom w:val="single" w:sz="4" w:space="0" w:color="BFBFBF"/>
              <w:right w:val="single" w:sz="4" w:space="0" w:color="BFBFBF"/>
            </w:tcBorders>
            <w:shd w:val="clear" w:color="auto" w:fill="00B0F0"/>
            <w:tcMar>
              <w:top w:w="80" w:type="dxa"/>
              <w:left w:w="90" w:type="dxa"/>
              <w:bottom w:w="80" w:type="dxa"/>
              <w:right w:w="90" w:type="dxa"/>
            </w:tcMar>
            <w:vAlign w:val="center"/>
          </w:tcPr>
          <w:p w14:paraId="0D578301" w14:textId="77777777" w:rsidR="001F5896" w:rsidRDefault="001F5896">
            <w:pPr>
              <w:spacing w:line="250" w:lineRule="auto"/>
              <w:jc w:val="center"/>
            </w:pPr>
            <w:r>
              <w:rPr>
                <w:b/>
                <w:bCs/>
                <w:color w:val="FFFFFF"/>
                <w:sz w:val="16"/>
                <w:szCs w:val="16"/>
              </w:rPr>
              <w:t>Nº</w:t>
            </w:r>
          </w:p>
        </w:tc>
        <w:tc>
          <w:tcPr>
            <w:tcW w:w="1785" w:type="dxa"/>
            <w:tcBorders>
              <w:top w:val="single" w:sz="4" w:space="0" w:color="BFBFBF"/>
              <w:left w:val="single" w:sz="4" w:space="0" w:color="BFBFBF"/>
              <w:bottom w:val="single" w:sz="4" w:space="0" w:color="BFBFBF"/>
              <w:right w:val="single" w:sz="4" w:space="0" w:color="BFBFBF"/>
            </w:tcBorders>
            <w:shd w:val="clear" w:color="auto" w:fill="00B0F0"/>
            <w:tcMar>
              <w:top w:w="80" w:type="dxa"/>
              <w:left w:w="90" w:type="dxa"/>
              <w:bottom w:w="80" w:type="dxa"/>
              <w:right w:w="90" w:type="dxa"/>
            </w:tcMar>
            <w:vAlign w:val="center"/>
          </w:tcPr>
          <w:p w14:paraId="714980F2" w14:textId="77777777" w:rsidR="001F5896" w:rsidRDefault="001F5896">
            <w:pPr>
              <w:spacing w:line="250" w:lineRule="auto"/>
              <w:jc w:val="center"/>
            </w:pPr>
            <w:r>
              <w:rPr>
                <w:b/>
                <w:bCs/>
                <w:color w:val="FFFFFF"/>
                <w:sz w:val="16"/>
                <w:szCs w:val="16"/>
              </w:rPr>
              <w:t>Tema</w:t>
            </w:r>
          </w:p>
        </w:tc>
        <w:tc>
          <w:tcPr>
            <w:tcW w:w="2084" w:type="dxa"/>
            <w:tcBorders>
              <w:top w:val="single" w:sz="4" w:space="0" w:color="BFBFBF"/>
              <w:left w:val="single" w:sz="4" w:space="0" w:color="BFBFBF"/>
              <w:bottom w:val="single" w:sz="4" w:space="0" w:color="BFBFBF"/>
              <w:right w:val="single" w:sz="4" w:space="0" w:color="BFBFBF"/>
            </w:tcBorders>
            <w:shd w:val="clear" w:color="auto" w:fill="00B0F0"/>
            <w:tcMar>
              <w:top w:w="80" w:type="dxa"/>
              <w:left w:w="90" w:type="dxa"/>
              <w:bottom w:w="80" w:type="dxa"/>
              <w:right w:w="90" w:type="dxa"/>
            </w:tcMar>
            <w:vAlign w:val="center"/>
          </w:tcPr>
          <w:p w14:paraId="2BE4BDF9" w14:textId="77777777" w:rsidR="001F5896" w:rsidRDefault="001F5896">
            <w:pPr>
              <w:spacing w:line="250" w:lineRule="auto"/>
              <w:jc w:val="center"/>
            </w:pPr>
            <w:r>
              <w:rPr>
                <w:b/>
                <w:bCs/>
                <w:color w:val="FFFFFF"/>
                <w:sz w:val="16"/>
                <w:szCs w:val="16"/>
              </w:rPr>
              <w:t>Problema</w:t>
            </w:r>
          </w:p>
        </w:tc>
        <w:tc>
          <w:tcPr>
            <w:tcW w:w="5045" w:type="dxa"/>
            <w:tcBorders>
              <w:top w:val="single" w:sz="4" w:space="0" w:color="BFBFBF"/>
              <w:left w:val="single" w:sz="4" w:space="0" w:color="BFBFBF"/>
              <w:bottom w:val="single" w:sz="4" w:space="0" w:color="BFBFBF"/>
              <w:right w:val="single" w:sz="4" w:space="0" w:color="BFBFBF"/>
            </w:tcBorders>
            <w:shd w:val="clear" w:color="auto" w:fill="00B0F0"/>
            <w:tcMar>
              <w:top w:w="80" w:type="dxa"/>
              <w:left w:w="90" w:type="dxa"/>
              <w:bottom w:w="80" w:type="dxa"/>
              <w:right w:w="90" w:type="dxa"/>
            </w:tcMar>
            <w:vAlign w:val="center"/>
          </w:tcPr>
          <w:p w14:paraId="0158CF41" w14:textId="77777777" w:rsidR="001F5896" w:rsidRDefault="001F5896">
            <w:pPr>
              <w:spacing w:line="250" w:lineRule="auto"/>
              <w:jc w:val="center"/>
            </w:pPr>
            <w:r>
              <w:rPr>
                <w:b/>
                <w:bCs/>
                <w:color w:val="FFFFFF"/>
                <w:sz w:val="16"/>
                <w:szCs w:val="16"/>
              </w:rPr>
              <w:t>Argumento</w:t>
            </w:r>
          </w:p>
        </w:tc>
        <w:tc>
          <w:tcPr>
            <w:tcW w:w="2573" w:type="dxa"/>
            <w:tcBorders>
              <w:top w:val="single" w:sz="4" w:space="0" w:color="BFBFBF"/>
              <w:left w:val="single" w:sz="4" w:space="0" w:color="BFBFBF"/>
              <w:bottom w:val="single" w:sz="4" w:space="0" w:color="BFBFBF"/>
              <w:right w:val="single" w:sz="4" w:space="0" w:color="BFBFBF"/>
            </w:tcBorders>
            <w:shd w:val="clear" w:color="auto" w:fill="00B0F0"/>
            <w:tcMar>
              <w:top w:w="80" w:type="dxa"/>
              <w:left w:w="90" w:type="dxa"/>
              <w:bottom w:w="80" w:type="dxa"/>
              <w:right w:w="90" w:type="dxa"/>
            </w:tcMar>
            <w:vAlign w:val="center"/>
          </w:tcPr>
          <w:p w14:paraId="4713A344" w14:textId="77777777" w:rsidR="001F5896" w:rsidRDefault="001F5896">
            <w:pPr>
              <w:spacing w:line="250" w:lineRule="auto"/>
              <w:jc w:val="center"/>
            </w:pPr>
            <w:r>
              <w:rPr>
                <w:b/>
                <w:bCs/>
                <w:color w:val="FFFFFF"/>
                <w:sz w:val="16"/>
                <w:szCs w:val="16"/>
              </w:rPr>
              <w:t>Fundamento</w:t>
            </w:r>
          </w:p>
        </w:tc>
        <w:tc>
          <w:tcPr>
            <w:tcW w:w="1475" w:type="dxa"/>
            <w:tcBorders>
              <w:top w:val="single" w:sz="4" w:space="0" w:color="BFBFBF"/>
              <w:left w:val="single" w:sz="4" w:space="0" w:color="BFBFBF"/>
              <w:bottom w:val="single" w:sz="4" w:space="0" w:color="BFBFBF"/>
              <w:right w:val="single" w:sz="4" w:space="0" w:color="BFBFBF"/>
            </w:tcBorders>
            <w:shd w:val="clear" w:color="auto" w:fill="00B0F0"/>
            <w:tcMar>
              <w:top w:w="80" w:type="dxa"/>
              <w:left w:w="90" w:type="dxa"/>
              <w:bottom w:w="80" w:type="dxa"/>
              <w:right w:w="90" w:type="dxa"/>
            </w:tcMar>
            <w:vAlign w:val="center"/>
          </w:tcPr>
          <w:p w14:paraId="4787DC99" w14:textId="77777777" w:rsidR="001F5896" w:rsidRDefault="001F5896">
            <w:pPr>
              <w:spacing w:line="250" w:lineRule="auto"/>
              <w:jc w:val="center"/>
            </w:pPr>
            <w:r>
              <w:rPr>
                <w:b/>
                <w:bCs/>
                <w:color w:val="FFFFFF"/>
                <w:sz w:val="16"/>
                <w:szCs w:val="16"/>
              </w:rPr>
              <w:t>Esclarecimentos?</w:t>
            </w:r>
          </w:p>
        </w:tc>
        <w:tc>
          <w:tcPr>
            <w:tcW w:w="1631" w:type="dxa"/>
            <w:tcBorders>
              <w:top w:val="single" w:sz="4" w:space="0" w:color="BFBFBF"/>
              <w:left w:val="single" w:sz="4" w:space="0" w:color="BFBFBF"/>
              <w:bottom w:val="single" w:sz="4" w:space="0" w:color="BFBFBF"/>
              <w:right w:val="single" w:sz="4" w:space="0" w:color="BFBFBF"/>
            </w:tcBorders>
            <w:shd w:val="clear" w:color="auto" w:fill="00B0F0"/>
            <w:tcMar>
              <w:top w:w="80" w:type="dxa"/>
              <w:left w:w="90" w:type="dxa"/>
              <w:bottom w:w="80" w:type="dxa"/>
              <w:right w:w="90" w:type="dxa"/>
            </w:tcMar>
            <w:vAlign w:val="center"/>
          </w:tcPr>
          <w:p w14:paraId="4226C208" w14:textId="77777777" w:rsidR="001F5896" w:rsidRDefault="001F5896">
            <w:pPr>
              <w:spacing w:line="250" w:lineRule="auto"/>
              <w:jc w:val="center"/>
            </w:pPr>
            <w:r>
              <w:rPr>
                <w:b/>
                <w:bCs/>
                <w:color w:val="FFFFFF"/>
                <w:sz w:val="16"/>
                <w:szCs w:val="16"/>
              </w:rPr>
              <w:t>Aplicação</w:t>
            </w:r>
          </w:p>
        </w:tc>
      </w:tr>
      <w:tr w:rsidR="001F5896" w14:paraId="530F3255" w14:textId="77777777" w:rsidTr="00803CBB">
        <w:tc>
          <w:tcPr>
            <w:tcW w:w="45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51E4D159" w14:textId="77777777" w:rsidR="001F5896" w:rsidRDefault="001F5896">
            <w:pPr>
              <w:spacing w:line="250" w:lineRule="auto"/>
              <w:jc w:val="center"/>
            </w:pPr>
            <w:r>
              <w:rPr>
                <w:b/>
                <w:bCs/>
                <w:sz w:val="18"/>
                <w:szCs w:val="18"/>
              </w:rPr>
              <w:t>1</w:t>
            </w:r>
          </w:p>
        </w:tc>
        <w:tc>
          <w:tcPr>
            <w:tcW w:w="1785" w:type="dxa"/>
            <w:vMerge w:val="restart"/>
            <w:tcBorders>
              <w:top w:val="single" w:sz="4" w:space="0" w:color="BFBFBF"/>
              <w:left w:val="single" w:sz="4" w:space="0" w:color="BFBFBF"/>
              <w:right w:val="single" w:sz="4" w:space="0" w:color="BFBFBF"/>
            </w:tcBorders>
            <w:tcMar>
              <w:top w:w="80" w:type="dxa"/>
              <w:left w:w="90" w:type="dxa"/>
              <w:bottom w:w="80" w:type="dxa"/>
              <w:right w:w="90" w:type="dxa"/>
            </w:tcMar>
            <w:vAlign w:val="center"/>
          </w:tcPr>
          <w:p w14:paraId="63FFC3DF" w14:textId="77777777" w:rsidR="001F5896" w:rsidRDefault="001F5896">
            <w:pPr>
              <w:spacing w:line="250" w:lineRule="auto"/>
              <w:jc w:val="center"/>
            </w:pPr>
            <w:r>
              <w:rPr>
                <w:b/>
                <w:bCs/>
                <w:sz w:val="18"/>
                <w:szCs w:val="18"/>
              </w:rPr>
              <w:t>Divisão em lotes</w:t>
            </w:r>
          </w:p>
          <w:p w14:paraId="52403440" w14:textId="07790C8D" w:rsidR="001F5896" w:rsidRDefault="001F5896" w:rsidP="00EE4E99">
            <w:pPr>
              <w:spacing w:line="250" w:lineRule="auto"/>
            </w:pPr>
          </w:p>
        </w:tc>
        <w:tc>
          <w:tcPr>
            <w:tcW w:w="208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04214AD4" w14:textId="77777777" w:rsidR="001F5896" w:rsidRDefault="001F5896" w:rsidP="00F60929">
            <w:pPr>
              <w:spacing w:line="250" w:lineRule="auto"/>
              <w:jc w:val="center"/>
            </w:pPr>
            <w:r>
              <w:rPr>
                <w:sz w:val="18"/>
                <w:szCs w:val="18"/>
              </w:rPr>
              <w:t>Estrutura em quatro lotes não definida no edital e sem justificativa para o parcelamento</w:t>
            </w:r>
          </w:p>
        </w:tc>
        <w:tc>
          <w:tcPr>
            <w:tcW w:w="504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0C4056C0" w14:textId="77777777" w:rsidR="001F5896" w:rsidRDefault="001F5896">
            <w:pPr>
              <w:spacing w:line="250" w:lineRule="auto"/>
              <w:jc w:val="both"/>
            </w:pPr>
            <w:r>
              <w:rPr>
                <w:sz w:val="18"/>
                <w:szCs w:val="18"/>
              </w:rPr>
              <w:t>A palavra LOTE aparece quatro vezes no edital, sempre dentro da fórmula do critério de julgamento e em nenhuma delas para dizer o que é cada lote. A divisão só existe no item 8.1 do Anexo IV (Lote 1 biodigestão, Lote 2 - Tratamento térmico, Lote 3 - Solução integrada, Lote 4 - Solução alternativa). O edital não descreve o objeto de cada lote, não reparte a capacidade de tratamento e não indica quantos contratos poderão resultar do certame. A esse silêncio soma-se a ausência de justificativa: não há, nos três Cadernos, demonstração de que quatro investimentos autônomos e até quatro concessionárias operando sobre as mesmas 5.200 t/mês sejam mais eficientes do que uma estrutura integrada, nem avaliação da duplicação de CAPEX, da perda de economia de escala e do custo de coordenação. A contratação de mais de uma empresa para o mesmo serviço depende de justificativa expressa e da demonstração de que não há perda de economia de escala.</w:t>
            </w:r>
          </w:p>
        </w:tc>
        <w:tc>
          <w:tcPr>
            <w:tcW w:w="2573"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1B4CABEA" w14:textId="77777777" w:rsidR="001F5896" w:rsidRDefault="001F5896">
            <w:pPr>
              <w:spacing w:line="250" w:lineRule="auto"/>
              <w:jc w:val="both"/>
            </w:pPr>
            <w:r>
              <w:rPr>
                <w:sz w:val="18"/>
                <w:szCs w:val="18"/>
              </w:rPr>
              <w:t>Art. 25, caput, art. 49, caput e parágrafo único, art. 47, §1º, II, e art. 18, §1º, VIII e XI, da Lei 14.133/2021; art. 5º da Lei 14.133/2021 (vinculação ao instrumento convocatório); art. 10, I, "a", e art. 11, I, da Lei 11.079/2004</w:t>
            </w:r>
          </w:p>
        </w:tc>
        <w:tc>
          <w:tcPr>
            <w:tcW w:w="147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3313C5ED" w14:textId="77777777" w:rsidR="001F5896" w:rsidRDefault="001F5896">
            <w:pPr>
              <w:spacing w:line="250" w:lineRule="auto"/>
              <w:jc w:val="center"/>
            </w:pPr>
            <w:r>
              <w:rPr>
                <w:sz w:val="18"/>
                <w:szCs w:val="18"/>
              </w:rPr>
              <w:t>Sim</w:t>
            </w:r>
          </w:p>
        </w:tc>
        <w:tc>
          <w:tcPr>
            <w:tcW w:w="1631"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189CD11E" w14:textId="77777777" w:rsidR="001F5896" w:rsidRDefault="001F5896">
            <w:pPr>
              <w:spacing w:line="250" w:lineRule="auto"/>
              <w:jc w:val="center"/>
            </w:pPr>
            <w:r>
              <w:rPr>
                <w:sz w:val="18"/>
                <w:szCs w:val="18"/>
              </w:rPr>
              <w:t>Administração / TCE / Judiciário</w:t>
            </w:r>
          </w:p>
        </w:tc>
      </w:tr>
      <w:tr w:rsidR="001F5896" w14:paraId="30E6BD7B" w14:textId="77777777" w:rsidTr="00803CBB">
        <w:tc>
          <w:tcPr>
            <w:tcW w:w="45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090AB6D5" w14:textId="77777777" w:rsidR="001F5896" w:rsidRDefault="001F5896">
            <w:pPr>
              <w:spacing w:line="250" w:lineRule="auto"/>
              <w:jc w:val="center"/>
            </w:pPr>
            <w:r>
              <w:rPr>
                <w:b/>
                <w:bCs/>
                <w:sz w:val="18"/>
                <w:szCs w:val="18"/>
              </w:rPr>
              <w:t>2</w:t>
            </w:r>
          </w:p>
        </w:tc>
        <w:tc>
          <w:tcPr>
            <w:tcW w:w="1785" w:type="dxa"/>
            <w:vMerge/>
            <w:tcBorders>
              <w:left w:val="single" w:sz="4" w:space="0" w:color="BFBFBF"/>
              <w:right w:val="single" w:sz="4" w:space="0" w:color="BFBFBF"/>
            </w:tcBorders>
            <w:tcMar>
              <w:top w:w="80" w:type="dxa"/>
              <w:left w:w="90" w:type="dxa"/>
              <w:bottom w:w="80" w:type="dxa"/>
              <w:right w:w="90" w:type="dxa"/>
            </w:tcMar>
            <w:vAlign w:val="center"/>
          </w:tcPr>
          <w:p w14:paraId="7B14B595" w14:textId="2DFD284C" w:rsidR="001F5896" w:rsidRDefault="001F5896" w:rsidP="0039599B">
            <w:pPr>
              <w:spacing w:line="250" w:lineRule="auto"/>
              <w:jc w:val="center"/>
            </w:pPr>
          </w:p>
        </w:tc>
        <w:tc>
          <w:tcPr>
            <w:tcW w:w="208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64871BC6" w14:textId="77777777" w:rsidR="001F5896" w:rsidRDefault="001F5896" w:rsidP="00F60929">
            <w:pPr>
              <w:spacing w:line="250" w:lineRule="auto"/>
              <w:jc w:val="center"/>
            </w:pPr>
            <w:r>
              <w:rPr>
                <w:sz w:val="18"/>
                <w:szCs w:val="18"/>
              </w:rPr>
              <w:t>Regras de participação e de adjudicação por lote contraditórias e sem parâmetro objetivo</w:t>
            </w:r>
          </w:p>
        </w:tc>
        <w:tc>
          <w:tcPr>
            <w:tcW w:w="504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2E416481" w14:textId="77777777" w:rsidR="001F5896" w:rsidRDefault="001F5896">
            <w:pPr>
              <w:spacing w:line="250" w:lineRule="auto"/>
              <w:jc w:val="both"/>
            </w:pPr>
            <w:r>
              <w:rPr>
                <w:sz w:val="18"/>
                <w:szCs w:val="18"/>
              </w:rPr>
              <w:t>O item 17.2.1 do edital determina que a proponente enviará proposta "para uma das 4 SOLUÇÕES ALTERNATIVAS", enquanto a alínea (B) do item 9 do Anexo IV permite propostas "para um ou mais LOTES": dois documentos vinculantes com comandos opostos sobre a unidade de disputa. As alíneas (C), (D) e (F) do mesmo item 9 autorizam adjudicação isolada ou combinada e a contratação de solução única ou de operadores distintos, "a exclusivo critério" do Poder Concedente, sem qualquer regra que informe ao licitante em que hipótese cada arranjo será adotado nem como se apurará a vantajosidade comparativa entre contratar um ou vários lotes. A definição que determina o resultado do certame fica fora do edital.</w:t>
            </w:r>
          </w:p>
        </w:tc>
        <w:tc>
          <w:tcPr>
            <w:tcW w:w="2573"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1DB98015" w14:textId="77777777" w:rsidR="001F5896" w:rsidRDefault="001F5896">
            <w:pPr>
              <w:spacing w:line="250" w:lineRule="auto"/>
              <w:jc w:val="both"/>
            </w:pPr>
            <w:r>
              <w:rPr>
                <w:sz w:val="18"/>
                <w:szCs w:val="18"/>
              </w:rPr>
              <w:t>Art. 5º, art. 11, I, e art. 25 da Lei 14.133/2021; art. 6º, XXIII, da Lei 14.133/2021; art. 37, XXI, da CF/1988</w:t>
            </w:r>
          </w:p>
        </w:tc>
        <w:tc>
          <w:tcPr>
            <w:tcW w:w="147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16A69608" w14:textId="067880D5" w:rsidR="001F5896" w:rsidRDefault="001F5896">
            <w:pPr>
              <w:spacing w:line="250" w:lineRule="auto"/>
              <w:jc w:val="center"/>
            </w:pPr>
            <w:r>
              <w:rPr>
                <w:sz w:val="18"/>
                <w:szCs w:val="18"/>
              </w:rPr>
              <w:t>Sim</w:t>
            </w:r>
          </w:p>
        </w:tc>
        <w:tc>
          <w:tcPr>
            <w:tcW w:w="1631"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0FD6722C" w14:textId="34EB46C0" w:rsidR="001F5896" w:rsidRDefault="001F5896">
            <w:pPr>
              <w:spacing w:line="250" w:lineRule="auto"/>
              <w:jc w:val="center"/>
            </w:pPr>
            <w:r>
              <w:rPr>
                <w:sz w:val="18"/>
                <w:szCs w:val="18"/>
              </w:rPr>
              <w:t>Administração / TCE / Judiciário</w:t>
            </w:r>
          </w:p>
        </w:tc>
      </w:tr>
      <w:tr w:rsidR="001F5896" w14:paraId="6C358D49" w14:textId="77777777" w:rsidTr="00803CBB">
        <w:tc>
          <w:tcPr>
            <w:tcW w:w="45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1EFFD3B4" w14:textId="77777777" w:rsidR="001F5896" w:rsidRDefault="001F5896">
            <w:pPr>
              <w:spacing w:line="250" w:lineRule="auto"/>
              <w:jc w:val="center"/>
            </w:pPr>
            <w:r>
              <w:rPr>
                <w:b/>
                <w:bCs/>
                <w:sz w:val="18"/>
                <w:szCs w:val="18"/>
              </w:rPr>
              <w:t>3</w:t>
            </w:r>
          </w:p>
        </w:tc>
        <w:tc>
          <w:tcPr>
            <w:tcW w:w="1785" w:type="dxa"/>
            <w:vMerge/>
            <w:tcBorders>
              <w:left w:val="single" w:sz="4" w:space="0" w:color="BFBFBF"/>
              <w:right w:val="single" w:sz="4" w:space="0" w:color="BFBFBF"/>
            </w:tcBorders>
            <w:tcMar>
              <w:top w:w="80" w:type="dxa"/>
              <w:left w:w="90" w:type="dxa"/>
              <w:bottom w:w="80" w:type="dxa"/>
              <w:right w:w="90" w:type="dxa"/>
            </w:tcMar>
            <w:vAlign w:val="center"/>
          </w:tcPr>
          <w:p w14:paraId="576966D2" w14:textId="2A432B02" w:rsidR="001F5896" w:rsidRDefault="001F5896" w:rsidP="0039599B">
            <w:pPr>
              <w:spacing w:line="250" w:lineRule="auto"/>
              <w:jc w:val="center"/>
            </w:pPr>
          </w:p>
        </w:tc>
        <w:tc>
          <w:tcPr>
            <w:tcW w:w="208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019A7C9B" w14:textId="77777777" w:rsidR="001F5896" w:rsidRDefault="001F5896" w:rsidP="00F60929">
            <w:pPr>
              <w:spacing w:line="250" w:lineRule="auto"/>
              <w:jc w:val="center"/>
            </w:pPr>
            <w:r>
              <w:rPr>
                <w:sz w:val="18"/>
                <w:szCs w:val="18"/>
              </w:rPr>
              <w:t>Divergência de denominação e ausência de conteúdo dos Lotes 3 e 4</w:t>
            </w:r>
          </w:p>
        </w:tc>
        <w:tc>
          <w:tcPr>
            <w:tcW w:w="504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1EAAF285" w14:textId="77777777" w:rsidR="001F5896" w:rsidRDefault="001F5896">
            <w:pPr>
              <w:spacing w:line="250" w:lineRule="auto"/>
              <w:jc w:val="both"/>
            </w:pPr>
            <w:r>
              <w:rPr>
                <w:sz w:val="18"/>
                <w:szCs w:val="18"/>
              </w:rPr>
              <w:t>O Anexo IV, item 8.1, define o Lote 3 como "solução integrada (biodigestão + tratamento térmico)" e o Lote 4 como "solução alternativa"; o Anexo II.2, item 3.4, intitula o Lote 4 de "SOLUÇÃO INTEGRADA"; e o Caderno I, item 9.4, chama o Lote 4 de "TECNOLOGIA ALTERNATIVA". Os lotes estão deslocados entre documentos igualmente vinculantes, de modo que uma proposta apresentada "para o Lote 4" significa coisas diferentes conforme os documentos do edital. Além disso, o item 3.4 do Anexo II.2 abre com o título e passa direto ao item seguinte, sem listar tecnologias elegíveis nem requisitos mínimos, ao contrário do que faz para os demais lotes, e o Anexo IV o define apenas por exclusão. Não há modelo econômico-financeiro de referência equivalente ao dos outros lotes.</w:t>
            </w:r>
          </w:p>
        </w:tc>
        <w:tc>
          <w:tcPr>
            <w:tcW w:w="2573"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1F26923D" w14:textId="77777777" w:rsidR="001F5896" w:rsidRDefault="001F5896">
            <w:pPr>
              <w:spacing w:line="250" w:lineRule="auto"/>
              <w:jc w:val="both"/>
            </w:pPr>
            <w:r>
              <w:rPr>
                <w:sz w:val="18"/>
                <w:szCs w:val="18"/>
              </w:rPr>
              <w:t>Art. 6º, XXIII, art. 40, caput, e art. 5º da Lei 14.133/2021; art. 11, I, da Lei 14.133/2021 (julgamento objetivo); art. 11, I, da Lei 11.079/2004</w:t>
            </w:r>
          </w:p>
        </w:tc>
        <w:tc>
          <w:tcPr>
            <w:tcW w:w="147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1122FD02" w14:textId="05781437" w:rsidR="001F5896" w:rsidRDefault="001F5896">
            <w:pPr>
              <w:spacing w:line="250" w:lineRule="auto"/>
              <w:jc w:val="center"/>
            </w:pPr>
            <w:r>
              <w:rPr>
                <w:sz w:val="18"/>
                <w:szCs w:val="18"/>
              </w:rPr>
              <w:t>Não</w:t>
            </w:r>
          </w:p>
        </w:tc>
        <w:tc>
          <w:tcPr>
            <w:tcW w:w="1631"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0650FE39" w14:textId="6AAC287E" w:rsidR="001F5896" w:rsidRDefault="001F5896">
            <w:pPr>
              <w:spacing w:line="250" w:lineRule="auto"/>
              <w:jc w:val="center"/>
            </w:pPr>
            <w:r>
              <w:rPr>
                <w:sz w:val="18"/>
                <w:szCs w:val="18"/>
              </w:rPr>
              <w:t>TCE / Judiciário</w:t>
            </w:r>
          </w:p>
        </w:tc>
      </w:tr>
      <w:tr w:rsidR="001F5896" w14:paraId="3D5A29D9" w14:textId="77777777" w:rsidTr="00803CBB">
        <w:tc>
          <w:tcPr>
            <w:tcW w:w="45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5D7A1108" w14:textId="77777777" w:rsidR="001F5896" w:rsidRDefault="001F5896">
            <w:pPr>
              <w:spacing w:line="250" w:lineRule="auto"/>
              <w:jc w:val="center"/>
            </w:pPr>
            <w:r>
              <w:rPr>
                <w:b/>
                <w:bCs/>
                <w:sz w:val="18"/>
                <w:szCs w:val="18"/>
              </w:rPr>
              <w:lastRenderedPageBreak/>
              <w:t>4</w:t>
            </w:r>
          </w:p>
        </w:tc>
        <w:tc>
          <w:tcPr>
            <w:tcW w:w="1785" w:type="dxa"/>
            <w:vMerge/>
            <w:tcBorders>
              <w:left w:val="single" w:sz="4" w:space="0" w:color="BFBFBF"/>
              <w:bottom w:val="single" w:sz="4" w:space="0" w:color="BFBFBF"/>
              <w:right w:val="single" w:sz="4" w:space="0" w:color="BFBFBF"/>
            </w:tcBorders>
            <w:tcMar>
              <w:top w:w="80" w:type="dxa"/>
              <w:left w:w="90" w:type="dxa"/>
              <w:bottom w:w="80" w:type="dxa"/>
              <w:right w:w="90" w:type="dxa"/>
            </w:tcMar>
            <w:vAlign w:val="center"/>
          </w:tcPr>
          <w:p w14:paraId="2EEC4A88" w14:textId="4D2361CB" w:rsidR="001F5896" w:rsidRDefault="001F5896">
            <w:pPr>
              <w:spacing w:line="250" w:lineRule="auto"/>
              <w:jc w:val="center"/>
            </w:pPr>
          </w:p>
        </w:tc>
        <w:tc>
          <w:tcPr>
            <w:tcW w:w="208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39F40917" w14:textId="77777777" w:rsidR="001F5896" w:rsidRDefault="001F5896" w:rsidP="00F60929">
            <w:pPr>
              <w:spacing w:line="250" w:lineRule="auto"/>
              <w:jc w:val="center"/>
            </w:pPr>
            <w:r>
              <w:rPr>
                <w:sz w:val="18"/>
                <w:szCs w:val="18"/>
              </w:rPr>
              <w:t>Interfaces entre concessionárias não reguladas</w:t>
            </w:r>
          </w:p>
        </w:tc>
        <w:tc>
          <w:tcPr>
            <w:tcW w:w="504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620D8E58" w14:textId="77777777" w:rsidR="001F5896" w:rsidRDefault="001F5896">
            <w:pPr>
              <w:spacing w:line="250" w:lineRule="auto"/>
              <w:jc w:val="both"/>
            </w:pPr>
            <w:r>
              <w:rPr>
                <w:sz w:val="18"/>
                <w:szCs w:val="18"/>
              </w:rPr>
              <w:t>Sobre as estruturas comuns a serem implementadas, a alínea (e) do item 9 do Anexo IV apenas faculta ao Poder Concedente “estabelecer mecanismos de compartilhamento” após a contratação, mas não disciplina previamente as interfaces entre as concessionárias. O edital não define, por exemplo, em que ponto o resíduo passa de uma concessionária para outra, como será feita a medição do volume tratado por cada operador, nem como serão distribuídas as responsabilidades por rejeitos, perdas e falhas nas etapas compartilhadas do processo.</w:t>
            </w:r>
          </w:p>
        </w:tc>
        <w:tc>
          <w:tcPr>
            <w:tcW w:w="2573"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3D1AC1C0" w14:textId="77777777" w:rsidR="001F5896" w:rsidRDefault="001F5896">
            <w:pPr>
              <w:spacing w:line="250" w:lineRule="auto"/>
              <w:jc w:val="both"/>
            </w:pPr>
            <w:r>
              <w:rPr>
                <w:sz w:val="18"/>
                <w:szCs w:val="18"/>
              </w:rPr>
              <w:t>Art. 49, caput e parágrafo único, art. 47, §1º, II, art. 18, §1º, IV, e art. 6º, XXIII, "d" e "e", da Lei 14.133/2021; art. 5º, II, da Lei 11.079/2004; art. 23, V, da Lei 8.987/1995; art. 70, caput, da CF/1988</w:t>
            </w:r>
          </w:p>
        </w:tc>
        <w:tc>
          <w:tcPr>
            <w:tcW w:w="147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60C239DF" w14:textId="77777777" w:rsidR="001F5896" w:rsidRDefault="001F5896">
            <w:pPr>
              <w:spacing w:line="250" w:lineRule="auto"/>
              <w:jc w:val="center"/>
            </w:pPr>
            <w:r>
              <w:rPr>
                <w:sz w:val="18"/>
                <w:szCs w:val="18"/>
              </w:rPr>
              <w:t>Sim</w:t>
            </w:r>
          </w:p>
        </w:tc>
        <w:tc>
          <w:tcPr>
            <w:tcW w:w="1631"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1632FE80" w14:textId="77777777" w:rsidR="001F5896" w:rsidRDefault="001F5896">
            <w:pPr>
              <w:spacing w:line="250" w:lineRule="auto"/>
              <w:jc w:val="center"/>
            </w:pPr>
            <w:r>
              <w:rPr>
                <w:sz w:val="18"/>
                <w:szCs w:val="18"/>
              </w:rPr>
              <w:t>Administração / TCE / Judiciário</w:t>
            </w:r>
          </w:p>
        </w:tc>
      </w:tr>
      <w:tr w:rsidR="001F5896" w14:paraId="08982181" w14:textId="77777777" w:rsidTr="00803CBB">
        <w:tc>
          <w:tcPr>
            <w:tcW w:w="45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47045042" w14:textId="77777777" w:rsidR="001F5896" w:rsidRDefault="001F5896">
            <w:pPr>
              <w:spacing w:line="250" w:lineRule="auto"/>
              <w:jc w:val="center"/>
            </w:pPr>
            <w:r>
              <w:rPr>
                <w:b/>
                <w:bCs/>
                <w:sz w:val="18"/>
                <w:szCs w:val="18"/>
              </w:rPr>
              <w:t>5</w:t>
            </w:r>
          </w:p>
        </w:tc>
        <w:tc>
          <w:tcPr>
            <w:tcW w:w="1785" w:type="dxa"/>
            <w:vMerge w:val="restart"/>
            <w:tcBorders>
              <w:top w:val="single" w:sz="4" w:space="0" w:color="BFBFBF"/>
              <w:left w:val="single" w:sz="4" w:space="0" w:color="BFBFBF"/>
              <w:right w:val="single" w:sz="4" w:space="0" w:color="BFBFBF"/>
            </w:tcBorders>
            <w:tcMar>
              <w:top w:w="80" w:type="dxa"/>
              <w:left w:w="90" w:type="dxa"/>
              <w:bottom w:w="80" w:type="dxa"/>
              <w:right w:w="90" w:type="dxa"/>
            </w:tcMar>
            <w:vAlign w:val="center"/>
          </w:tcPr>
          <w:p w14:paraId="0B87D96F" w14:textId="11D6DF1C" w:rsidR="001F5896" w:rsidRDefault="001F5896" w:rsidP="00EE4E99">
            <w:pPr>
              <w:spacing w:line="250" w:lineRule="auto"/>
              <w:jc w:val="center"/>
            </w:pPr>
            <w:r>
              <w:rPr>
                <w:b/>
                <w:bCs/>
                <w:sz w:val="18"/>
                <w:szCs w:val="18"/>
              </w:rPr>
              <w:t>Critério de julgamento/proposta</w:t>
            </w:r>
          </w:p>
        </w:tc>
        <w:tc>
          <w:tcPr>
            <w:tcW w:w="208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75AD288D" w14:textId="77777777" w:rsidR="001F5896" w:rsidRDefault="001F5896" w:rsidP="00F60929">
            <w:pPr>
              <w:spacing w:line="250" w:lineRule="auto"/>
              <w:jc w:val="center"/>
            </w:pPr>
            <w:r>
              <w:rPr>
                <w:sz w:val="18"/>
                <w:szCs w:val="18"/>
              </w:rPr>
              <w:t>Indefinição da grandeza que decide o certame - três critérios distintos e fórmula não unívoca</w:t>
            </w:r>
          </w:p>
        </w:tc>
        <w:tc>
          <w:tcPr>
            <w:tcW w:w="504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0EF99007" w14:textId="77777777" w:rsidR="001F5896" w:rsidRDefault="001F5896">
            <w:pPr>
              <w:spacing w:line="250" w:lineRule="auto"/>
              <w:jc w:val="both"/>
            </w:pPr>
            <w:r>
              <w:rPr>
                <w:sz w:val="18"/>
                <w:szCs w:val="18"/>
              </w:rPr>
              <w:t>O preâmbulo, o glossário e o item 14 fixam o menor preço unitário da tonelada em cada lote; o item 18.1 e a alínea (e) do item 20 classificam pelo menor valor da soma dos itens (a), (b) e (c) da Planilha Sintética; e o item 22.1 declara vencedora quem apresentar o menor valor desses itens constantes da Proposta Comercial, documento distinto da Planilha. A contradição se aprofunda no Anexo IV: (i) o item 8.7 afirma que o valor do campo (C) "terá caráter exclusivamente informativo" e "não deve ser considerado pela Licitante na composição do preço", embora o edital classifique pela soma que o inclui; (ii) o item 8.5 determina que o único valor inserido no Comprasnet é (A)+(B) dividido por 5.200, de modo que o lance disputado em sessão não é a grandeza que classifica; (iii) a fórmula aparece redigida de quatro formas no mesmo anexo, inclusive "A + B / 5.200", que pela precedência aritmética usual resulta em valor diverso; e (iv) o item 18.1 manda classificar "em ordem decrescente de valor" para colocar em primeiro lugar o menor valor. O modo de disputa aberto e o intervalo mínimo de 0,5% ficam, assim, sem referência definida.</w:t>
            </w:r>
          </w:p>
        </w:tc>
        <w:tc>
          <w:tcPr>
            <w:tcW w:w="2573"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1717181D" w14:textId="77777777" w:rsidR="001F5896" w:rsidRDefault="001F5896">
            <w:pPr>
              <w:spacing w:line="250" w:lineRule="auto"/>
              <w:jc w:val="both"/>
            </w:pPr>
            <w:r>
              <w:rPr>
                <w:sz w:val="18"/>
                <w:szCs w:val="18"/>
              </w:rPr>
              <w:t>Art. 5º, art. 11, I, art. 25 e art. 56 da Lei 14.133/2021; art. 12, II, "a", da Lei 11.079/2004; art. 37, XXI, da CF/1988</w:t>
            </w:r>
          </w:p>
        </w:tc>
        <w:tc>
          <w:tcPr>
            <w:tcW w:w="147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10337DFF" w14:textId="77777777" w:rsidR="001F5896" w:rsidRDefault="001F5896">
            <w:pPr>
              <w:spacing w:line="250" w:lineRule="auto"/>
              <w:jc w:val="center"/>
            </w:pPr>
            <w:r>
              <w:rPr>
                <w:sz w:val="18"/>
                <w:szCs w:val="18"/>
              </w:rPr>
              <w:t>Sim</w:t>
            </w:r>
          </w:p>
        </w:tc>
        <w:tc>
          <w:tcPr>
            <w:tcW w:w="1631"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227549AC" w14:textId="77777777" w:rsidR="001F5896" w:rsidRDefault="001F5896">
            <w:pPr>
              <w:spacing w:line="250" w:lineRule="auto"/>
              <w:jc w:val="center"/>
            </w:pPr>
            <w:r>
              <w:rPr>
                <w:sz w:val="18"/>
                <w:szCs w:val="18"/>
              </w:rPr>
              <w:t>Administração / TCE / Judiciário</w:t>
            </w:r>
          </w:p>
        </w:tc>
      </w:tr>
      <w:tr w:rsidR="001F5896" w14:paraId="259919F6" w14:textId="77777777" w:rsidTr="00803CBB">
        <w:tc>
          <w:tcPr>
            <w:tcW w:w="45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4F4A196B" w14:textId="77777777" w:rsidR="001F5896" w:rsidRDefault="001F5896">
            <w:pPr>
              <w:spacing w:line="250" w:lineRule="auto"/>
              <w:jc w:val="center"/>
            </w:pPr>
            <w:r>
              <w:rPr>
                <w:b/>
                <w:bCs/>
                <w:sz w:val="18"/>
                <w:szCs w:val="18"/>
              </w:rPr>
              <w:t>6</w:t>
            </w:r>
          </w:p>
        </w:tc>
        <w:tc>
          <w:tcPr>
            <w:tcW w:w="1785" w:type="dxa"/>
            <w:vMerge/>
            <w:tcBorders>
              <w:left w:val="single" w:sz="4" w:space="0" w:color="BFBFBF"/>
              <w:right w:val="single" w:sz="4" w:space="0" w:color="BFBFBF"/>
            </w:tcBorders>
            <w:tcMar>
              <w:top w:w="80" w:type="dxa"/>
              <w:left w:w="90" w:type="dxa"/>
              <w:bottom w:w="80" w:type="dxa"/>
              <w:right w:w="90" w:type="dxa"/>
            </w:tcMar>
            <w:vAlign w:val="center"/>
          </w:tcPr>
          <w:p w14:paraId="68BE099E" w14:textId="0DD29529" w:rsidR="001F5896" w:rsidRDefault="001F5896" w:rsidP="00DF25BE">
            <w:pPr>
              <w:spacing w:line="250" w:lineRule="auto"/>
              <w:jc w:val="center"/>
            </w:pPr>
          </w:p>
        </w:tc>
        <w:tc>
          <w:tcPr>
            <w:tcW w:w="208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5D83D3E1" w14:textId="77777777" w:rsidR="001F5896" w:rsidRDefault="001F5896" w:rsidP="00F60929">
            <w:pPr>
              <w:spacing w:line="250" w:lineRule="auto"/>
              <w:jc w:val="center"/>
            </w:pPr>
            <w:r>
              <w:rPr>
                <w:sz w:val="18"/>
                <w:szCs w:val="18"/>
              </w:rPr>
              <w:t>Componentes da proposta com função indefinida - rejeitos declarados, bens reversíveis e DRE</w:t>
            </w:r>
          </w:p>
        </w:tc>
        <w:tc>
          <w:tcPr>
            <w:tcW w:w="504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256444A5" w14:textId="77777777" w:rsidR="001F5896" w:rsidRDefault="001F5896">
            <w:pPr>
              <w:spacing w:line="250" w:lineRule="auto"/>
              <w:jc w:val="both"/>
            </w:pPr>
            <w:r>
              <w:rPr>
                <w:sz w:val="18"/>
                <w:szCs w:val="18"/>
              </w:rPr>
              <w:t xml:space="preserve">O item 8.6 do Anexo IV obriga a licitante a informar o volume mensal de rejeitos da rota proposta, e esse volume, multiplicado por R$ 114,00, forma o item (C) que integra a soma classificatória, sem metodologia de aferição, memória de cálculo, parâmetro de referência ou consequência definida para a divergência entre o declarado e o verificado - desenho que premia a subdeclaração. O mesmo ocorre no desempate (item 4), decidido pelo maior percentual de redução do envio ao aterro igualmente declarado pela proponente e comprovado apenas depois do julgamento. O item 8.4 manda informar no campo (B) a amortização e/ou remuneração dos bens reversíveis sem método de valoração, taxa admitida, prazo ou tratamento do saldo não amortizado, o que, somado à indenização de reversão prevista no contrato, cria risco </w:t>
            </w:r>
            <w:r>
              <w:rPr>
                <w:sz w:val="18"/>
                <w:szCs w:val="18"/>
              </w:rPr>
              <w:lastRenderedPageBreak/>
              <w:t>de dupla remuneração do mesmo investimento. E os itens 6 e 7 exigem DRE e plano de negócios e admitem desclassificação por "inconsistências relevantes", sem definir o que isso significa.</w:t>
            </w:r>
          </w:p>
        </w:tc>
        <w:tc>
          <w:tcPr>
            <w:tcW w:w="2573"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12AA229E" w14:textId="77777777" w:rsidR="001F5896" w:rsidRDefault="001F5896">
            <w:pPr>
              <w:spacing w:line="250" w:lineRule="auto"/>
              <w:jc w:val="both"/>
            </w:pPr>
            <w:r w:rsidRPr="00C5175E">
              <w:rPr>
                <w:sz w:val="18"/>
                <w:szCs w:val="18"/>
                <w:lang w:val="en-US"/>
              </w:rPr>
              <w:lastRenderedPageBreak/>
              <w:t xml:space="preserve">Art. 5º, art. 11, I, art. 59, III e IV, art. 60 e art. 6º, XXIII, "e", da Lei 14.133/2021; arts. </w:t>
            </w:r>
            <w:r>
              <w:rPr>
                <w:sz w:val="18"/>
                <w:szCs w:val="18"/>
              </w:rPr>
              <w:t>35 e 36 da Lei 8.987/1995; art. 5º, §1º, da Lei 11.079/2004</w:t>
            </w:r>
          </w:p>
        </w:tc>
        <w:tc>
          <w:tcPr>
            <w:tcW w:w="147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02506724" w14:textId="77777777" w:rsidR="001F5896" w:rsidRDefault="001F5896">
            <w:pPr>
              <w:spacing w:line="250" w:lineRule="auto"/>
              <w:jc w:val="center"/>
            </w:pPr>
            <w:r>
              <w:rPr>
                <w:sz w:val="18"/>
                <w:szCs w:val="18"/>
              </w:rPr>
              <w:t>Sim</w:t>
            </w:r>
          </w:p>
        </w:tc>
        <w:tc>
          <w:tcPr>
            <w:tcW w:w="1631"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61917DEF" w14:textId="77777777" w:rsidR="001F5896" w:rsidRDefault="001F5896">
            <w:pPr>
              <w:spacing w:line="250" w:lineRule="auto"/>
              <w:jc w:val="center"/>
            </w:pPr>
            <w:r>
              <w:rPr>
                <w:sz w:val="18"/>
                <w:szCs w:val="18"/>
              </w:rPr>
              <w:t>Administração / TCE / Judiciário</w:t>
            </w:r>
          </w:p>
        </w:tc>
      </w:tr>
      <w:tr w:rsidR="001F5896" w14:paraId="4ABA5FDF" w14:textId="77777777" w:rsidTr="00803CBB">
        <w:tc>
          <w:tcPr>
            <w:tcW w:w="45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0675F336" w14:textId="7B6EBCF5" w:rsidR="001F5896" w:rsidRDefault="001F5896" w:rsidP="007C5532">
            <w:pPr>
              <w:spacing w:line="250" w:lineRule="auto"/>
              <w:jc w:val="center"/>
              <w:rPr>
                <w:b/>
                <w:bCs/>
                <w:sz w:val="18"/>
                <w:szCs w:val="18"/>
              </w:rPr>
            </w:pPr>
            <w:r>
              <w:rPr>
                <w:b/>
                <w:bCs/>
                <w:sz w:val="18"/>
                <w:szCs w:val="18"/>
              </w:rPr>
              <w:t>7</w:t>
            </w:r>
          </w:p>
        </w:tc>
        <w:tc>
          <w:tcPr>
            <w:tcW w:w="1785" w:type="dxa"/>
            <w:vMerge w:val="restart"/>
            <w:tcBorders>
              <w:top w:val="single" w:sz="4" w:space="0" w:color="BFBFBF"/>
              <w:left w:val="single" w:sz="4" w:space="0" w:color="BFBFBF"/>
              <w:right w:val="single" w:sz="4" w:space="0" w:color="BFBFBF"/>
            </w:tcBorders>
            <w:tcMar>
              <w:top w:w="80" w:type="dxa"/>
              <w:left w:w="90" w:type="dxa"/>
              <w:bottom w:w="80" w:type="dxa"/>
              <w:right w:w="90" w:type="dxa"/>
            </w:tcMar>
            <w:vAlign w:val="center"/>
          </w:tcPr>
          <w:p w14:paraId="75797E83" w14:textId="699A518C" w:rsidR="001F5896" w:rsidRDefault="001F5896" w:rsidP="007C5532">
            <w:pPr>
              <w:spacing w:line="250" w:lineRule="auto"/>
              <w:jc w:val="center"/>
            </w:pPr>
            <w:r>
              <w:rPr>
                <w:b/>
                <w:bCs/>
                <w:sz w:val="18"/>
                <w:szCs w:val="18"/>
              </w:rPr>
              <w:t>Modelagem jurídica, técnica e econômico-financeira do projeto</w:t>
            </w:r>
          </w:p>
          <w:p w14:paraId="760004E7" w14:textId="77777777" w:rsidR="001F5896" w:rsidRDefault="001F5896" w:rsidP="007C5532">
            <w:pPr>
              <w:spacing w:line="250" w:lineRule="auto"/>
              <w:rPr>
                <w:b/>
                <w:bCs/>
                <w:sz w:val="18"/>
                <w:szCs w:val="18"/>
              </w:rPr>
            </w:pPr>
          </w:p>
        </w:tc>
        <w:tc>
          <w:tcPr>
            <w:tcW w:w="208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79C90B26" w14:textId="477187B7" w:rsidR="001F5896" w:rsidRDefault="001F5896" w:rsidP="007C5532">
            <w:pPr>
              <w:spacing w:line="250" w:lineRule="auto"/>
              <w:jc w:val="center"/>
              <w:rPr>
                <w:sz w:val="18"/>
                <w:szCs w:val="18"/>
              </w:rPr>
            </w:pPr>
            <w:r>
              <w:rPr>
                <w:sz w:val="18"/>
                <w:szCs w:val="18"/>
              </w:rPr>
              <w:t>Base de cálculo única e teto derivado do custo atual impedem a comparação entre propostas</w:t>
            </w:r>
          </w:p>
        </w:tc>
        <w:tc>
          <w:tcPr>
            <w:tcW w:w="504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30BDAD1D" w14:textId="69704E18" w:rsidR="001F5896" w:rsidRDefault="001F5896" w:rsidP="007C5532">
            <w:pPr>
              <w:spacing w:line="250" w:lineRule="auto"/>
              <w:jc w:val="both"/>
              <w:rPr>
                <w:sz w:val="18"/>
                <w:szCs w:val="18"/>
              </w:rPr>
            </w:pPr>
            <w:r>
              <w:rPr>
                <w:sz w:val="18"/>
                <w:szCs w:val="18"/>
              </w:rPr>
              <w:t>A Planilha Sintética divide todos os valores pelas mesmas 5.200 toneladas mensais em todos os lotes, embora o Lote 1 trate apenas a fração úmida (cerca de 45% da massa), o Lote 2 apenas a fração seca e o Lote 3 o fluxo inteiro. O preço por tonelada resultante mede coisas diferentes em cada lote, e a solução integrada, que carrega dois conjuntos de investimentos sobre o mesmo denominador, jamais competirá em R$/t com um lote parcial. O teto agrava o quadro: o Anexo IV fixa como preço máximo R$ 114,00 por tonelada, valor hoje pago ao aterro, e manda calcular o item (C) da mesma planilha multiplicando o volume de rejeitos por esses mesmos R$ 114,00, de modo que o parâmetro de vantajosidade é o próprio custo que a PPP deveria superar e entra duas vezes na conta. Não há memória que demonstre a adequação do teto aos custos das rotas contratadas.</w:t>
            </w:r>
          </w:p>
        </w:tc>
        <w:tc>
          <w:tcPr>
            <w:tcW w:w="2573"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77A6F232" w14:textId="1470EE06" w:rsidR="001F5896" w:rsidRDefault="001F5896" w:rsidP="007C5532">
            <w:pPr>
              <w:spacing w:line="250" w:lineRule="auto"/>
              <w:jc w:val="both"/>
              <w:rPr>
                <w:sz w:val="18"/>
                <w:szCs w:val="18"/>
              </w:rPr>
            </w:pPr>
            <w:r>
              <w:rPr>
                <w:sz w:val="18"/>
                <w:szCs w:val="18"/>
              </w:rPr>
              <w:t>Art. 5º, art. 11, I, art. 6º, XXIII, art. 23 e art. 18, §1º, IV, da Lei 14.133/2021; art. 12, II, "a", e art. 10, I, "a", da Lei 11.079/2004; art. 15, §1º, da Lei 8.987/1995</w:t>
            </w:r>
          </w:p>
        </w:tc>
        <w:tc>
          <w:tcPr>
            <w:tcW w:w="147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3B976023" w14:textId="75AB697B" w:rsidR="001F5896" w:rsidRDefault="001F5896" w:rsidP="007C5532">
            <w:pPr>
              <w:spacing w:line="250" w:lineRule="auto"/>
              <w:jc w:val="center"/>
              <w:rPr>
                <w:sz w:val="18"/>
                <w:szCs w:val="18"/>
              </w:rPr>
            </w:pPr>
            <w:r>
              <w:rPr>
                <w:sz w:val="18"/>
                <w:szCs w:val="18"/>
              </w:rPr>
              <w:t>Não</w:t>
            </w:r>
          </w:p>
        </w:tc>
        <w:tc>
          <w:tcPr>
            <w:tcW w:w="1631"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394FF016" w14:textId="4BFA83C7" w:rsidR="001F5896" w:rsidRDefault="001F5896" w:rsidP="007C5532">
            <w:pPr>
              <w:spacing w:line="250" w:lineRule="auto"/>
              <w:jc w:val="center"/>
              <w:rPr>
                <w:sz w:val="18"/>
                <w:szCs w:val="18"/>
              </w:rPr>
            </w:pPr>
            <w:r>
              <w:rPr>
                <w:sz w:val="18"/>
                <w:szCs w:val="18"/>
              </w:rPr>
              <w:t>Administração / TCE / Judiciário</w:t>
            </w:r>
          </w:p>
        </w:tc>
      </w:tr>
      <w:tr w:rsidR="001F5896" w14:paraId="34FB0AFD" w14:textId="77777777" w:rsidTr="00803CBB">
        <w:tc>
          <w:tcPr>
            <w:tcW w:w="45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08652E2A" w14:textId="168B8324" w:rsidR="001F5896" w:rsidRDefault="001F5896" w:rsidP="007C5532">
            <w:pPr>
              <w:spacing w:line="250" w:lineRule="auto"/>
              <w:jc w:val="center"/>
              <w:rPr>
                <w:b/>
                <w:bCs/>
                <w:sz w:val="18"/>
                <w:szCs w:val="18"/>
              </w:rPr>
            </w:pPr>
            <w:r>
              <w:rPr>
                <w:b/>
                <w:bCs/>
                <w:sz w:val="18"/>
                <w:szCs w:val="18"/>
              </w:rPr>
              <w:t>8</w:t>
            </w:r>
          </w:p>
        </w:tc>
        <w:tc>
          <w:tcPr>
            <w:tcW w:w="1785" w:type="dxa"/>
            <w:vMerge/>
            <w:tcBorders>
              <w:left w:val="single" w:sz="4" w:space="0" w:color="BFBFBF"/>
              <w:right w:val="single" w:sz="4" w:space="0" w:color="BFBFBF"/>
            </w:tcBorders>
            <w:tcMar>
              <w:top w:w="80" w:type="dxa"/>
              <w:left w:w="90" w:type="dxa"/>
              <w:bottom w:w="80" w:type="dxa"/>
              <w:right w:w="90" w:type="dxa"/>
            </w:tcMar>
            <w:vAlign w:val="center"/>
          </w:tcPr>
          <w:p w14:paraId="2CA8C046" w14:textId="77777777" w:rsidR="001F5896" w:rsidRDefault="001F5896" w:rsidP="007C5532">
            <w:pPr>
              <w:spacing w:line="250" w:lineRule="auto"/>
              <w:rPr>
                <w:b/>
                <w:bCs/>
                <w:sz w:val="18"/>
                <w:szCs w:val="18"/>
              </w:rPr>
            </w:pPr>
          </w:p>
        </w:tc>
        <w:tc>
          <w:tcPr>
            <w:tcW w:w="208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60E50E0D" w14:textId="649E38F1" w:rsidR="001F5896" w:rsidRDefault="001F5896" w:rsidP="007C5532">
            <w:pPr>
              <w:spacing w:line="250" w:lineRule="auto"/>
              <w:jc w:val="center"/>
              <w:rPr>
                <w:sz w:val="18"/>
                <w:szCs w:val="18"/>
              </w:rPr>
            </w:pPr>
            <w:r>
              <w:rPr>
                <w:sz w:val="18"/>
                <w:szCs w:val="18"/>
              </w:rPr>
              <w:t>Julgamento exclusivamente por preço com definição da tecnologia deslocada para depois da adjudicação</w:t>
            </w:r>
          </w:p>
        </w:tc>
        <w:tc>
          <w:tcPr>
            <w:tcW w:w="504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4E58F3A5" w14:textId="24FB529D" w:rsidR="001F5896" w:rsidRDefault="001F5896" w:rsidP="007C5532">
            <w:pPr>
              <w:spacing w:line="250" w:lineRule="auto"/>
              <w:jc w:val="both"/>
              <w:rPr>
                <w:sz w:val="18"/>
                <w:szCs w:val="18"/>
              </w:rPr>
            </w:pPr>
            <w:r>
              <w:rPr>
                <w:sz w:val="18"/>
                <w:szCs w:val="18"/>
              </w:rPr>
              <w:t xml:space="preserve">Não há nota técnica nem etapa de avaliação da solução proposta. O Plano de Trabalho, que descreve tecnologia, fluxos e capacidade instalada, aparece no item 28.2.4 como condição para a assinatura do contrato, sujeito </w:t>
            </w:r>
            <w:proofErr w:type="spellStart"/>
            <w:r>
              <w:rPr>
                <w:sz w:val="18"/>
                <w:szCs w:val="18"/>
              </w:rPr>
              <w:t>a</w:t>
            </w:r>
            <w:proofErr w:type="spellEnd"/>
            <w:r>
              <w:rPr>
                <w:sz w:val="18"/>
                <w:szCs w:val="18"/>
              </w:rPr>
              <w:t xml:space="preserve"> aprovação do Poder Concedente, sem critérios objetivos de aprovação nem consequência definida para a reprovação. Como o Anexo II.2 admite tecnologia distinta das listadas desde que comprovado desempenho equivalente, a comprovação que seria o núcleo da disputa é deslocada para fora dela: a Administração escolhe pelo menor preço e só depois analisa se a solução funciona, em espaço de discricionariedade sem parâmetro. É risco para os dois lados - o Município pode ficar preso a vencedor cuja solução não aprova, e o licitante que precifica solução robusta perde para quem precificou solução ainda a discutir.</w:t>
            </w:r>
          </w:p>
        </w:tc>
        <w:tc>
          <w:tcPr>
            <w:tcW w:w="2573"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4587E27F" w14:textId="589D1B70" w:rsidR="001F5896" w:rsidRDefault="001F5896" w:rsidP="007C5532">
            <w:pPr>
              <w:spacing w:line="250" w:lineRule="auto"/>
              <w:jc w:val="both"/>
              <w:rPr>
                <w:sz w:val="18"/>
                <w:szCs w:val="18"/>
              </w:rPr>
            </w:pPr>
            <w:r>
              <w:rPr>
                <w:sz w:val="18"/>
                <w:szCs w:val="18"/>
              </w:rPr>
              <w:t>Art. 5º, art. 11, I, e art. 6º, XXIII, "c" e "d", da Lei 14.133/2021; art. 12, II, da Lei 11.079/2004</w:t>
            </w:r>
          </w:p>
        </w:tc>
        <w:tc>
          <w:tcPr>
            <w:tcW w:w="147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3B9196A5" w14:textId="12596146" w:rsidR="001F5896" w:rsidRDefault="001F5896" w:rsidP="007C5532">
            <w:pPr>
              <w:spacing w:line="250" w:lineRule="auto"/>
              <w:jc w:val="center"/>
              <w:rPr>
                <w:sz w:val="18"/>
                <w:szCs w:val="18"/>
              </w:rPr>
            </w:pPr>
            <w:r>
              <w:rPr>
                <w:sz w:val="18"/>
                <w:szCs w:val="18"/>
              </w:rPr>
              <w:t>Não</w:t>
            </w:r>
          </w:p>
        </w:tc>
        <w:tc>
          <w:tcPr>
            <w:tcW w:w="1631"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5B4D0664" w14:textId="09F58835" w:rsidR="001F5896" w:rsidRDefault="001F5896" w:rsidP="007C5532">
            <w:pPr>
              <w:spacing w:line="250" w:lineRule="auto"/>
              <w:jc w:val="center"/>
              <w:rPr>
                <w:sz w:val="18"/>
                <w:szCs w:val="18"/>
              </w:rPr>
            </w:pPr>
            <w:r>
              <w:rPr>
                <w:sz w:val="18"/>
                <w:szCs w:val="18"/>
              </w:rPr>
              <w:t>Administração / TCE / Judiciário</w:t>
            </w:r>
          </w:p>
        </w:tc>
      </w:tr>
      <w:tr w:rsidR="001F5896" w14:paraId="74E18735" w14:textId="77777777" w:rsidTr="00803CBB">
        <w:tc>
          <w:tcPr>
            <w:tcW w:w="45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5E10553F" w14:textId="529CD5BF" w:rsidR="001F5896" w:rsidRDefault="001F5896" w:rsidP="007C5532">
            <w:pPr>
              <w:spacing w:line="250" w:lineRule="auto"/>
              <w:jc w:val="center"/>
              <w:rPr>
                <w:b/>
                <w:bCs/>
                <w:sz w:val="18"/>
                <w:szCs w:val="18"/>
              </w:rPr>
            </w:pPr>
            <w:r>
              <w:rPr>
                <w:b/>
                <w:bCs/>
                <w:sz w:val="18"/>
                <w:szCs w:val="18"/>
              </w:rPr>
              <w:t>9</w:t>
            </w:r>
          </w:p>
        </w:tc>
        <w:tc>
          <w:tcPr>
            <w:tcW w:w="1785" w:type="dxa"/>
            <w:vMerge/>
            <w:tcBorders>
              <w:left w:val="single" w:sz="4" w:space="0" w:color="BFBFBF"/>
              <w:right w:val="single" w:sz="4" w:space="0" w:color="BFBFBF"/>
            </w:tcBorders>
            <w:tcMar>
              <w:top w:w="80" w:type="dxa"/>
              <w:left w:w="90" w:type="dxa"/>
              <w:bottom w:w="80" w:type="dxa"/>
              <w:right w:w="90" w:type="dxa"/>
            </w:tcMar>
            <w:vAlign w:val="center"/>
          </w:tcPr>
          <w:p w14:paraId="33A34581" w14:textId="77777777" w:rsidR="001F5896" w:rsidRDefault="001F5896" w:rsidP="007C5532">
            <w:pPr>
              <w:spacing w:line="250" w:lineRule="auto"/>
              <w:rPr>
                <w:b/>
                <w:bCs/>
                <w:sz w:val="18"/>
                <w:szCs w:val="18"/>
              </w:rPr>
            </w:pPr>
          </w:p>
        </w:tc>
        <w:tc>
          <w:tcPr>
            <w:tcW w:w="208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19AE23C2" w14:textId="7CBF1595" w:rsidR="001F5896" w:rsidRDefault="001F5896" w:rsidP="007C5532">
            <w:pPr>
              <w:spacing w:line="250" w:lineRule="auto"/>
              <w:jc w:val="center"/>
              <w:rPr>
                <w:sz w:val="18"/>
                <w:szCs w:val="18"/>
              </w:rPr>
            </w:pPr>
            <w:r>
              <w:rPr>
                <w:sz w:val="18"/>
                <w:szCs w:val="18"/>
              </w:rPr>
              <w:t>Contradição interna sobre a rota térmica contratada e ausência de critério comparativo objetivo para a avaliação das propostas</w:t>
            </w:r>
          </w:p>
        </w:tc>
        <w:tc>
          <w:tcPr>
            <w:tcW w:w="504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489E7E4D" w14:textId="144F4FA8" w:rsidR="001F5896" w:rsidRDefault="001F5896" w:rsidP="007C5532">
            <w:pPr>
              <w:spacing w:line="250" w:lineRule="auto"/>
              <w:jc w:val="both"/>
              <w:rPr>
                <w:sz w:val="18"/>
                <w:szCs w:val="18"/>
              </w:rPr>
            </w:pPr>
            <w:r>
              <w:rPr>
                <w:sz w:val="18"/>
                <w:szCs w:val="18"/>
              </w:rPr>
              <w:t xml:space="preserve">O objeto nomeia gaseificação/pirólise; o Anexo II.2, item 2, alínea (f), admite tratamento térmico "com exceção da tecnologia de incineração"; o Anexo II.3 descreve queima controlada de CDR em caldeira de grelha móvel ou leito fluidizado, a 850-1.050 °C, com residência de gases de ao menos dois segundos, que são os parâmetros de incineração segundo a Resolução CONAMA 316/2002; e o Caderno I lista a incineração entre as rotas admitidas. O licitante não sabe se deve orçar gaseificador, reator de pirólise </w:t>
            </w:r>
            <w:r>
              <w:rPr>
                <w:sz w:val="18"/>
                <w:szCs w:val="18"/>
              </w:rPr>
              <w:lastRenderedPageBreak/>
              <w:t>ou caldeira de grelha, equipamentos com CAPEX, licenciamento e riscos operacionais radicalmente distintos. Como o julgamento é por menor preço por tonelada, propostas construídas sobre rotas diferentes não são comparáveis entre si, e o certame perde o julgamento objetivo.</w:t>
            </w:r>
          </w:p>
        </w:tc>
        <w:tc>
          <w:tcPr>
            <w:tcW w:w="2573"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03602BFD" w14:textId="41AF984D" w:rsidR="001F5896" w:rsidRDefault="001F5896" w:rsidP="007C5532">
            <w:pPr>
              <w:spacing w:line="250" w:lineRule="auto"/>
              <w:jc w:val="both"/>
              <w:rPr>
                <w:sz w:val="18"/>
                <w:szCs w:val="18"/>
              </w:rPr>
            </w:pPr>
            <w:r>
              <w:rPr>
                <w:sz w:val="18"/>
                <w:szCs w:val="18"/>
              </w:rPr>
              <w:lastRenderedPageBreak/>
              <w:t>Art. 6º, XXIII, art. 40, caput, e art. 5º da Lei 14.133/2021; art. 18, I e II, da Lei 8.987/1995; Resolução CONAMA 316/2002</w:t>
            </w:r>
          </w:p>
        </w:tc>
        <w:tc>
          <w:tcPr>
            <w:tcW w:w="147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3B5DF004" w14:textId="322ED0F3" w:rsidR="001F5896" w:rsidRDefault="001F5896" w:rsidP="007C5532">
            <w:pPr>
              <w:spacing w:line="250" w:lineRule="auto"/>
              <w:jc w:val="center"/>
              <w:rPr>
                <w:sz w:val="18"/>
                <w:szCs w:val="18"/>
              </w:rPr>
            </w:pPr>
            <w:r>
              <w:rPr>
                <w:sz w:val="18"/>
                <w:szCs w:val="18"/>
              </w:rPr>
              <w:t>Não</w:t>
            </w:r>
          </w:p>
        </w:tc>
        <w:tc>
          <w:tcPr>
            <w:tcW w:w="1631"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1DCDA28C" w14:textId="4912BA1E" w:rsidR="001F5896" w:rsidRDefault="001F5896" w:rsidP="007C5532">
            <w:pPr>
              <w:spacing w:line="250" w:lineRule="auto"/>
              <w:jc w:val="center"/>
              <w:rPr>
                <w:sz w:val="18"/>
                <w:szCs w:val="18"/>
              </w:rPr>
            </w:pPr>
            <w:r>
              <w:rPr>
                <w:sz w:val="18"/>
                <w:szCs w:val="18"/>
              </w:rPr>
              <w:t>Administração / TCE / Judiciário</w:t>
            </w:r>
          </w:p>
        </w:tc>
      </w:tr>
      <w:tr w:rsidR="001F5896" w14:paraId="3107DFA7" w14:textId="77777777" w:rsidTr="00803CBB">
        <w:tc>
          <w:tcPr>
            <w:tcW w:w="45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342CE7D7" w14:textId="77777777" w:rsidR="001F5896" w:rsidRDefault="001F5896">
            <w:pPr>
              <w:spacing w:line="250" w:lineRule="auto"/>
              <w:jc w:val="center"/>
            </w:pPr>
            <w:r>
              <w:rPr>
                <w:b/>
                <w:bCs/>
                <w:sz w:val="18"/>
                <w:szCs w:val="18"/>
              </w:rPr>
              <w:t>10</w:t>
            </w:r>
          </w:p>
        </w:tc>
        <w:tc>
          <w:tcPr>
            <w:tcW w:w="1785" w:type="dxa"/>
            <w:vMerge/>
            <w:tcBorders>
              <w:left w:val="single" w:sz="4" w:space="0" w:color="BFBFBF"/>
              <w:right w:val="single" w:sz="4" w:space="0" w:color="BFBFBF"/>
            </w:tcBorders>
            <w:tcMar>
              <w:top w:w="80" w:type="dxa"/>
              <w:left w:w="90" w:type="dxa"/>
              <w:bottom w:w="80" w:type="dxa"/>
              <w:right w:w="90" w:type="dxa"/>
            </w:tcMar>
            <w:vAlign w:val="center"/>
          </w:tcPr>
          <w:p w14:paraId="39C6EFAF" w14:textId="08FC441B" w:rsidR="001F5896" w:rsidRDefault="001F5896" w:rsidP="00CC245E">
            <w:pPr>
              <w:spacing w:line="250" w:lineRule="auto"/>
            </w:pPr>
          </w:p>
        </w:tc>
        <w:tc>
          <w:tcPr>
            <w:tcW w:w="208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1FE5D87B" w14:textId="77777777" w:rsidR="001F5896" w:rsidRDefault="001F5896" w:rsidP="00F60929">
            <w:pPr>
              <w:spacing w:line="250" w:lineRule="auto"/>
              <w:jc w:val="center"/>
            </w:pPr>
            <w:r>
              <w:rPr>
                <w:sz w:val="18"/>
                <w:szCs w:val="18"/>
              </w:rPr>
              <w:t>Reiteração de vícios já apontados pelo TCE-SP em 2019 sobre o mesmo objeto</w:t>
            </w:r>
          </w:p>
        </w:tc>
        <w:tc>
          <w:tcPr>
            <w:tcW w:w="504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4FAE9A3C" w14:textId="77777777" w:rsidR="001F5896" w:rsidRDefault="001F5896">
            <w:pPr>
              <w:spacing w:line="250" w:lineRule="auto"/>
              <w:jc w:val="both"/>
            </w:pPr>
            <w:r>
              <w:rPr>
                <w:sz w:val="18"/>
                <w:szCs w:val="18"/>
              </w:rPr>
              <w:t>O Acórdão de 13/03/2019 (TC-001718.989.19-7), relativo à Concorrência 009/2018 do mesmo Município e mesmo objeto, fixou determinações que a Concorrência 020/2025 não cumpre: (i) determinação nº 1 - detalhamento dos custos, estudos e projetos e premissas macroeconômicas que demonstrem as vantagens das tecnologias adotadas frente às habitualmente utilizadas, que segue ausente; (ii) determinação nº 2 - detalhamento do teor de umidade dos resíduos em cada fase, sendo que o edital fixa a umidade de saída do CDR (18% a 25%) mas não informa a umidade de entrada do resíduo bruto de Marília nem sua variação nas etapas intermediárias; (iii) determinação nº 4 - especificações e tipos de licenças ambientais necessárias, que o Anexo II.7 expressamente se recusa a antecipar; e (iv) determinação nº 6 - descritivo da geração diária de efluentes líquidos e rejeitos, cumprida apenas em parte, pois não há quantificação dos efluentes do sistema de limpeza de gases da unidade térmica. O descumprimento reiterado de decisão vinculante é o argumento de maior peso institucional perante o Tribunal.</w:t>
            </w:r>
          </w:p>
        </w:tc>
        <w:tc>
          <w:tcPr>
            <w:tcW w:w="2573"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785FC86F" w14:textId="77777777" w:rsidR="001F5896" w:rsidRDefault="001F5896">
            <w:pPr>
              <w:spacing w:line="250" w:lineRule="auto"/>
              <w:jc w:val="both"/>
            </w:pPr>
            <w:r>
              <w:rPr>
                <w:sz w:val="18"/>
                <w:szCs w:val="18"/>
              </w:rPr>
              <w:t>Acórdão TCE-SP, Plenário, 13/03/2019, TC-001718.989.19-7, Rel. Cons. Dimas Ramalho, determinações nos 1, 2, 4 e 6; art. 71 da CF/1988 c/c art. 33 da Constituição do Estado de São Paulo; LC estadual 709/1993; art. 18, §1º, I, da Lei 14.133/2021; art. 10, VII, da Lei 11.079/2004</w:t>
            </w:r>
          </w:p>
        </w:tc>
        <w:tc>
          <w:tcPr>
            <w:tcW w:w="147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4C1D96C1" w14:textId="77777777" w:rsidR="001F5896" w:rsidRDefault="001F5896">
            <w:pPr>
              <w:spacing w:line="250" w:lineRule="auto"/>
              <w:jc w:val="center"/>
            </w:pPr>
            <w:r>
              <w:rPr>
                <w:sz w:val="18"/>
                <w:szCs w:val="18"/>
              </w:rPr>
              <w:t>Não</w:t>
            </w:r>
          </w:p>
        </w:tc>
        <w:tc>
          <w:tcPr>
            <w:tcW w:w="1631"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262D4048" w14:textId="77777777" w:rsidR="001F5896" w:rsidRDefault="001F5896">
            <w:pPr>
              <w:spacing w:line="250" w:lineRule="auto"/>
              <w:jc w:val="center"/>
            </w:pPr>
            <w:r>
              <w:rPr>
                <w:sz w:val="18"/>
                <w:szCs w:val="18"/>
              </w:rPr>
              <w:t>Administração / TCE / Judiciário</w:t>
            </w:r>
          </w:p>
        </w:tc>
      </w:tr>
      <w:tr w:rsidR="001F5896" w14:paraId="40C0BC9D" w14:textId="77777777" w:rsidTr="00803CBB">
        <w:tc>
          <w:tcPr>
            <w:tcW w:w="45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161BC6D0" w14:textId="77777777" w:rsidR="001F5896" w:rsidRDefault="001F5896">
            <w:pPr>
              <w:spacing w:line="250" w:lineRule="auto"/>
              <w:jc w:val="center"/>
            </w:pPr>
            <w:r>
              <w:rPr>
                <w:b/>
                <w:bCs/>
                <w:sz w:val="18"/>
                <w:szCs w:val="18"/>
              </w:rPr>
              <w:t>11</w:t>
            </w:r>
          </w:p>
        </w:tc>
        <w:tc>
          <w:tcPr>
            <w:tcW w:w="1785" w:type="dxa"/>
            <w:vMerge/>
            <w:tcBorders>
              <w:left w:val="single" w:sz="4" w:space="0" w:color="BFBFBF"/>
              <w:right w:val="single" w:sz="4" w:space="0" w:color="BFBFBF"/>
            </w:tcBorders>
            <w:tcMar>
              <w:top w:w="80" w:type="dxa"/>
              <w:left w:w="90" w:type="dxa"/>
              <w:bottom w:w="80" w:type="dxa"/>
              <w:right w:w="90" w:type="dxa"/>
            </w:tcMar>
            <w:vAlign w:val="center"/>
          </w:tcPr>
          <w:p w14:paraId="42A6D56E" w14:textId="6CA7DB60" w:rsidR="001F5896" w:rsidRDefault="001F5896" w:rsidP="007C2415">
            <w:pPr>
              <w:spacing w:line="250" w:lineRule="auto"/>
              <w:jc w:val="center"/>
            </w:pPr>
          </w:p>
        </w:tc>
        <w:tc>
          <w:tcPr>
            <w:tcW w:w="208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1556BBD3" w14:textId="77777777" w:rsidR="001F5896" w:rsidRDefault="001F5896" w:rsidP="00F60929">
            <w:pPr>
              <w:spacing w:line="250" w:lineRule="auto"/>
              <w:jc w:val="center"/>
            </w:pPr>
            <w:r>
              <w:rPr>
                <w:sz w:val="18"/>
                <w:szCs w:val="18"/>
              </w:rPr>
              <w:t>Vantajosidade da PPP não demonstrada - Value for Money sem números e economia apurada como custo evitado</w:t>
            </w:r>
          </w:p>
        </w:tc>
        <w:tc>
          <w:tcPr>
            <w:tcW w:w="504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3B703F7B" w14:textId="77777777" w:rsidR="001F5896" w:rsidRDefault="001F5896">
            <w:pPr>
              <w:spacing w:line="250" w:lineRule="auto"/>
              <w:jc w:val="both"/>
            </w:pPr>
            <w:r>
              <w:rPr>
                <w:sz w:val="18"/>
                <w:szCs w:val="18"/>
              </w:rPr>
              <w:t>A tabela de comparação PSC × PPP do Caderno II (item 15.3) confronta os modelos por adjetivos - CAPEX "elevado" contra "otimizado", custo total ajustado ao risco "maior" contra "menor" -, sem valor presente líquido, taxa de desconto ou memória de cálculo, e o próprio Caderno registra que os resultados têm "caráter meramente indicativo". No mesmo sentido, o Caderno I apura economia de R$ 3.201.120,00 por ano com a biodigestão e de R$ 5.548.608,00 por ano com o sistema integrado subtraindo do custo atual de aterro o custo do aterro no cenário com desvio, sem abater a contraprestação devida às concessionárias - cujo teto é de R$ 114,00 por tonelada, exatamente o valor hoje pago ao aterro. A massa desviada não deixa de ser paga: muda de credor. Trata-se de custo evitado, não de economia líquida, e sem deságio efetivo sobre a tarifa-base não há vantagem econômica demonstrada.</w:t>
            </w:r>
          </w:p>
        </w:tc>
        <w:tc>
          <w:tcPr>
            <w:tcW w:w="2573"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5C402381" w14:textId="77777777" w:rsidR="001F5896" w:rsidRDefault="001F5896">
            <w:pPr>
              <w:spacing w:line="250" w:lineRule="auto"/>
              <w:jc w:val="both"/>
            </w:pPr>
            <w:r>
              <w:rPr>
                <w:sz w:val="18"/>
                <w:szCs w:val="18"/>
              </w:rPr>
              <w:t>Art. 10, I, "a" e "b", da Lei 11.079/2004; art. 18, §1º, da Lei 14.133/2021; art. 70, caput, da CF/1988</w:t>
            </w:r>
          </w:p>
        </w:tc>
        <w:tc>
          <w:tcPr>
            <w:tcW w:w="147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23E464C9" w14:textId="77777777" w:rsidR="001F5896" w:rsidRDefault="001F5896">
            <w:pPr>
              <w:spacing w:line="250" w:lineRule="auto"/>
              <w:jc w:val="center"/>
            </w:pPr>
            <w:r>
              <w:rPr>
                <w:sz w:val="18"/>
                <w:szCs w:val="18"/>
              </w:rPr>
              <w:t>Não</w:t>
            </w:r>
          </w:p>
        </w:tc>
        <w:tc>
          <w:tcPr>
            <w:tcW w:w="1631"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0BFB3F86" w14:textId="77777777" w:rsidR="001F5896" w:rsidRDefault="001F5896">
            <w:pPr>
              <w:spacing w:line="250" w:lineRule="auto"/>
              <w:jc w:val="center"/>
            </w:pPr>
            <w:r>
              <w:rPr>
                <w:sz w:val="18"/>
                <w:szCs w:val="18"/>
              </w:rPr>
              <w:t>Administração / TCE / Judiciário</w:t>
            </w:r>
          </w:p>
        </w:tc>
      </w:tr>
      <w:tr w:rsidR="001F5896" w14:paraId="7596C1FA" w14:textId="77777777" w:rsidTr="00803CBB">
        <w:tc>
          <w:tcPr>
            <w:tcW w:w="45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3D10B112" w14:textId="77777777" w:rsidR="001F5896" w:rsidRDefault="001F5896">
            <w:pPr>
              <w:spacing w:line="250" w:lineRule="auto"/>
              <w:jc w:val="center"/>
            </w:pPr>
            <w:r>
              <w:rPr>
                <w:b/>
                <w:bCs/>
                <w:sz w:val="18"/>
                <w:szCs w:val="18"/>
              </w:rPr>
              <w:lastRenderedPageBreak/>
              <w:t>12</w:t>
            </w:r>
          </w:p>
        </w:tc>
        <w:tc>
          <w:tcPr>
            <w:tcW w:w="1785" w:type="dxa"/>
            <w:vMerge/>
            <w:tcBorders>
              <w:left w:val="single" w:sz="4" w:space="0" w:color="BFBFBF"/>
              <w:right w:val="single" w:sz="4" w:space="0" w:color="BFBFBF"/>
            </w:tcBorders>
            <w:tcMar>
              <w:top w:w="80" w:type="dxa"/>
              <w:left w:w="90" w:type="dxa"/>
              <w:bottom w:w="80" w:type="dxa"/>
              <w:right w:w="90" w:type="dxa"/>
            </w:tcMar>
            <w:vAlign w:val="center"/>
          </w:tcPr>
          <w:p w14:paraId="4465D7CE" w14:textId="094DCED3" w:rsidR="001F5896" w:rsidRDefault="001F5896" w:rsidP="007C2415">
            <w:pPr>
              <w:spacing w:line="250" w:lineRule="auto"/>
              <w:jc w:val="center"/>
            </w:pPr>
          </w:p>
        </w:tc>
        <w:tc>
          <w:tcPr>
            <w:tcW w:w="208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1214D2A1" w14:textId="25FE941F" w:rsidR="001F5896" w:rsidRDefault="001F5896" w:rsidP="00F60929">
            <w:pPr>
              <w:spacing w:line="250" w:lineRule="auto"/>
              <w:jc w:val="center"/>
            </w:pPr>
            <w:r>
              <w:rPr>
                <w:sz w:val="18"/>
                <w:szCs w:val="18"/>
              </w:rPr>
              <w:t>Data-base da modelagem econômico-financeira defasada (&gt;6 meses)</w:t>
            </w:r>
          </w:p>
        </w:tc>
        <w:tc>
          <w:tcPr>
            <w:tcW w:w="504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5D653110" w14:textId="77777777" w:rsidR="001F5896" w:rsidRPr="00420BDB" w:rsidRDefault="001F5896" w:rsidP="00420BDB">
            <w:pPr>
              <w:spacing w:line="250" w:lineRule="auto"/>
              <w:jc w:val="both"/>
              <w:rPr>
                <w:sz w:val="18"/>
                <w:szCs w:val="18"/>
              </w:rPr>
            </w:pPr>
            <w:r>
              <w:rPr>
                <w:sz w:val="18"/>
                <w:szCs w:val="18"/>
              </w:rPr>
              <w:t>O Caderno II adota fevereiro de 2025 como data-base da modelagem e utiliza premissas macroeconômicas do Boletim Focus de 17/02/2025. Embora o documento esteja versionado em 21 de julho de 2026 e a sessão pública esteja marcada para 16/09/2026, as premissas econômico-financeiras permanecem defasadas em cerca de dezenove meses, período muito superior ao parâmetro de seis meses admitido pelo TCE-SP para a atualidade dos orçamentos de referência.</w:t>
            </w:r>
          </w:p>
          <w:p w14:paraId="4E987296" w14:textId="77777777" w:rsidR="001F5896" w:rsidRPr="00420BDB" w:rsidRDefault="001F5896" w:rsidP="00420BDB">
            <w:pPr>
              <w:spacing w:line="250" w:lineRule="auto"/>
              <w:jc w:val="both"/>
              <w:rPr>
                <w:sz w:val="18"/>
                <w:szCs w:val="18"/>
              </w:rPr>
            </w:pPr>
            <w:r>
              <w:rPr>
                <w:sz w:val="18"/>
                <w:szCs w:val="18"/>
              </w:rPr>
              <w:t>Em uma concessão com prazo de trinta anos, essa defasagem não é sanada pela simples aplicação de índice de correção. É necessária a revisão das principais premissas da modelagem, incluindo CAPEX, OPEX, projeções de demanda e receita, condições de financiamento, custo de capital, WACC, TIR e VPL.</w:t>
            </w:r>
          </w:p>
          <w:p w14:paraId="43E12755" w14:textId="04FAB7CA" w:rsidR="001F5896" w:rsidRDefault="001F5896" w:rsidP="00420BDB">
            <w:pPr>
              <w:spacing w:line="250" w:lineRule="auto"/>
              <w:jc w:val="both"/>
            </w:pPr>
            <w:r>
              <w:rPr>
                <w:sz w:val="18"/>
                <w:szCs w:val="18"/>
              </w:rPr>
              <w:t>A isso se soma a ausência de memória de cálculo detalhada, fontes verificáveis e cotações que permitam reconstruir os valores adotados. Sem essas informações, o licitante não consegue aferir adequadamente a exequibilidade do teto proposto e o órgão de controle fica limitado na verificação da economicidade da contratação.</w:t>
            </w:r>
          </w:p>
        </w:tc>
        <w:tc>
          <w:tcPr>
            <w:tcW w:w="2573"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2FAEAE3D" w14:textId="77777777" w:rsidR="001F5896" w:rsidRDefault="001F5896">
            <w:pPr>
              <w:spacing w:line="250" w:lineRule="auto"/>
              <w:jc w:val="both"/>
            </w:pPr>
            <w:r>
              <w:rPr>
                <w:sz w:val="18"/>
                <w:szCs w:val="18"/>
              </w:rPr>
              <w:t>Art. 10, §§2º e 4º, da Lei 11.079/2004; art. 23, §§1º a 4º, e art. 18, §1º, IV, da Lei 14.133/2021</w:t>
            </w:r>
          </w:p>
        </w:tc>
        <w:tc>
          <w:tcPr>
            <w:tcW w:w="147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6BD3F2C5" w14:textId="77777777" w:rsidR="001F5896" w:rsidRDefault="001F5896">
            <w:pPr>
              <w:spacing w:line="250" w:lineRule="auto"/>
              <w:jc w:val="center"/>
            </w:pPr>
            <w:r>
              <w:rPr>
                <w:sz w:val="18"/>
                <w:szCs w:val="18"/>
              </w:rPr>
              <w:t>Não</w:t>
            </w:r>
          </w:p>
        </w:tc>
        <w:tc>
          <w:tcPr>
            <w:tcW w:w="1631"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3D154F7A" w14:textId="77777777" w:rsidR="001F5896" w:rsidRDefault="001F5896">
            <w:pPr>
              <w:spacing w:line="250" w:lineRule="auto"/>
              <w:jc w:val="center"/>
            </w:pPr>
            <w:r>
              <w:rPr>
                <w:sz w:val="18"/>
                <w:szCs w:val="18"/>
              </w:rPr>
              <w:t>Administração / TCE / Judiciário</w:t>
            </w:r>
          </w:p>
        </w:tc>
      </w:tr>
      <w:tr w:rsidR="001F5896" w14:paraId="0A2AA1D7" w14:textId="77777777" w:rsidTr="00803CBB">
        <w:tc>
          <w:tcPr>
            <w:tcW w:w="45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339C78AD" w14:textId="77777777" w:rsidR="001F5896" w:rsidRDefault="001F5896">
            <w:pPr>
              <w:spacing w:line="250" w:lineRule="auto"/>
              <w:jc w:val="center"/>
            </w:pPr>
            <w:r>
              <w:rPr>
                <w:b/>
                <w:bCs/>
                <w:sz w:val="18"/>
                <w:szCs w:val="18"/>
              </w:rPr>
              <w:t>13</w:t>
            </w:r>
          </w:p>
        </w:tc>
        <w:tc>
          <w:tcPr>
            <w:tcW w:w="1785" w:type="dxa"/>
            <w:vMerge/>
            <w:tcBorders>
              <w:left w:val="single" w:sz="4" w:space="0" w:color="BFBFBF"/>
              <w:right w:val="single" w:sz="4" w:space="0" w:color="BFBFBF"/>
            </w:tcBorders>
            <w:tcMar>
              <w:top w:w="80" w:type="dxa"/>
              <w:left w:w="90" w:type="dxa"/>
              <w:bottom w:w="80" w:type="dxa"/>
              <w:right w:w="90" w:type="dxa"/>
            </w:tcMar>
            <w:vAlign w:val="center"/>
          </w:tcPr>
          <w:p w14:paraId="14CE4B35" w14:textId="16E8000B" w:rsidR="001F5896" w:rsidRDefault="001F5896" w:rsidP="007C2415">
            <w:pPr>
              <w:spacing w:line="250" w:lineRule="auto"/>
              <w:jc w:val="center"/>
            </w:pPr>
          </w:p>
        </w:tc>
        <w:tc>
          <w:tcPr>
            <w:tcW w:w="208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4927F93C" w14:textId="77777777" w:rsidR="001F5896" w:rsidRDefault="001F5896" w:rsidP="00F60929">
            <w:pPr>
              <w:spacing w:line="250" w:lineRule="auto"/>
              <w:jc w:val="center"/>
            </w:pPr>
            <w:r>
              <w:rPr>
                <w:sz w:val="18"/>
                <w:szCs w:val="18"/>
              </w:rPr>
              <w:t>Custos subestimados e receitas superestimadas frente às referências do próprio edital</w:t>
            </w:r>
          </w:p>
        </w:tc>
        <w:tc>
          <w:tcPr>
            <w:tcW w:w="504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1D91497E" w14:textId="77777777" w:rsidR="001F5896" w:rsidRDefault="001F5896">
            <w:pPr>
              <w:spacing w:line="250" w:lineRule="auto"/>
              <w:jc w:val="both"/>
            </w:pPr>
            <w:r>
              <w:rPr>
                <w:sz w:val="18"/>
                <w:szCs w:val="18"/>
              </w:rPr>
              <w:t>A Tabela 5.10 do Caderno I fixa CAPEX de R$ 1.000 a 1.600/t-ano e OPEX de R$ 130 a 220/t para biodigestão, e CAPEX de R$ 3.000 a 5.500/t-ano e OPEX de R$ 400 a 650/t para gaseificação. Os valores adotados na modelagem ficam abaixo do piso da própria referência: biodigestão a cerca de R$ 463/t-ano e R$ 97/t; gaseificação a cerca de R$ 2.592/t-ano e R$ 219/t. Cotações junto a fornecedores apontam CAPEX de três a quatro vezes superior e OPEX de quase três vezes. Do lado da receita, o Caderno II adota energia a R$ 682,00/MWh com 2,00 MW e 16.000 MWh/ano, quando o único leilão que efetivamente contratou usina de recuperação energética de RSU foi o A-5 de 2021, a R$ 549,00/MWh; e, refeito o balanço térmico com a umidade de entrada implícita de cerca de 44% e descontada a energia de secagem, a geração líquida ficaria em torno de 0,88 MW, não os 2,0 MW do Caderno II nem os 2,5 MW do Anexo II.3. Custos para baixo e receitas para cima explicam a contraprestação máxima de R$ 114,00/t e conduzem à inexequibilidade.</w:t>
            </w:r>
          </w:p>
        </w:tc>
        <w:tc>
          <w:tcPr>
            <w:tcW w:w="2573"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69BD2051" w14:textId="77777777" w:rsidR="001F5896" w:rsidRDefault="001F5896">
            <w:pPr>
              <w:spacing w:line="250" w:lineRule="auto"/>
              <w:jc w:val="both"/>
            </w:pPr>
            <w:r>
              <w:rPr>
                <w:sz w:val="18"/>
                <w:szCs w:val="18"/>
              </w:rPr>
              <w:t>Art. 18, §1º, IV, art. 23 e art. 59, III, da Lei 14.133/2021; art. 10, I, "a", da Lei 11.079/2004; art. 18, VI, da Lei 8.987/1995</w:t>
            </w:r>
          </w:p>
        </w:tc>
        <w:tc>
          <w:tcPr>
            <w:tcW w:w="147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31B6EA45" w14:textId="77777777" w:rsidR="001F5896" w:rsidRDefault="001F5896">
            <w:pPr>
              <w:spacing w:line="250" w:lineRule="auto"/>
              <w:jc w:val="center"/>
            </w:pPr>
            <w:r>
              <w:rPr>
                <w:sz w:val="18"/>
                <w:szCs w:val="18"/>
              </w:rPr>
              <w:t>Não</w:t>
            </w:r>
          </w:p>
        </w:tc>
        <w:tc>
          <w:tcPr>
            <w:tcW w:w="1631"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51461F46" w14:textId="77777777" w:rsidR="001F5896" w:rsidRDefault="001F5896">
            <w:pPr>
              <w:spacing w:line="250" w:lineRule="auto"/>
              <w:jc w:val="center"/>
            </w:pPr>
            <w:r>
              <w:rPr>
                <w:sz w:val="18"/>
                <w:szCs w:val="18"/>
              </w:rPr>
              <w:t>Administração / TCE / Judiciário</w:t>
            </w:r>
          </w:p>
        </w:tc>
      </w:tr>
      <w:tr w:rsidR="001F5896" w14:paraId="04619A7D" w14:textId="77777777" w:rsidTr="00803CBB">
        <w:tc>
          <w:tcPr>
            <w:tcW w:w="45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208F6DAE" w14:textId="77777777" w:rsidR="001F5896" w:rsidRDefault="001F5896">
            <w:pPr>
              <w:spacing w:line="250" w:lineRule="auto"/>
              <w:jc w:val="center"/>
            </w:pPr>
            <w:r>
              <w:rPr>
                <w:b/>
                <w:bCs/>
                <w:sz w:val="18"/>
                <w:szCs w:val="18"/>
              </w:rPr>
              <w:t>14</w:t>
            </w:r>
          </w:p>
        </w:tc>
        <w:tc>
          <w:tcPr>
            <w:tcW w:w="1785" w:type="dxa"/>
            <w:vMerge/>
            <w:tcBorders>
              <w:left w:val="single" w:sz="4" w:space="0" w:color="BFBFBF"/>
              <w:right w:val="single" w:sz="4" w:space="0" w:color="BFBFBF"/>
            </w:tcBorders>
            <w:tcMar>
              <w:top w:w="80" w:type="dxa"/>
              <w:left w:w="90" w:type="dxa"/>
              <w:bottom w:w="80" w:type="dxa"/>
              <w:right w:w="90" w:type="dxa"/>
            </w:tcMar>
            <w:vAlign w:val="center"/>
          </w:tcPr>
          <w:p w14:paraId="396F6502" w14:textId="0AC11989" w:rsidR="001F5896" w:rsidRDefault="001F5896" w:rsidP="007C2415">
            <w:pPr>
              <w:spacing w:line="250" w:lineRule="auto"/>
              <w:jc w:val="center"/>
            </w:pPr>
          </w:p>
        </w:tc>
        <w:tc>
          <w:tcPr>
            <w:tcW w:w="208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0182CB6E" w14:textId="77777777" w:rsidR="001F5896" w:rsidRDefault="001F5896" w:rsidP="00F60929">
            <w:pPr>
              <w:spacing w:line="250" w:lineRule="auto"/>
              <w:jc w:val="center"/>
            </w:pPr>
            <w:r>
              <w:rPr>
                <w:sz w:val="18"/>
                <w:szCs w:val="18"/>
              </w:rPr>
              <w:t xml:space="preserve">Balanço de massa inconsistente, digestato sem desidratação e </w:t>
            </w:r>
            <w:r>
              <w:rPr>
                <w:sz w:val="18"/>
                <w:szCs w:val="18"/>
              </w:rPr>
              <w:lastRenderedPageBreak/>
              <w:t>metas de desvio inatingíveis</w:t>
            </w:r>
          </w:p>
        </w:tc>
        <w:tc>
          <w:tcPr>
            <w:tcW w:w="504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11C2FC4D" w14:textId="77777777" w:rsidR="001F5896" w:rsidRDefault="001F5896">
            <w:pPr>
              <w:spacing w:line="250" w:lineRule="auto"/>
              <w:jc w:val="both"/>
            </w:pPr>
            <w:r>
              <w:rPr>
                <w:sz w:val="18"/>
                <w:szCs w:val="18"/>
              </w:rPr>
              <w:lastRenderedPageBreak/>
              <w:t xml:space="preserve">Refeitos os cálculos com produção específica e composição usuais do biogás, o biometano ficaria em torno de 4.763 Nm³/dia contra os 5.400 Nm³/dia declarados, e o digestato em torno de 270 m³/dia contra os 54 m³/dia do edital - os dois desvios na mesma direção, </w:t>
            </w:r>
            <w:r>
              <w:rPr>
                <w:sz w:val="18"/>
                <w:szCs w:val="18"/>
              </w:rPr>
              <w:lastRenderedPageBreak/>
              <w:t>favorecendo a aparência de viabilidade. No lado térmico, o Anexo II.3 informa 68 t/dia de CDR e caldeira dimensionada para 16 a 25 t/h em alimentação contínua, equivalente a 384 a 600 t/dia. O efeito mais grave está no digestato: a via úmida exige diluir a fração orgânica de cerca de 32% para 10% de sólidos, o que faz a massa de 90 t/dia sair do reator como cerca de 278 t/dia de líquido, e o Anexo II.3 trata a compostagem como "opcional" enquanto o Caderno II computa a fração pós-digestão como envio a aterro, sem prever desidratação. Somadas as cerca de 33 t/dia de rejeitos da triagem, chega-se a mais de 310 t/dia destinadas a aterro contra as cerca de 200 t/dia coletadas na cidade: o projeto aumentaria a massa aterrada, tornando o principal indicador contratual aritmeticamente impossível.</w:t>
            </w:r>
          </w:p>
        </w:tc>
        <w:tc>
          <w:tcPr>
            <w:tcW w:w="2573"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0055D870" w14:textId="77777777" w:rsidR="001F5896" w:rsidRDefault="001F5896">
            <w:pPr>
              <w:spacing w:line="250" w:lineRule="auto"/>
              <w:jc w:val="both"/>
            </w:pPr>
            <w:r>
              <w:rPr>
                <w:sz w:val="18"/>
                <w:szCs w:val="18"/>
              </w:rPr>
              <w:lastRenderedPageBreak/>
              <w:t xml:space="preserve">Art. 13 e art. 3º, XV, da Lei 12.305/2010; NBR 13.896/ABNT; art. 6º, XXIII, "b", "d" e "e", e art. 18, §1º, IV, da Lei 14.133/2021; </w:t>
            </w:r>
            <w:r>
              <w:rPr>
                <w:sz w:val="18"/>
                <w:szCs w:val="18"/>
              </w:rPr>
              <w:lastRenderedPageBreak/>
              <w:t>arts. 34 a 36 da NR nº 7/2024 da ANA; Anexo II.6 (indicadores de desempenho)</w:t>
            </w:r>
          </w:p>
        </w:tc>
        <w:tc>
          <w:tcPr>
            <w:tcW w:w="147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23729574" w14:textId="77777777" w:rsidR="001F5896" w:rsidRDefault="001F5896">
            <w:pPr>
              <w:spacing w:line="250" w:lineRule="auto"/>
              <w:jc w:val="center"/>
            </w:pPr>
            <w:r>
              <w:rPr>
                <w:sz w:val="18"/>
                <w:szCs w:val="18"/>
              </w:rPr>
              <w:lastRenderedPageBreak/>
              <w:t>Sim</w:t>
            </w:r>
          </w:p>
        </w:tc>
        <w:tc>
          <w:tcPr>
            <w:tcW w:w="1631"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7DDC381D" w14:textId="77777777" w:rsidR="001F5896" w:rsidRDefault="001F5896">
            <w:pPr>
              <w:spacing w:line="250" w:lineRule="auto"/>
              <w:jc w:val="center"/>
            </w:pPr>
            <w:r>
              <w:rPr>
                <w:sz w:val="18"/>
                <w:szCs w:val="18"/>
              </w:rPr>
              <w:t>Administração / TCE / Judiciário</w:t>
            </w:r>
          </w:p>
        </w:tc>
      </w:tr>
      <w:tr w:rsidR="001F5896" w14:paraId="245A6B5D" w14:textId="77777777" w:rsidTr="00803CBB">
        <w:tc>
          <w:tcPr>
            <w:tcW w:w="45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2F705AE5" w14:textId="77777777" w:rsidR="001F5896" w:rsidRDefault="001F5896">
            <w:pPr>
              <w:spacing w:line="250" w:lineRule="auto"/>
              <w:jc w:val="center"/>
            </w:pPr>
            <w:r>
              <w:rPr>
                <w:b/>
                <w:bCs/>
                <w:sz w:val="18"/>
                <w:szCs w:val="18"/>
              </w:rPr>
              <w:t>15</w:t>
            </w:r>
          </w:p>
        </w:tc>
        <w:tc>
          <w:tcPr>
            <w:tcW w:w="1785" w:type="dxa"/>
            <w:vMerge/>
            <w:tcBorders>
              <w:left w:val="single" w:sz="4" w:space="0" w:color="BFBFBF"/>
              <w:right w:val="single" w:sz="4" w:space="0" w:color="BFBFBF"/>
            </w:tcBorders>
            <w:tcMar>
              <w:top w:w="80" w:type="dxa"/>
              <w:left w:w="90" w:type="dxa"/>
              <w:bottom w:w="80" w:type="dxa"/>
              <w:right w:w="90" w:type="dxa"/>
            </w:tcMar>
            <w:vAlign w:val="center"/>
          </w:tcPr>
          <w:p w14:paraId="045BC07D" w14:textId="45C0A84C" w:rsidR="001F5896" w:rsidRDefault="001F5896" w:rsidP="007C2415">
            <w:pPr>
              <w:spacing w:line="250" w:lineRule="auto"/>
              <w:jc w:val="center"/>
            </w:pPr>
          </w:p>
        </w:tc>
        <w:tc>
          <w:tcPr>
            <w:tcW w:w="208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4EF41EDA" w14:textId="77777777" w:rsidR="001F5896" w:rsidRDefault="001F5896" w:rsidP="00F60929">
            <w:pPr>
              <w:spacing w:line="250" w:lineRule="auto"/>
              <w:jc w:val="center"/>
            </w:pPr>
            <w:r>
              <w:rPr>
                <w:sz w:val="18"/>
                <w:szCs w:val="18"/>
              </w:rPr>
              <w:t>Parâmetros técnicos contratualmente vinculantes sem base no próprio projeto</w:t>
            </w:r>
          </w:p>
        </w:tc>
        <w:tc>
          <w:tcPr>
            <w:tcW w:w="504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065067D1" w14:textId="77777777" w:rsidR="001F5896" w:rsidRDefault="001F5896">
            <w:pPr>
              <w:spacing w:line="250" w:lineRule="auto"/>
              <w:jc w:val="both"/>
            </w:pPr>
            <w:r>
              <w:rPr>
                <w:sz w:val="18"/>
                <w:szCs w:val="18"/>
              </w:rPr>
              <w:t>O Anexo II.3 fixa teor de cloro no CDR de no máximo 1,0% em base seca, mas a usina de triagem prevista segrega apenas metais e vidros, sem separação óptica de clorados. O PVC responde pela maior parte do cloro orgânico do RSU e, sob temperatura, libera ácido clorídrico, que corrói reator, caldeira e turbina, desativa catalisadores de abatimento de alcatrão e favorece a formação de dioxinas e furanos na zona de resfriamento. O edital impõe obrigação cujo meio de cumprimento ele próprio não prevê nem orça. O mesmo vale para a umidade: sem medição da umidade de entrada do resíduo bruto de Marília, não há como validar se a faixa de saída exigida do CDR é alcançável, e não consta do acervo campanha gravimétrica local.</w:t>
            </w:r>
          </w:p>
        </w:tc>
        <w:tc>
          <w:tcPr>
            <w:tcW w:w="2573"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55AB6F80" w14:textId="77777777" w:rsidR="001F5896" w:rsidRDefault="001F5896">
            <w:pPr>
              <w:spacing w:line="250" w:lineRule="auto"/>
              <w:jc w:val="both"/>
            </w:pPr>
            <w:r>
              <w:rPr>
                <w:sz w:val="18"/>
                <w:szCs w:val="18"/>
              </w:rPr>
              <w:t>Resoluções CONAMA 316/2002 e 499/2020; art. 6º, XXIII, "b" e "e", e art. 18, §1º, I e IV, da Lei 14.133/2021; art. 41 da NR nº 7/2024 da ANA</w:t>
            </w:r>
          </w:p>
        </w:tc>
        <w:tc>
          <w:tcPr>
            <w:tcW w:w="147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5FF7E20E" w14:textId="77777777" w:rsidR="001F5896" w:rsidRDefault="001F5896">
            <w:pPr>
              <w:spacing w:line="250" w:lineRule="auto"/>
              <w:jc w:val="center"/>
            </w:pPr>
            <w:r>
              <w:rPr>
                <w:sz w:val="18"/>
                <w:szCs w:val="18"/>
              </w:rPr>
              <w:t>Sim</w:t>
            </w:r>
          </w:p>
        </w:tc>
        <w:tc>
          <w:tcPr>
            <w:tcW w:w="1631"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43A8232E" w14:textId="77777777" w:rsidR="001F5896" w:rsidRDefault="001F5896">
            <w:pPr>
              <w:spacing w:line="250" w:lineRule="auto"/>
              <w:jc w:val="center"/>
            </w:pPr>
            <w:r>
              <w:rPr>
                <w:sz w:val="18"/>
                <w:szCs w:val="18"/>
              </w:rPr>
              <w:t>Administração / TCE / Judiciário</w:t>
            </w:r>
          </w:p>
        </w:tc>
      </w:tr>
      <w:tr w:rsidR="001F5896" w14:paraId="39C0A93D" w14:textId="77777777" w:rsidTr="00803CBB">
        <w:tc>
          <w:tcPr>
            <w:tcW w:w="45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3BD5857C" w14:textId="77777777" w:rsidR="001F5896" w:rsidRDefault="001F5896">
            <w:pPr>
              <w:spacing w:line="250" w:lineRule="auto"/>
              <w:jc w:val="center"/>
            </w:pPr>
            <w:r>
              <w:rPr>
                <w:b/>
                <w:bCs/>
                <w:sz w:val="18"/>
                <w:szCs w:val="18"/>
              </w:rPr>
              <w:t>16</w:t>
            </w:r>
          </w:p>
        </w:tc>
        <w:tc>
          <w:tcPr>
            <w:tcW w:w="1785" w:type="dxa"/>
            <w:vMerge/>
            <w:tcBorders>
              <w:left w:val="single" w:sz="4" w:space="0" w:color="BFBFBF"/>
              <w:right w:val="single" w:sz="4" w:space="0" w:color="BFBFBF"/>
            </w:tcBorders>
            <w:tcMar>
              <w:top w:w="80" w:type="dxa"/>
              <w:left w:w="90" w:type="dxa"/>
              <w:bottom w:w="80" w:type="dxa"/>
              <w:right w:w="90" w:type="dxa"/>
            </w:tcMar>
            <w:vAlign w:val="center"/>
          </w:tcPr>
          <w:p w14:paraId="096EB074" w14:textId="1DBEFC2D" w:rsidR="001F5896" w:rsidRDefault="001F5896" w:rsidP="007C2415">
            <w:pPr>
              <w:spacing w:line="250" w:lineRule="auto"/>
              <w:jc w:val="center"/>
            </w:pPr>
          </w:p>
        </w:tc>
        <w:tc>
          <w:tcPr>
            <w:tcW w:w="208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767413C6" w14:textId="77777777" w:rsidR="001F5896" w:rsidRDefault="001F5896" w:rsidP="00F60929">
            <w:pPr>
              <w:spacing w:line="250" w:lineRule="auto"/>
              <w:jc w:val="center"/>
            </w:pPr>
            <w:r>
              <w:rPr>
                <w:sz w:val="18"/>
                <w:szCs w:val="18"/>
              </w:rPr>
              <w:t>Exigência de maturidade comercial que o próprio edital admite inexistir</w:t>
            </w:r>
          </w:p>
        </w:tc>
        <w:tc>
          <w:tcPr>
            <w:tcW w:w="504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5E2797A0" w14:textId="77777777" w:rsidR="001F5896" w:rsidRDefault="001F5896">
            <w:pPr>
              <w:spacing w:line="250" w:lineRule="auto"/>
              <w:jc w:val="both"/>
            </w:pPr>
            <w:r>
              <w:rPr>
                <w:sz w:val="18"/>
                <w:szCs w:val="18"/>
              </w:rPr>
              <w:t>O Anexo II.2 exige tecnologias "comprovadamente operacionais e comercialmente testadas", veda soluções em estágio experimental e impõe comprovação de operação em escala comercial. Em sentido oposto, o Caderno I consigna que a pirólise ainda não tem plantas em regime comercial com RSU no Brasil e que, por isso, não foi possível estimar a vida útil do empreendimento - dado do qual dependem o prazo de trinta anos, o cronograma de amortização e a lista de bens reversíveis. Ou a regra de admissibilidade exclui a rota nomeada no objeto, ou a regra é letra morta. Registre-se que, em 2019, o TCE-SP julgou improcedente a crítica genérica às tecnologias de gaseificação e pirólise, de modo que a tese deve ser formulada como contradição interna do edital, e não como inadequação da tecnologia.</w:t>
            </w:r>
          </w:p>
        </w:tc>
        <w:tc>
          <w:tcPr>
            <w:tcW w:w="2573"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2FF0C957" w14:textId="77777777" w:rsidR="001F5896" w:rsidRDefault="001F5896">
            <w:pPr>
              <w:spacing w:line="250" w:lineRule="auto"/>
              <w:jc w:val="both"/>
            </w:pPr>
            <w:r>
              <w:rPr>
                <w:sz w:val="18"/>
                <w:szCs w:val="18"/>
              </w:rPr>
              <w:t>Art. 9º, §1º, da Lei 12.305/2010; art. 18, §1º, art. 40 e art. 5º da Lei 14.133/2021; art. 4º, VII, da Lei 11.079/2004</w:t>
            </w:r>
          </w:p>
        </w:tc>
        <w:tc>
          <w:tcPr>
            <w:tcW w:w="147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2914E153" w14:textId="77777777" w:rsidR="001F5896" w:rsidRDefault="001F5896">
            <w:pPr>
              <w:spacing w:line="250" w:lineRule="auto"/>
              <w:jc w:val="center"/>
            </w:pPr>
            <w:r>
              <w:rPr>
                <w:sz w:val="18"/>
                <w:szCs w:val="18"/>
              </w:rPr>
              <w:t>Não</w:t>
            </w:r>
          </w:p>
        </w:tc>
        <w:tc>
          <w:tcPr>
            <w:tcW w:w="1631"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2114E5CD" w14:textId="77777777" w:rsidR="001F5896" w:rsidRDefault="001F5896">
            <w:pPr>
              <w:spacing w:line="250" w:lineRule="auto"/>
              <w:jc w:val="center"/>
            </w:pPr>
            <w:r>
              <w:rPr>
                <w:sz w:val="18"/>
                <w:szCs w:val="18"/>
              </w:rPr>
              <w:t>Administração / TCE / Judiciário</w:t>
            </w:r>
          </w:p>
        </w:tc>
      </w:tr>
      <w:tr w:rsidR="001F5896" w14:paraId="46DB3D4C" w14:textId="77777777" w:rsidTr="00803CBB">
        <w:tc>
          <w:tcPr>
            <w:tcW w:w="45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2F2952BE" w14:textId="77777777" w:rsidR="001F5896" w:rsidRDefault="001F5896">
            <w:pPr>
              <w:spacing w:line="250" w:lineRule="auto"/>
              <w:jc w:val="center"/>
            </w:pPr>
            <w:r>
              <w:rPr>
                <w:b/>
                <w:bCs/>
                <w:sz w:val="18"/>
                <w:szCs w:val="18"/>
              </w:rPr>
              <w:lastRenderedPageBreak/>
              <w:t>17</w:t>
            </w:r>
          </w:p>
        </w:tc>
        <w:tc>
          <w:tcPr>
            <w:tcW w:w="1785" w:type="dxa"/>
            <w:vMerge/>
            <w:tcBorders>
              <w:left w:val="single" w:sz="4" w:space="0" w:color="BFBFBF"/>
              <w:right w:val="single" w:sz="4" w:space="0" w:color="BFBFBF"/>
            </w:tcBorders>
            <w:tcMar>
              <w:top w:w="80" w:type="dxa"/>
              <w:left w:w="90" w:type="dxa"/>
              <w:bottom w:w="80" w:type="dxa"/>
              <w:right w:w="90" w:type="dxa"/>
            </w:tcMar>
            <w:vAlign w:val="center"/>
          </w:tcPr>
          <w:p w14:paraId="5F5804BC" w14:textId="0FD76178" w:rsidR="001F5896" w:rsidRDefault="001F5896" w:rsidP="007C2415">
            <w:pPr>
              <w:spacing w:line="250" w:lineRule="auto"/>
              <w:jc w:val="center"/>
            </w:pPr>
          </w:p>
        </w:tc>
        <w:tc>
          <w:tcPr>
            <w:tcW w:w="208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4EBA8599" w14:textId="77777777" w:rsidR="001F5896" w:rsidRDefault="001F5896" w:rsidP="00F60929">
            <w:pPr>
              <w:spacing w:line="250" w:lineRule="auto"/>
              <w:jc w:val="center"/>
            </w:pPr>
            <w:r>
              <w:rPr>
                <w:sz w:val="18"/>
                <w:szCs w:val="18"/>
              </w:rPr>
              <w:t>Rota térmica incompatível com a ordem de prioridade da PNRS, com o PMGIRS e com a NR nº 7/2024 da ANA</w:t>
            </w:r>
          </w:p>
        </w:tc>
        <w:tc>
          <w:tcPr>
            <w:tcW w:w="504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64A42E99" w14:textId="77777777" w:rsidR="001F5896" w:rsidRDefault="001F5896">
            <w:pPr>
              <w:spacing w:line="250" w:lineRule="auto"/>
              <w:jc w:val="both"/>
            </w:pPr>
            <w:r>
              <w:rPr>
                <w:sz w:val="18"/>
                <w:szCs w:val="18"/>
              </w:rPr>
              <w:t>A PNRS impõe ordem de prioridade vinculante em que a reciclagem antecede o tratamento, e o projeto segrega apenas cerca de 5% para reciclagem (metais e vidros), destinando plásticos, papéis e demais recicláveis secos à produção de CDR para queima, sem demonstrar que as possibilidades locais de reciclagem foram esgotadas. O PMGIRS aprovado pela Lei municipal 9.278/2025 não menciona uma única vez gaseificação, pirólise, tratamento térmico, recuperação ou valorização energética da fração seca: a rota que estabelece para o RSD é triagem, compostagem e/ou biodigestão, com comercialização do CDR a terceiros, e a única unidade de reaproveitamento energético prevista é a de biodigestão. Por fim, a NR nº 7/2024, aplicável aos contratos celebrados a partir de 1º/04/2025, condiciona a recuperação energética à comprovação de viabilidade técnica, ambiental e econômico-financeira e a programa de monitoramento de gases tóxicos aprovado pelo órgão ambiental (art. 41), admite tratamento apenas dos resíduos cujas possibilidades de reciclagem estejam esgotadas (art. 35) e exige instalações previamente licenciadas (art. 8º).</w:t>
            </w:r>
          </w:p>
        </w:tc>
        <w:tc>
          <w:tcPr>
            <w:tcW w:w="2573"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099C92A1" w14:textId="77777777" w:rsidR="001F5896" w:rsidRDefault="001F5896">
            <w:pPr>
              <w:spacing w:line="250" w:lineRule="auto"/>
              <w:jc w:val="both"/>
            </w:pPr>
            <w:r w:rsidRPr="00C5175E">
              <w:rPr>
                <w:sz w:val="18"/>
                <w:szCs w:val="18"/>
                <w:lang w:val="en-US"/>
              </w:rPr>
              <w:t xml:space="preserve">Art. 9º, caput e §1º, e arts. </w:t>
            </w:r>
            <w:r>
              <w:rPr>
                <w:sz w:val="18"/>
                <w:szCs w:val="18"/>
              </w:rPr>
              <w:t>19 e 36, I, da Lei 12.305/2010; art. 11, §1º, da Lei 11.445/2007; arts. 8º, 35, 40 e 41 da NR nº 7/2024 da ANA (Resolução ANA 187/2024); art. 18, §1º, da Lei 14.133/2021</w:t>
            </w:r>
          </w:p>
        </w:tc>
        <w:tc>
          <w:tcPr>
            <w:tcW w:w="147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01B6D1BC" w14:textId="77777777" w:rsidR="001F5896" w:rsidRDefault="001F5896">
            <w:pPr>
              <w:spacing w:line="250" w:lineRule="auto"/>
              <w:jc w:val="center"/>
            </w:pPr>
            <w:r>
              <w:rPr>
                <w:sz w:val="18"/>
                <w:szCs w:val="18"/>
              </w:rPr>
              <w:t>Não</w:t>
            </w:r>
          </w:p>
        </w:tc>
        <w:tc>
          <w:tcPr>
            <w:tcW w:w="1631"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5D98B817" w14:textId="77777777" w:rsidR="001F5896" w:rsidRDefault="001F5896">
            <w:pPr>
              <w:spacing w:line="250" w:lineRule="auto"/>
              <w:jc w:val="center"/>
            </w:pPr>
            <w:r>
              <w:rPr>
                <w:sz w:val="18"/>
                <w:szCs w:val="18"/>
              </w:rPr>
              <w:t>Administração / TCE / Judiciário</w:t>
            </w:r>
          </w:p>
        </w:tc>
      </w:tr>
      <w:tr w:rsidR="001F5896" w14:paraId="5E4AD849" w14:textId="77777777" w:rsidTr="00803CBB">
        <w:tc>
          <w:tcPr>
            <w:tcW w:w="45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63CB6F83" w14:textId="77777777" w:rsidR="001F5896" w:rsidRDefault="001F5896">
            <w:pPr>
              <w:spacing w:line="250" w:lineRule="auto"/>
              <w:jc w:val="center"/>
            </w:pPr>
            <w:r>
              <w:rPr>
                <w:b/>
                <w:bCs/>
                <w:sz w:val="18"/>
                <w:szCs w:val="18"/>
              </w:rPr>
              <w:t>18</w:t>
            </w:r>
          </w:p>
        </w:tc>
        <w:tc>
          <w:tcPr>
            <w:tcW w:w="1785" w:type="dxa"/>
            <w:vMerge/>
            <w:tcBorders>
              <w:left w:val="single" w:sz="4" w:space="0" w:color="BFBFBF"/>
              <w:right w:val="single" w:sz="4" w:space="0" w:color="BFBFBF"/>
            </w:tcBorders>
            <w:tcMar>
              <w:top w:w="80" w:type="dxa"/>
              <w:left w:w="90" w:type="dxa"/>
              <w:bottom w:w="80" w:type="dxa"/>
              <w:right w:w="90" w:type="dxa"/>
            </w:tcMar>
            <w:vAlign w:val="center"/>
          </w:tcPr>
          <w:p w14:paraId="0E81EBCE" w14:textId="2D24E50B" w:rsidR="001F5896" w:rsidRDefault="001F5896" w:rsidP="007C2415">
            <w:pPr>
              <w:spacing w:line="250" w:lineRule="auto"/>
              <w:jc w:val="center"/>
            </w:pPr>
          </w:p>
        </w:tc>
        <w:tc>
          <w:tcPr>
            <w:tcW w:w="208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293FF0F0" w14:textId="77777777" w:rsidR="001F5896" w:rsidRDefault="001F5896" w:rsidP="00F60929">
            <w:pPr>
              <w:spacing w:line="250" w:lineRule="auto"/>
              <w:jc w:val="center"/>
            </w:pPr>
            <w:r>
              <w:rPr>
                <w:sz w:val="18"/>
                <w:szCs w:val="18"/>
              </w:rPr>
              <w:t>Diretrizes de licenciamento ambiental, área provavelmente contaminada e riscos não avaliados</w:t>
            </w:r>
          </w:p>
        </w:tc>
        <w:tc>
          <w:tcPr>
            <w:tcW w:w="504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150AFC62" w14:textId="77777777" w:rsidR="001F5896" w:rsidRDefault="001F5896">
            <w:pPr>
              <w:spacing w:line="250" w:lineRule="auto"/>
              <w:jc w:val="both"/>
            </w:pPr>
            <w:r>
              <w:rPr>
                <w:sz w:val="18"/>
                <w:szCs w:val="18"/>
              </w:rPr>
              <w:t>A abertura do certame exige licença ambiental prévia ou diretrizes expedidas para o licenciamento. O Anexo II.7, apontado como cumprimento, declara no próprio objeto que cabe exclusivamente à CETESB a análise técnica e a definição sobre documentação e estudos, e que os itens ali relacionados constituem referências legais "sem representar qualquer antecipação de exigências" - o documento nega ser aquilo que o edital diz que ele é. O item 21 do Termo de Referência confirma a inversão, transferindo à vencedora a elaboração dos estudos e a obtenção da licença prévia depois de assinado o contrato. Some-se que a cláusula 45.5, "a", do contrato registra que a área está impactada por disposição de resíduos e, portanto, "provavelmente contaminada", sem que o acervo contenha a avaliação preliminar, a investigação confirmatória e a classificação exigidas pela legislação estadual; e que não há análise de risco tecnológico, perímetro de segurança ou avaliação de exposição da vizinhança, embora o roteiro reproduzido no próprio Anexo II.7 os inclua entre os documentos exigidos pela CETESB.</w:t>
            </w:r>
          </w:p>
        </w:tc>
        <w:tc>
          <w:tcPr>
            <w:tcW w:w="2573"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6181033B" w14:textId="77777777" w:rsidR="001F5896" w:rsidRDefault="001F5896">
            <w:pPr>
              <w:spacing w:line="250" w:lineRule="auto"/>
              <w:jc w:val="both"/>
            </w:pPr>
            <w:r>
              <w:rPr>
                <w:sz w:val="18"/>
                <w:szCs w:val="18"/>
              </w:rPr>
              <w:t>Art. 10, VII, da Lei 11.079/2004; art. 18, §1º, IX, da Lei 14.133/2021; Resolução CONAMA 237/1997; arts. 15, 16 e 17 da Lei estadual/SP 13.577/2009; Decisão de Diretoria CETESB 038/2017/C; Norma CETESB P4.261; art. 225 da CF/1988</w:t>
            </w:r>
          </w:p>
        </w:tc>
        <w:tc>
          <w:tcPr>
            <w:tcW w:w="147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387B4C2B" w14:textId="77777777" w:rsidR="001F5896" w:rsidRDefault="001F5896">
            <w:pPr>
              <w:spacing w:line="250" w:lineRule="auto"/>
              <w:jc w:val="center"/>
            </w:pPr>
            <w:r>
              <w:rPr>
                <w:sz w:val="18"/>
                <w:szCs w:val="18"/>
              </w:rPr>
              <w:t>Não</w:t>
            </w:r>
          </w:p>
        </w:tc>
        <w:tc>
          <w:tcPr>
            <w:tcW w:w="1631"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6D25CD88" w14:textId="77777777" w:rsidR="001F5896" w:rsidRDefault="001F5896">
            <w:pPr>
              <w:spacing w:line="250" w:lineRule="auto"/>
              <w:jc w:val="center"/>
            </w:pPr>
            <w:r>
              <w:rPr>
                <w:sz w:val="18"/>
                <w:szCs w:val="18"/>
              </w:rPr>
              <w:t>Administração / TCE / Judiciário</w:t>
            </w:r>
          </w:p>
        </w:tc>
      </w:tr>
      <w:tr w:rsidR="001F5896" w14:paraId="15641D38" w14:textId="77777777" w:rsidTr="00803CBB">
        <w:tc>
          <w:tcPr>
            <w:tcW w:w="45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7858485A" w14:textId="77777777" w:rsidR="001F5896" w:rsidRDefault="001F5896">
            <w:pPr>
              <w:spacing w:line="250" w:lineRule="auto"/>
              <w:jc w:val="center"/>
            </w:pPr>
            <w:r>
              <w:rPr>
                <w:b/>
                <w:bCs/>
                <w:sz w:val="18"/>
                <w:szCs w:val="18"/>
              </w:rPr>
              <w:t>19</w:t>
            </w:r>
          </w:p>
        </w:tc>
        <w:tc>
          <w:tcPr>
            <w:tcW w:w="1785" w:type="dxa"/>
            <w:vMerge/>
            <w:tcBorders>
              <w:left w:val="single" w:sz="4" w:space="0" w:color="BFBFBF"/>
              <w:right w:val="single" w:sz="4" w:space="0" w:color="BFBFBF"/>
            </w:tcBorders>
            <w:tcMar>
              <w:top w:w="80" w:type="dxa"/>
              <w:left w:w="90" w:type="dxa"/>
              <w:bottom w:w="80" w:type="dxa"/>
              <w:right w:w="90" w:type="dxa"/>
            </w:tcMar>
            <w:vAlign w:val="center"/>
          </w:tcPr>
          <w:p w14:paraId="6DDC8ABF" w14:textId="0BD971E4" w:rsidR="001F5896" w:rsidRDefault="001F5896" w:rsidP="007C2415">
            <w:pPr>
              <w:spacing w:line="250" w:lineRule="auto"/>
              <w:jc w:val="center"/>
            </w:pPr>
          </w:p>
        </w:tc>
        <w:tc>
          <w:tcPr>
            <w:tcW w:w="208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40C3AA83" w14:textId="77777777" w:rsidR="001F5896" w:rsidRDefault="001F5896" w:rsidP="00F60929">
            <w:pPr>
              <w:spacing w:line="250" w:lineRule="auto"/>
              <w:jc w:val="center"/>
            </w:pPr>
            <w:r>
              <w:rPr>
                <w:sz w:val="18"/>
                <w:szCs w:val="18"/>
              </w:rPr>
              <w:t>Garantia de pagamento indefinida e contraditória</w:t>
            </w:r>
          </w:p>
        </w:tc>
        <w:tc>
          <w:tcPr>
            <w:tcW w:w="504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2D713770" w14:textId="77777777" w:rsidR="001F5896" w:rsidRDefault="001F5896">
            <w:pPr>
              <w:spacing w:line="250" w:lineRule="auto"/>
              <w:jc w:val="both"/>
            </w:pPr>
            <w:r>
              <w:rPr>
                <w:sz w:val="18"/>
                <w:szCs w:val="18"/>
              </w:rPr>
              <w:t xml:space="preserve">Em concessão administrativa toda a remuneração vem do erário, de modo que a garantia de pagamento é o núcleo da bancabilidade. O item 41.1 e a definição de GARANTIA DE PAGAMENTO remetem a cessão de recebíveis "ou por Fundo Garantidor das Parcerias Público-Privadas - FGP a ser criado e regido por lei municipal </w:t>
            </w:r>
            <w:r>
              <w:rPr>
                <w:sz w:val="18"/>
                <w:szCs w:val="18"/>
              </w:rPr>
              <w:lastRenderedPageBreak/>
              <w:t>específica": o FGP não existe e depende de lei futura, e a alternativa não vem detalhada no corpo do edital, apenas por remissão ao item 4.2.3 do TR, que abre rol de nove instrumentos sem eleger nenhum. A cláusula 21.1.1.2 do contrato condiciona a realização dos investimentos à efetiva constituição do Fundo. Há ainda duas contradições diretas: de montante, pois o TR exige no mínimo seis contraprestações mensais médias e a cláusula 21.2 do contrato fixa três; e de momento, pois o TR determina garantias integralmente constituídas antes da assinatura enquanto a cláusula 21.1.1.1 se contenta com o encaminhamento de projeto de lei. O rol do TR ainda admite vinculação de quotas do FPM e do ICMS e de receitas da COSIP, que têm destinação constitucional própria.</w:t>
            </w:r>
          </w:p>
        </w:tc>
        <w:tc>
          <w:tcPr>
            <w:tcW w:w="2573"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6B6880FA" w14:textId="77777777" w:rsidR="001F5896" w:rsidRDefault="001F5896">
            <w:pPr>
              <w:spacing w:line="250" w:lineRule="auto"/>
              <w:jc w:val="both"/>
            </w:pPr>
            <w:r>
              <w:rPr>
                <w:sz w:val="18"/>
                <w:szCs w:val="18"/>
              </w:rPr>
              <w:lastRenderedPageBreak/>
              <w:t>Art. 8º, caput e I, e art. 5º, caput e §2º, da Lei 11.079/2004 c/c art. 167, IV, e art. 149-A da CF/1988; art. 18, XV, da Lei 8.987/1995; art. 5º da Lei 14.133/2021</w:t>
            </w:r>
          </w:p>
        </w:tc>
        <w:tc>
          <w:tcPr>
            <w:tcW w:w="147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73324E99" w14:textId="603757A7" w:rsidR="001F5896" w:rsidRDefault="001F5896">
            <w:pPr>
              <w:spacing w:line="250" w:lineRule="auto"/>
              <w:jc w:val="center"/>
            </w:pPr>
            <w:r>
              <w:rPr>
                <w:sz w:val="18"/>
                <w:szCs w:val="18"/>
              </w:rPr>
              <w:t>Não</w:t>
            </w:r>
          </w:p>
        </w:tc>
        <w:tc>
          <w:tcPr>
            <w:tcW w:w="1631"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6BFE49DA" w14:textId="77777777" w:rsidR="001F5896" w:rsidRDefault="001F5896">
            <w:pPr>
              <w:spacing w:line="250" w:lineRule="auto"/>
              <w:jc w:val="center"/>
            </w:pPr>
            <w:r>
              <w:rPr>
                <w:sz w:val="18"/>
                <w:szCs w:val="18"/>
              </w:rPr>
              <w:t>Administração / TCE / Judiciário</w:t>
            </w:r>
          </w:p>
        </w:tc>
      </w:tr>
      <w:tr w:rsidR="00803CBB" w14:paraId="1A82A7EE" w14:textId="77777777" w:rsidTr="00803CBB">
        <w:tc>
          <w:tcPr>
            <w:tcW w:w="45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283283E4" w14:textId="57ADB58F" w:rsidR="00803CBB" w:rsidRDefault="00803CBB" w:rsidP="00803CBB">
            <w:pPr>
              <w:spacing w:line="250" w:lineRule="auto"/>
              <w:jc w:val="center"/>
              <w:rPr>
                <w:b/>
                <w:bCs/>
                <w:sz w:val="18"/>
                <w:szCs w:val="18"/>
              </w:rPr>
            </w:pPr>
            <w:r>
              <w:rPr>
                <w:b/>
                <w:bCs/>
                <w:sz w:val="18"/>
                <w:szCs w:val="18"/>
              </w:rPr>
              <w:t>20</w:t>
            </w:r>
          </w:p>
        </w:tc>
        <w:tc>
          <w:tcPr>
            <w:tcW w:w="1785" w:type="dxa"/>
            <w:vMerge/>
            <w:tcBorders>
              <w:left w:val="single" w:sz="4" w:space="0" w:color="BFBFBF"/>
              <w:right w:val="single" w:sz="4" w:space="0" w:color="BFBFBF"/>
            </w:tcBorders>
            <w:tcMar>
              <w:top w:w="80" w:type="dxa"/>
              <w:left w:w="90" w:type="dxa"/>
              <w:bottom w:w="80" w:type="dxa"/>
              <w:right w:w="90" w:type="dxa"/>
            </w:tcMar>
            <w:vAlign w:val="center"/>
          </w:tcPr>
          <w:p w14:paraId="34FA99B8" w14:textId="77777777" w:rsidR="00803CBB" w:rsidRDefault="00803CBB" w:rsidP="00803CBB">
            <w:pPr>
              <w:spacing w:line="250" w:lineRule="auto"/>
              <w:jc w:val="center"/>
            </w:pPr>
          </w:p>
        </w:tc>
        <w:tc>
          <w:tcPr>
            <w:tcW w:w="208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0CE80429" w14:textId="581D2AE9" w:rsidR="00803CBB" w:rsidRDefault="00803CBB" w:rsidP="00803CBB">
            <w:pPr>
              <w:spacing w:line="250" w:lineRule="auto"/>
              <w:jc w:val="center"/>
              <w:rPr>
                <w:sz w:val="18"/>
                <w:szCs w:val="18"/>
              </w:rPr>
            </w:pPr>
            <w:r>
              <w:rPr>
                <w:sz w:val="18"/>
                <w:szCs w:val="18"/>
              </w:rPr>
              <w:t>Título de capitalização indevidamente incluído entre as garantias privadas admitidas</w:t>
            </w:r>
          </w:p>
        </w:tc>
        <w:tc>
          <w:tcPr>
            <w:tcW w:w="504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3BF443FB" w14:textId="72040F8C" w:rsidR="00803CBB" w:rsidRDefault="00803CBB" w:rsidP="00803CBB">
            <w:pPr>
              <w:spacing w:line="250" w:lineRule="auto"/>
              <w:jc w:val="both"/>
              <w:rPr>
                <w:sz w:val="18"/>
                <w:szCs w:val="18"/>
              </w:rPr>
            </w:pPr>
            <w:r>
              <w:rPr>
                <w:sz w:val="18"/>
                <w:szCs w:val="18"/>
              </w:rPr>
              <w:t>Nenhuma seguradora ou instituição financeira privada oferece título de capitalização como modalidade de garantia contratual: o instrumento é um produto de captação e poupança popular, regido por normas próprias da SUSEP, e não constitui garantia idônea de execução contratual no mercado privado. Ao incluir o título de capitalização entre as garantias admitidas - ou ao adotar rol de garantias que se afaste das modalidades usualmente praticadas e efetivamente disponíveis no mercado -, o edital restringe, na prática, as hipóteses de prestação de garantia previstas em lei, pois obriga o licitante a buscar instrumento sem lastro real no mercado de garantias contratuais, em vez de assegurar as opções legalmente equivalentes (caução em dinheiro, seguro-garantia, fiança bancária) que efetivamente cumprem a função de assegurar a execução do contrato.</w:t>
            </w:r>
          </w:p>
        </w:tc>
        <w:tc>
          <w:tcPr>
            <w:tcW w:w="2573"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24E0B8AC" w14:textId="20D56513" w:rsidR="00803CBB" w:rsidRDefault="00803CBB" w:rsidP="00803CBB">
            <w:pPr>
              <w:spacing w:line="250" w:lineRule="auto"/>
              <w:jc w:val="both"/>
              <w:rPr>
                <w:sz w:val="18"/>
                <w:szCs w:val="18"/>
              </w:rPr>
            </w:pPr>
            <w:r>
              <w:rPr>
                <w:sz w:val="18"/>
                <w:szCs w:val="18"/>
              </w:rPr>
              <w:t>Art. 96, §1º, e art. 97 da Lei 14.133/2021; art. 5º da Lei 14.133/2021; art. 37, XXI, da CF/1988</w:t>
            </w:r>
          </w:p>
        </w:tc>
        <w:tc>
          <w:tcPr>
            <w:tcW w:w="147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5C1952B5" w14:textId="35933D14" w:rsidR="00803CBB" w:rsidDel="007B442F" w:rsidRDefault="00803CBB" w:rsidP="00803CBB">
            <w:pPr>
              <w:spacing w:line="250" w:lineRule="auto"/>
              <w:jc w:val="center"/>
              <w:rPr>
                <w:sz w:val="18"/>
                <w:szCs w:val="18"/>
              </w:rPr>
            </w:pPr>
            <w:r>
              <w:rPr>
                <w:sz w:val="18"/>
                <w:szCs w:val="18"/>
              </w:rPr>
              <w:t>Não</w:t>
            </w:r>
          </w:p>
        </w:tc>
        <w:tc>
          <w:tcPr>
            <w:tcW w:w="1631"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5286DABF" w14:textId="6C9B046D" w:rsidR="00803CBB" w:rsidRDefault="00803CBB" w:rsidP="00803CBB">
            <w:pPr>
              <w:spacing w:line="250" w:lineRule="auto"/>
              <w:jc w:val="center"/>
              <w:rPr>
                <w:sz w:val="18"/>
                <w:szCs w:val="18"/>
              </w:rPr>
            </w:pPr>
            <w:r>
              <w:rPr>
                <w:sz w:val="18"/>
                <w:szCs w:val="18"/>
              </w:rPr>
              <w:t>Administração / TCE / Judiciário</w:t>
            </w:r>
          </w:p>
        </w:tc>
      </w:tr>
      <w:tr w:rsidR="001F5896" w14:paraId="389F358E" w14:textId="77777777" w:rsidTr="00803CBB">
        <w:tc>
          <w:tcPr>
            <w:tcW w:w="45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3CC1ABE9" w14:textId="462A7BCF" w:rsidR="001F5896" w:rsidRDefault="001F5896">
            <w:pPr>
              <w:spacing w:line="250" w:lineRule="auto"/>
              <w:jc w:val="center"/>
            </w:pPr>
            <w:r>
              <w:rPr>
                <w:b/>
                <w:bCs/>
                <w:sz w:val="18"/>
                <w:szCs w:val="18"/>
              </w:rPr>
              <w:t>2</w:t>
            </w:r>
            <w:r w:rsidR="00803CBB">
              <w:rPr>
                <w:b/>
                <w:bCs/>
                <w:sz w:val="18"/>
                <w:szCs w:val="18"/>
              </w:rPr>
              <w:t>1</w:t>
            </w:r>
          </w:p>
        </w:tc>
        <w:tc>
          <w:tcPr>
            <w:tcW w:w="1785" w:type="dxa"/>
            <w:vMerge/>
            <w:tcBorders>
              <w:left w:val="single" w:sz="4" w:space="0" w:color="BFBFBF"/>
              <w:bottom w:val="single" w:sz="4" w:space="0" w:color="BFBFBF"/>
              <w:right w:val="single" w:sz="4" w:space="0" w:color="BFBFBF"/>
            </w:tcBorders>
            <w:tcMar>
              <w:top w:w="80" w:type="dxa"/>
              <w:left w:w="90" w:type="dxa"/>
              <w:bottom w:w="80" w:type="dxa"/>
              <w:right w:w="90" w:type="dxa"/>
            </w:tcMar>
            <w:vAlign w:val="center"/>
          </w:tcPr>
          <w:p w14:paraId="6CECD6D1" w14:textId="2CEB11B3" w:rsidR="001F5896" w:rsidRDefault="001F5896" w:rsidP="007C2415">
            <w:pPr>
              <w:spacing w:line="250" w:lineRule="auto"/>
              <w:jc w:val="center"/>
            </w:pPr>
          </w:p>
        </w:tc>
        <w:tc>
          <w:tcPr>
            <w:tcW w:w="208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54FA1393" w14:textId="77777777" w:rsidR="001F5896" w:rsidRDefault="001F5896" w:rsidP="00F60929">
            <w:pPr>
              <w:spacing w:line="250" w:lineRule="auto"/>
              <w:jc w:val="center"/>
            </w:pPr>
            <w:r>
              <w:rPr>
                <w:sz w:val="18"/>
                <w:szCs w:val="18"/>
              </w:rPr>
              <w:t>PPP não prevista no Plano Plurianual 2026-2029</w:t>
            </w:r>
          </w:p>
        </w:tc>
        <w:tc>
          <w:tcPr>
            <w:tcW w:w="504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18CDCDCA" w14:textId="77777777" w:rsidR="001F5896" w:rsidRDefault="001F5896">
            <w:pPr>
              <w:spacing w:line="250" w:lineRule="auto"/>
              <w:jc w:val="both"/>
            </w:pPr>
            <w:r>
              <w:rPr>
                <w:sz w:val="18"/>
                <w:szCs w:val="18"/>
              </w:rPr>
              <w:t xml:space="preserve">A Lei municipal 9.387/2025, que instituiu o PPA de Marília para 2026-2029, não contém uma única referência a PPP, outorga, concessão administrativa ou parceria público-privada em todo o seu texto. A única ação orçamentária correlata é a de nº 2.256 - "Coleta, Transporte e Destinação Final de Resíduos Sólidos", vinculada à unidade 02.16.02 (Serviços Públicos), classificada como atividade contínua e financiada integralmente pela natureza de despesa 3.3.90.39.00 - "Outros Serviços de Terceiros - Pessoa Jurídica", com R$ 25.000.000,00 em 2026, R$ 26.000.000,00 em 2027, R$ 26.988.000,00 em 2028 e R$ 28.014.000,00 em 2029. Não há linha de investimento (grupo 4.4.90) para as plantas de biodigestão, tratamento térmico ou triagem, não há menção à contraprestação pecuniária da concessão administrativa e os valores previstos, quando anualizados, sequer cobrem o CAPEX </w:t>
            </w:r>
            <w:r>
              <w:rPr>
                <w:sz w:val="18"/>
                <w:szCs w:val="18"/>
              </w:rPr>
              <w:lastRenderedPageBreak/>
              <w:t>estimado no Caderno I para uma única das unidades industriais do projeto. A PPP de 30 anos, cuja assinatura está prevista para 2026, não está contemplada no instrumento de planejamento que juridicamente a deveria abrigar.</w:t>
            </w:r>
          </w:p>
        </w:tc>
        <w:tc>
          <w:tcPr>
            <w:tcW w:w="2573"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2A5C7AA0" w14:textId="77777777" w:rsidR="001F5896" w:rsidRDefault="001F5896">
            <w:pPr>
              <w:spacing w:line="250" w:lineRule="auto"/>
              <w:jc w:val="both"/>
            </w:pPr>
            <w:r>
              <w:rPr>
                <w:sz w:val="18"/>
                <w:szCs w:val="18"/>
              </w:rPr>
              <w:lastRenderedPageBreak/>
              <w:t>Art. 10, I, "b" e III, e art. 22 da Lei 11.079/2004; art. 165, §1º, da CF/1988; arts. 5º e 16 da LC 101/2000; Lei municipal 9.387/2025 (PPA 2026-2029), Anexo III, Ação 2.256</w:t>
            </w:r>
          </w:p>
        </w:tc>
        <w:tc>
          <w:tcPr>
            <w:tcW w:w="147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7DCBC3D0" w14:textId="77777777" w:rsidR="001F5896" w:rsidRDefault="001F5896">
            <w:pPr>
              <w:spacing w:line="250" w:lineRule="auto"/>
              <w:jc w:val="center"/>
            </w:pPr>
            <w:r>
              <w:rPr>
                <w:sz w:val="18"/>
                <w:szCs w:val="18"/>
              </w:rPr>
              <w:t>Não</w:t>
            </w:r>
          </w:p>
        </w:tc>
        <w:tc>
          <w:tcPr>
            <w:tcW w:w="1631"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0D23FCA0" w14:textId="77777777" w:rsidR="001F5896" w:rsidRDefault="001F5896">
            <w:pPr>
              <w:spacing w:line="250" w:lineRule="auto"/>
              <w:jc w:val="center"/>
            </w:pPr>
            <w:r>
              <w:rPr>
                <w:sz w:val="18"/>
                <w:szCs w:val="18"/>
              </w:rPr>
              <w:t>Administração / TCE / Judiciário</w:t>
            </w:r>
          </w:p>
        </w:tc>
      </w:tr>
      <w:tr w:rsidR="001F5896" w14:paraId="44D1C333" w14:textId="77777777" w:rsidTr="00803CBB">
        <w:tc>
          <w:tcPr>
            <w:tcW w:w="45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4ED6619A" w14:textId="66DC7B61" w:rsidR="001F5896" w:rsidRDefault="001F5896">
            <w:pPr>
              <w:spacing w:line="250" w:lineRule="auto"/>
              <w:jc w:val="center"/>
            </w:pPr>
            <w:r>
              <w:rPr>
                <w:b/>
                <w:bCs/>
                <w:sz w:val="18"/>
                <w:szCs w:val="18"/>
              </w:rPr>
              <w:t>2</w:t>
            </w:r>
            <w:r w:rsidR="00803CBB">
              <w:rPr>
                <w:b/>
                <w:bCs/>
                <w:sz w:val="18"/>
                <w:szCs w:val="18"/>
              </w:rPr>
              <w:t>2</w:t>
            </w:r>
          </w:p>
        </w:tc>
        <w:tc>
          <w:tcPr>
            <w:tcW w:w="178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116B22B2" w14:textId="77947C65" w:rsidR="001F5896" w:rsidRDefault="001F5896">
            <w:pPr>
              <w:spacing w:line="250" w:lineRule="auto"/>
              <w:jc w:val="center"/>
            </w:pPr>
            <w:r>
              <w:rPr>
                <w:b/>
                <w:bCs/>
                <w:sz w:val="18"/>
                <w:szCs w:val="18"/>
              </w:rPr>
              <w:t>Agência Reguladora</w:t>
            </w:r>
          </w:p>
        </w:tc>
        <w:tc>
          <w:tcPr>
            <w:tcW w:w="208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561EC0A8" w14:textId="77777777" w:rsidR="001F5896" w:rsidRDefault="001F5896" w:rsidP="00F60929">
            <w:pPr>
              <w:spacing w:line="250" w:lineRule="auto"/>
              <w:jc w:val="center"/>
            </w:pPr>
            <w:r>
              <w:rPr>
                <w:sz w:val="18"/>
                <w:szCs w:val="18"/>
              </w:rPr>
              <w:t>Ausência de entidade reguladora independente e de documentos da fase interna</w:t>
            </w:r>
          </w:p>
        </w:tc>
        <w:tc>
          <w:tcPr>
            <w:tcW w:w="504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74D1DD7F" w14:textId="77777777" w:rsidR="001F5896" w:rsidRDefault="001F5896">
            <w:pPr>
              <w:spacing w:line="250" w:lineRule="auto"/>
              <w:jc w:val="both"/>
            </w:pPr>
            <w:r>
              <w:rPr>
                <w:sz w:val="18"/>
                <w:szCs w:val="18"/>
              </w:rPr>
              <w:t>O item 31.1 estabelece que o contrato será regulado e fiscalizado pelo próprio Poder Concedente, sem designar entidade reguladora nem aderir a agência estadual ou consorciada. A designação da entidade de regulação e fiscalização é condição de validade dos contratos de saneamento básico, e a função regulatória exige independência decisória e autonomia administrativa, orçamentária e financeira; a NR nº 7/2024 ainda atribui à entidade reguladora funções indelegáveis - aprovar plano operacional e manual de atendimento, fiscalizar, manter ouvidoria, fixar prazos -, nenhuma delas contemplada. Em paralelo, não localizamos entre os documentos divulgados a estimativa de impacto orçamentário-financeiro nos exercícios de vigência, a declaração do ordenador de despesas quanto à compatibilidade com a LDO e a comprovação de inclusão no plano plurianual, todas condições legais para a abertura do certame - convindo pedir vista do processo integral antes de afirmar ausência.</w:t>
            </w:r>
          </w:p>
        </w:tc>
        <w:tc>
          <w:tcPr>
            <w:tcW w:w="2573"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322B43A1" w14:textId="77777777" w:rsidR="001F5896" w:rsidRDefault="001F5896">
            <w:pPr>
              <w:spacing w:line="250" w:lineRule="auto"/>
              <w:jc w:val="both"/>
            </w:pPr>
            <w:r>
              <w:rPr>
                <w:sz w:val="18"/>
                <w:szCs w:val="18"/>
              </w:rPr>
              <w:t>Art. 11, III, e art. 21, I, da Lei 11.445/2007 (redação da Lei 14.026/2020); arts. 2º, 71, 76, 80 e 88 da NR nº 7/2024 da ANA; art. 10, I, "b", II, III e V, e art. 22 da Lei 11.079/2004; arts. 16 e 17 da LC 101/2000</w:t>
            </w:r>
          </w:p>
        </w:tc>
        <w:tc>
          <w:tcPr>
            <w:tcW w:w="147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4377F331" w14:textId="77777777" w:rsidR="001F5896" w:rsidRDefault="001F5896">
            <w:pPr>
              <w:spacing w:line="250" w:lineRule="auto"/>
              <w:jc w:val="center"/>
            </w:pPr>
            <w:r>
              <w:rPr>
                <w:sz w:val="18"/>
                <w:szCs w:val="18"/>
              </w:rPr>
              <w:t>Não</w:t>
            </w:r>
          </w:p>
        </w:tc>
        <w:tc>
          <w:tcPr>
            <w:tcW w:w="1631"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6BB97531" w14:textId="77777777" w:rsidR="001F5896" w:rsidRDefault="001F5896">
            <w:pPr>
              <w:spacing w:line="250" w:lineRule="auto"/>
              <w:jc w:val="center"/>
            </w:pPr>
            <w:r>
              <w:rPr>
                <w:sz w:val="18"/>
                <w:szCs w:val="18"/>
              </w:rPr>
              <w:t>Administração / TCE / Judiciário</w:t>
            </w:r>
          </w:p>
        </w:tc>
      </w:tr>
      <w:tr w:rsidR="001F5896" w14:paraId="6EABC405" w14:textId="77777777" w:rsidTr="00803CBB">
        <w:tc>
          <w:tcPr>
            <w:tcW w:w="45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3E3A52AB" w14:textId="33762782" w:rsidR="001F5896" w:rsidRDefault="001F5896">
            <w:pPr>
              <w:spacing w:line="250" w:lineRule="auto"/>
              <w:jc w:val="center"/>
            </w:pPr>
            <w:r>
              <w:rPr>
                <w:b/>
                <w:bCs/>
                <w:sz w:val="18"/>
                <w:szCs w:val="18"/>
              </w:rPr>
              <w:t>2</w:t>
            </w:r>
            <w:r w:rsidR="00803CBB">
              <w:rPr>
                <w:b/>
                <w:bCs/>
                <w:sz w:val="18"/>
                <w:szCs w:val="18"/>
              </w:rPr>
              <w:t>3</w:t>
            </w:r>
          </w:p>
        </w:tc>
        <w:tc>
          <w:tcPr>
            <w:tcW w:w="1785" w:type="dxa"/>
            <w:vMerge w:val="restart"/>
            <w:tcBorders>
              <w:top w:val="single" w:sz="4" w:space="0" w:color="BFBFBF"/>
              <w:left w:val="single" w:sz="4" w:space="0" w:color="BFBFBF"/>
              <w:right w:val="single" w:sz="4" w:space="0" w:color="BFBFBF"/>
            </w:tcBorders>
            <w:tcMar>
              <w:top w:w="80" w:type="dxa"/>
              <w:left w:w="90" w:type="dxa"/>
              <w:bottom w:w="80" w:type="dxa"/>
              <w:right w:w="90" w:type="dxa"/>
            </w:tcMar>
            <w:vAlign w:val="center"/>
          </w:tcPr>
          <w:p w14:paraId="0B3F15C0" w14:textId="2C6B8602" w:rsidR="001F5896" w:rsidRDefault="001F5896" w:rsidP="00EE4E99">
            <w:pPr>
              <w:spacing w:line="250" w:lineRule="auto"/>
              <w:jc w:val="center"/>
            </w:pPr>
            <w:r>
              <w:rPr>
                <w:b/>
                <w:bCs/>
                <w:sz w:val="18"/>
                <w:szCs w:val="18"/>
              </w:rPr>
              <w:t>Questões pontuais /</w:t>
            </w:r>
            <w:r w:rsidR="008B0209">
              <w:rPr>
                <w:b/>
                <w:bCs/>
                <w:sz w:val="18"/>
                <w:szCs w:val="18"/>
              </w:rPr>
              <w:t xml:space="preserve"> formais</w:t>
            </w:r>
            <w:r>
              <w:rPr>
                <w:b/>
                <w:bCs/>
                <w:sz w:val="18"/>
                <w:szCs w:val="18"/>
              </w:rPr>
              <w:t xml:space="preserve"> </w:t>
            </w:r>
          </w:p>
          <w:p w14:paraId="5E824D79" w14:textId="2DAF8F2E" w:rsidR="001F5896" w:rsidRDefault="001F5896" w:rsidP="009A4E45">
            <w:pPr>
              <w:spacing w:line="250" w:lineRule="auto"/>
              <w:jc w:val="center"/>
            </w:pPr>
          </w:p>
        </w:tc>
        <w:tc>
          <w:tcPr>
            <w:tcW w:w="208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47E3159D" w14:textId="77777777" w:rsidR="001F5896" w:rsidRDefault="001F5896" w:rsidP="00F60929">
            <w:pPr>
              <w:spacing w:line="250" w:lineRule="auto"/>
              <w:jc w:val="center"/>
            </w:pPr>
            <w:r>
              <w:rPr>
                <w:sz w:val="18"/>
                <w:szCs w:val="18"/>
              </w:rPr>
              <w:t>Consórcio tratado como parceiro privado, com regras de SPE contraditórias</w:t>
            </w:r>
          </w:p>
        </w:tc>
        <w:tc>
          <w:tcPr>
            <w:tcW w:w="504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6DC10F22" w14:textId="77777777" w:rsidR="001F5896" w:rsidRDefault="001F5896">
            <w:pPr>
              <w:spacing w:line="250" w:lineRule="auto"/>
              <w:jc w:val="both"/>
            </w:pPr>
            <w:r>
              <w:rPr>
                <w:sz w:val="18"/>
                <w:szCs w:val="18"/>
              </w:rPr>
              <w:t>O glossário define CONSÓRCIO como "pessoa jurídica de direito privado a ser constituída pela LICITANTE VENCEDORA (...) que será a parceira privada", e o termo é usado nessa função ao longo de todo o edital, inclusive no título do item 27 ("DA CONSTITUIÇÃO DA CONSÓRCIO") e nas cláusulas de remuneração, garantia e obrigações. Consórcio não é pessoa jurídica e não pode ser o parceiro privado: antes da celebração do contrato deve ser constituída SPE incumbida de implantar e gerir o objeto, como o próprio item 27.1 exige. Soma-se contradição de consequência prática: o item 27.3 determina que a SPE seja subsidiária integral da vencedora, o que pressupõe acionista único, enquanto o item 27.3.1 estabelece que, sendo a vencedora um consórcio, a SPE terá como sócias as empresas integrantes, com as participações do compromisso. A definição afeta estrutura societária, tributação e garantias que precisam ser dimensionadas antes da proposta.</w:t>
            </w:r>
          </w:p>
        </w:tc>
        <w:tc>
          <w:tcPr>
            <w:tcW w:w="2573"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226E8929" w14:textId="77777777" w:rsidR="001F5896" w:rsidRDefault="001F5896">
            <w:pPr>
              <w:spacing w:line="250" w:lineRule="auto"/>
              <w:jc w:val="both"/>
            </w:pPr>
            <w:r>
              <w:rPr>
                <w:sz w:val="18"/>
                <w:szCs w:val="18"/>
              </w:rPr>
              <w:t>Art. 9º da Lei 11.079/2004; arts. 251, 278 e 279 da Lei 6.404/1976; art. 15 e art. 5º da Lei 14.133/2021</w:t>
            </w:r>
          </w:p>
        </w:tc>
        <w:tc>
          <w:tcPr>
            <w:tcW w:w="147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17CF98BD" w14:textId="56D675F3" w:rsidR="001F5896" w:rsidRDefault="001F5896">
            <w:pPr>
              <w:spacing w:line="250" w:lineRule="auto"/>
              <w:jc w:val="center"/>
            </w:pPr>
            <w:r>
              <w:rPr>
                <w:sz w:val="18"/>
                <w:szCs w:val="18"/>
              </w:rPr>
              <w:t>Não</w:t>
            </w:r>
          </w:p>
        </w:tc>
        <w:tc>
          <w:tcPr>
            <w:tcW w:w="1631"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122348C7" w14:textId="77777777" w:rsidR="001F5896" w:rsidRDefault="001F5896">
            <w:pPr>
              <w:spacing w:line="250" w:lineRule="auto"/>
              <w:jc w:val="center"/>
            </w:pPr>
            <w:r>
              <w:rPr>
                <w:sz w:val="18"/>
                <w:szCs w:val="18"/>
              </w:rPr>
              <w:t>TCE / Judiciário</w:t>
            </w:r>
          </w:p>
        </w:tc>
      </w:tr>
      <w:tr w:rsidR="001F5896" w14:paraId="34660BFD" w14:textId="77777777" w:rsidTr="00803CBB">
        <w:tc>
          <w:tcPr>
            <w:tcW w:w="45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4E8BE9D4" w14:textId="7C77CF4E" w:rsidR="001F5896" w:rsidRDefault="001F5896">
            <w:pPr>
              <w:spacing w:line="250" w:lineRule="auto"/>
              <w:jc w:val="center"/>
            </w:pPr>
            <w:r>
              <w:rPr>
                <w:b/>
                <w:bCs/>
                <w:sz w:val="18"/>
                <w:szCs w:val="18"/>
              </w:rPr>
              <w:t>2</w:t>
            </w:r>
            <w:r w:rsidR="00803CBB">
              <w:rPr>
                <w:b/>
                <w:bCs/>
                <w:sz w:val="18"/>
                <w:szCs w:val="18"/>
              </w:rPr>
              <w:t>4</w:t>
            </w:r>
          </w:p>
        </w:tc>
        <w:tc>
          <w:tcPr>
            <w:tcW w:w="1785" w:type="dxa"/>
            <w:vMerge/>
            <w:tcBorders>
              <w:left w:val="single" w:sz="4" w:space="0" w:color="BFBFBF"/>
              <w:right w:val="single" w:sz="4" w:space="0" w:color="BFBFBF"/>
            </w:tcBorders>
            <w:tcMar>
              <w:top w:w="80" w:type="dxa"/>
              <w:left w:w="90" w:type="dxa"/>
              <w:bottom w:w="80" w:type="dxa"/>
              <w:right w:w="90" w:type="dxa"/>
            </w:tcMar>
            <w:vAlign w:val="center"/>
          </w:tcPr>
          <w:p w14:paraId="68964726" w14:textId="6CE0E85C" w:rsidR="001F5896" w:rsidRDefault="001F5896" w:rsidP="009A4E45">
            <w:pPr>
              <w:spacing w:line="250" w:lineRule="auto"/>
              <w:jc w:val="center"/>
            </w:pPr>
          </w:p>
        </w:tc>
        <w:tc>
          <w:tcPr>
            <w:tcW w:w="208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6834748A" w14:textId="77777777" w:rsidR="001F5896" w:rsidRDefault="001F5896" w:rsidP="00F60929">
            <w:pPr>
              <w:spacing w:line="250" w:lineRule="auto"/>
              <w:jc w:val="center"/>
            </w:pPr>
            <w:r>
              <w:rPr>
                <w:sz w:val="18"/>
                <w:szCs w:val="18"/>
              </w:rPr>
              <w:t xml:space="preserve">Visita técnica obrigatória sem alternativa por declaração e com </w:t>
            </w:r>
            <w:r>
              <w:rPr>
                <w:sz w:val="18"/>
                <w:szCs w:val="18"/>
              </w:rPr>
              <w:lastRenderedPageBreak/>
              <w:t>exigência antecipada para consórcios</w:t>
            </w:r>
          </w:p>
        </w:tc>
        <w:tc>
          <w:tcPr>
            <w:tcW w:w="504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3F67B603" w14:textId="77777777" w:rsidR="001F5896" w:rsidRDefault="001F5896">
            <w:pPr>
              <w:spacing w:line="250" w:lineRule="auto"/>
              <w:jc w:val="both"/>
            </w:pPr>
            <w:r>
              <w:rPr>
                <w:sz w:val="18"/>
                <w:szCs w:val="18"/>
              </w:rPr>
              <w:lastRenderedPageBreak/>
              <w:t xml:space="preserve">O item 11.4.1 diz que as licitantes "poderão" visitar a área, mas o item 11.4.4 determina que o Atestado de Visita Técnica "deverá ser anexado nos DOCUMENTOS DE HABILITAÇÃO", transformando a vistoria em requisito obrigatório de participação. A lei é expressa </w:t>
            </w:r>
            <w:r>
              <w:rPr>
                <w:sz w:val="18"/>
                <w:szCs w:val="18"/>
              </w:rPr>
              <w:lastRenderedPageBreak/>
              <w:t>ao determinar que o edital sempre preveja a possibilidade de substituição da vistoria por declaração formal assinada pelo responsável técnico do licitante, e o edital não traz essa alternativa. A restrição é agravada para consórcios: o item 11.4.5 admite a visita por representante de apenas um membro desde que apresente, já no momento da vistoria, o Compromisso de Constituição de Consórcio e credenciamento assinado por todos os integrantes ou pela líder. Para simplesmente conhecer a área, potenciais concorrentes precisam definir antecipadamente a composição do consórcio, o que dificulta que empresas em fase de formação de parceria decidam se participarão e não guarda relação necessária com a capacidade técnica.</w:t>
            </w:r>
          </w:p>
        </w:tc>
        <w:tc>
          <w:tcPr>
            <w:tcW w:w="2573"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08BE6FCE" w14:textId="77777777" w:rsidR="001F5896" w:rsidRDefault="001F5896">
            <w:pPr>
              <w:spacing w:line="250" w:lineRule="auto"/>
              <w:jc w:val="both"/>
            </w:pPr>
            <w:r>
              <w:rPr>
                <w:sz w:val="18"/>
                <w:szCs w:val="18"/>
              </w:rPr>
              <w:lastRenderedPageBreak/>
              <w:t>Art. 63, §§2º a 4º, e art. 9º, I, da Lei 14.133/2021; art. 37, XXI, da CF/1988; Súmula nº 272 do TCU</w:t>
            </w:r>
          </w:p>
        </w:tc>
        <w:tc>
          <w:tcPr>
            <w:tcW w:w="147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35BB1AA3" w14:textId="77777777" w:rsidR="001F5896" w:rsidRDefault="001F5896">
            <w:pPr>
              <w:spacing w:line="250" w:lineRule="auto"/>
              <w:jc w:val="center"/>
            </w:pPr>
            <w:r>
              <w:rPr>
                <w:sz w:val="18"/>
                <w:szCs w:val="18"/>
              </w:rPr>
              <w:t>Não</w:t>
            </w:r>
          </w:p>
        </w:tc>
        <w:tc>
          <w:tcPr>
            <w:tcW w:w="1631"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65F99F6D" w14:textId="1B58CFFC" w:rsidR="001F5896" w:rsidRDefault="001F5896">
            <w:pPr>
              <w:spacing w:line="250" w:lineRule="auto"/>
              <w:jc w:val="center"/>
            </w:pPr>
            <w:r>
              <w:rPr>
                <w:sz w:val="18"/>
                <w:szCs w:val="18"/>
              </w:rPr>
              <w:t>TCE / Judiciário</w:t>
            </w:r>
          </w:p>
        </w:tc>
      </w:tr>
      <w:tr w:rsidR="001F5896" w14:paraId="3E6F937B" w14:textId="77777777" w:rsidTr="00803CBB">
        <w:tc>
          <w:tcPr>
            <w:tcW w:w="45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49E6B842" w14:textId="392FB8B6" w:rsidR="001F5896" w:rsidRDefault="001F5896">
            <w:pPr>
              <w:spacing w:line="250" w:lineRule="auto"/>
              <w:jc w:val="center"/>
            </w:pPr>
            <w:r>
              <w:rPr>
                <w:b/>
                <w:bCs/>
                <w:sz w:val="18"/>
                <w:szCs w:val="18"/>
              </w:rPr>
              <w:t>2</w:t>
            </w:r>
            <w:r w:rsidR="00803CBB">
              <w:rPr>
                <w:b/>
                <w:bCs/>
                <w:sz w:val="18"/>
                <w:szCs w:val="18"/>
              </w:rPr>
              <w:t>5</w:t>
            </w:r>
          </w:p>
        </w:tc>
        <w:tc>
          <w:tcPr>
            <w:tcW w:w="1785" w:type="dxa"/>
            <w:vMerge/>
            <w:tcBorders>
              <w:left w:val="single" w:sz="4" w:space="0" w:color="BFBFBF"/>
              <w:right w:val="single" w:sz="4" w:space="0" w:color="BFBFBF"/>
            </w:tcBorders>
            <w:tcMar>
              <w:top w:w="80" w:type="dxa"/>
              <w:left w:w="90" w:type="dxa"/>
              <w:bottom w:w="80" w:type="dxa"/>
              <w:right w:w="90" w:type="dxa"/>
            </w:tcMar>
            <w:vAlign w:val="center"/>
          </w:tcPr>
          <w:p w14:paraId="3337A387" w14:textId="49582A8C" w:rsidR="001F5896" w:rsidRDefault="001F5896" w:rsidP="009A4E45">
            <w:pPr>
              <w:spacing w:line="250" w:lineRule="auto"/>
              <w:jc w:val="center"/>
            </w:pPr>
          </w:p>
        </w:tc>
        <w:tc>
          <w:tcPr>
            <w:tcW w:w="208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78894CEE" w14:textId="77777777" w:rsidR="001F5896" w:rsidRDefault="001F5896" w:rsidP="00F60929">
            <w:pPr>
              <w:spacing w:line="250" w:lineRule="auto"/>
              <w:jc w:val="center"/>
            </w:pPr>
            <w:r>
              <w:rPr>
                <w:sz w:val="18"/>
                <w:szCs w:val="18"/>
              </w:rPr>
              <w:t>Formalidades documentais excessivas - autenticação indiscriminada e consularização sem apostilamento</w:t>
            </w:r>
          </w:p>
        </w:tc>
        <w:tc>
          <w:tcPr>
            <w:tcW w:w="504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46592CF6" w14:textId="77777777" w:rsidR="001F5896" w:rsidRDefault="001F5896">
            <w:pPr>
              <w:spacing w:line="250" w:lineRule="auto"/>
              <w:jc w:val="both"/>
            </w:pPr>
            <w:r>
              <w:rPr>
                <w:sz w:val="18"/>
                <w:szCs w:val="18"/>
              </w:rPr>
              <w:t>O item 13.1, alínea (d), determina que toda a documentação seja apresentada "digitalizada e autenticada por qualquer processo de autenticação", sem ressalva para documentos nato-digitais, emitidos eletronicamente, com código de verificação ou assinatura digital, nem para as demais formas legais de comprovação de autenticidade - exigência incongruente em certame que se processa integralmente por meio eletrônico e que gera custo desnecessário e risco de inabilitação por questão meramente formal. A alínea (c) do mesmo item exige tradução juramentada e consularização no Consulado Brasileiro do país de origem, sem considerar que o Brasil é parte da Convenção da Apostila da Haia desde 2016, de modo que o apostilamento substitui a consularização para os países signatários; tampouco trata das hipóteses de inexistência de documento equivalente no país de origem nem admite declaração dessa inexistência.</w:t>
            </w:r>
          </w:p>
        </w:tc>
        <w:tc>
          <w:tcPr>
            <w:tcW w:w="2573"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661EC5C9" w14:textId="77777777" w:rsidR="001F5896" w:rsidRDefault="001F5896">
            <w:pPr>
              <w:spacing w:line="250" w:lineRule="auto"/>
              <w:jc w:val="both"/>
            </w:pPr>
            <w:r>
              <w:rPr>
                <w:sz w:val="18"/>
                <w:szCs w:val="18"/>
              </w:rPr>
              <w:t>Art. 12, III e IV, art. 70, I e parágrafo único, art. 67, §4º, e art. 68, §1º, da Lei 14.133/2021; Convenção da Apostila da Haia (Decreto 8.660/2016); Lei 14.063/2020</w:t>
            </w:r>
          </w:p>
        </w:tc>
        <w:tc>
          <w:tcPr>
            <w:tcW w:w="147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3FFEF75F" w14:textId="77777777" w:rsidR="001F5896" w:rsidRDefault="001F5896">
            <w:pPr>
              <w:spacing w:line="250" w:lineRule="auto"/>
              <w:jc w:val="center"/>
            </w:pPr>
            <w:r>
              <w:rPr>
                <w:sz w:val="18"/>
                <w:szCs w:val="18"/>
              </w:rPr>
              <w:t>Não</w:t>
            </w:r>
          </w:p>
        </w:tc>
        <w:tc>
          <w:tcPr>
            <w:tcW w:w="1631"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3364D5EC" w14:textId="77777777" w:rsidR="001F5896" w:rsidRDefault="001F5896">
            <w:pPr>
              <w:spacing w:line="250" w:lineRule="auto"/>
              <w:jc w:val="center"/>
            </w:pPr>
            <w:r>
              <w:rPr>
                <w:sz w:val="18"/>
                <w:szCs w:val="18"/>
              </w:rPr>
              <w:t>TCE / Judiciário</w:t>
            </w:r>
          </w:p>
        </w:tc>
      </w:tr>
      <w:tr w:rsidR="001F5896" w14:paraId="12E5FA61" w14:textId="77777777" w:rsidTr="00803CBB">
        <w:tc>
          <w:tcPr>
            <w:tcW w:w="45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597999DE" w14:textId="76CDE080" w:rsidR="001F5896" w:rsidRDefault="001F5896">
            <w:pPr>
              <w:spacing w:line="250" w:lineRule="auto"/>
              <w:jc w:val="center"/>
            </w:pPr>
            <w:r>
              <w:rPr>
                <w:b/>
                <w:bCs/>
                <w:sz w:val="18"/>
                <w:szCs w:val="18"/>
              </w:rPr>
              <w:t>2</w:t>
            </w:r>
            <w:r w:rsidR="00803CBB">
              <w:rPr>
                <w:b/>
                <w:bCs/>
                <w:sz w:val="18"/>
                <w:szCs w:val="18"/>
              </w:rPr>
              <w:t>6</w:t>
            </w:r>
          </w:p>
        </w:tc>
        <w:tc>
          <w:tcPr>
            <w:tcW w:w="1785" w:type="dxa"/>
            <w:vMerge/>
            <w:tcBorders>
              <w:left w:val="single" w:sz="4" w:space="0" w:color="BFBFBF"/>
              <w:right w:val="single" w:sz="4" w:space="0" w:color="BFBFBF"/>
            </w:tcBorders>
            <w:tcMar>
              <w:top w:w="80" w:type="dxa"/>
              <w:left w:w="90" w:type="dxa"/>
              <w:bottom w:w="80" w:type="dxa"/>
              <w:right w:w="90" w:type="dxa"/>
            </w:tcMar>
            <w:vAlign w:val="center"/>
          </w:tcPr>
          <w:p w14:paraId="2910BEBA" w14:textId="250A2A33" w:rsidR="001F5896" w:rsidRDefault="001F5896" w:rsidP="009A4E45">
            <w:pPr>
              <w:spacing w:line="250" w:lineRule="auto"/>
              <w:jc w:val="center"/>
            </w:pPr>
          </w:p>
        </w:tc>
        <w:tc>
          <w:tcPr>
            <w:tcW w:w="208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0271C0B0" w14:textId="77777777" w:rsidR="001F5896" w:rsidRDefault="001F5896" w:rsidP="00F60929">
            <w:pPr>
              <w:spacing w:line="250" w:lineRule="auto"/>
              <w:jc w:val="center"/>
            </w:pPr>
            <w:r>
              <w:rPr>
                <w:sz w:val="18"/>
                <w:szCs w:val="18"/>
              </w:rPr>
              <w:t>Qualificação técnica e ressarcimento do PMI com exigências não justificadas</w:t>
            </w:r>
          </w:p>
        </w:tc>
        <w:tc>
          <w:tcPr>
            <w:tcW w:w="504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60F9CE9E" w14:textId="77777777" w:rsidR="001F5896" w:rsidRDefault="001F5896">
            <w:pPr>
              <w:spacing w:line="250" w:lineRule="auto"/>
              <w:jc w:val="both"/>
            </w:pPr>
            <w:r>
              <w:rPr>
                <w:sz w:val="18"/>
                <w:szCs w:val="18"/>
              </w:rPr>
              <w:t xml:space="preserve">O item 8.4 do Termo de Referência exige atestado de elaboração de estudo e projeto básico para obtenção de licença ambiental de unidade de recuperação energética por gaseificação/pirólise e/ou biodigestão, com 30 t/dia de CDR e/ou 50 t de fração orgânica em empreendimento de 100 t/dia, e projeto executivo de planta de segregação com 12,5 t/h, sem que o processo contenha estudo de mercado que justifique os patamares. O uso de "e/ou" ao longo do rol atenua a alegação de restrição, de modo que o argumento se sustenta melhor na exigência de licença prévia efetivamente emitida para rota que o próprio edital admite não ter planta comercial no país. Em separado, o item 28.2.3 condiciona a assinatura do contrato ao ressarcimento de até R$ 1.200.000,00 aos participantes do Chamamento Público SMALP nº 001/2017, </w:t>
            </w:r>
            <w:r>
              <w:rPr>
                <w:sz w:val="18"/>
                <w:szCs w:val="18"/>
              </w:rPr>
              <w:lastRenderedPageBreak/>
              <w:t>rateado em 40%/30%/30%, sem identificar os beneficiários, as proporções, o ato de seleção ou a memória de custos.</w:t>
            </w:r>
          </w:p>
        </w:tc>
        <w:tc>
          <w:tcPr>
            <w:tcW w:w="2573"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6A786375" w14:textId="77777777" w:rsidR="001F5896" w:rsidRDefault="001F5896">
            <w:pPr>
              <w:spacing w:line="250" w:lineRule="auto"/>
              <w:jc w:val="both"/>
            </w:pPr>
            <w:r>
              <w:rPr>
                <w:sz w:val="18"/>
                <w:szCs w:val="18"/>
              </w:rPr>
              <w:lastRenderedPageBreak/>
              <w:t>Art. 67, caput, I e §§1º e 2º, art. 80, §2º, e art. 5º da Lei 14.133/2021; Súmulas 24 e 30 do TCE-SP; art. 21 da Lei 8.987/1995; art. 37, XXI, da CF/1988</w:t>
            </w:r>
          </w:p>
        </w:tc>
        <w:tc>
          <w:tcPr>
            <w:tcW w:w="147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50F597FD" w14:textId="77777777" w:rsidR="001F5896" w:rsidRDefault="001F5896">
            <w:pPr>
              <w:spacing w:line="250" w:lineRule="auto"/>
              <w:jc w:val="center"/>
            </w:pPr>
            <w:r>
              <w:rPr>
                <w:sz w:val="18"/>
                <w:szCs w:val="18"/>
              </w:rPr>
              <w:t>Não</w:t>
            </w:r>
          </w:p>
        </w:tc>
        <w:tc>
          <w:tcPr>
            <w:tcW w:w="1631"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78D4B30D" w14:textId="77777777" w:rsidR="001F5896" w:rsidRDefault="001F5896">
            <w:pPr>
              <w:spacing w:line="250" w:lineRule="auto"/>
              <w:jc w:val="center"/>
            </w:pPr>
            <w:r>
              <w:rPr>
                <w:sz w:val="18"/>
                <w:szCs w:val="18"/>
              </w:rPr>
              <w:t>Administração / TCE / Judiciário</w:t>
            </w:r>
          </w:p>
        </w:tc>
      </w:tr>
      <w:tr w:rsidR="001F5896" w14:paraId="658274C9" w14:textId="77777777" w:rsidTr="00803CBB">
        <w:tc>
          <w:tcPr>
            <w:tcW w:w="45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1BC30A12" w14:textId="532A8C27" w:rsidR="001F5896" w:rsidRDefault="001F5896">
            <w:pPr>
              <w:spacing w:line="250" w:lineRule="auto"/>
              <w:jc w:val="center"/>
            </w:pPr>
            <w:r>
              <w:rPr>
                <w:b/>
                <w:bCs/>
                <w:sz w:val="18"/>
                <w:szCs w:val="18"/>
              </w:rPr>
              <w:t>2</w:t>
            </w:r>
            <w:r w:rsidR="00803CBB">
              <w:rPr>
                <w:b/>
                <w:bCs/>
                <w:sz w:val="18"/>
                <w:szCs w:val="18"/>
              </w:rPr>
              <w:t>7</w:t>
            </w:r>
          </w:p>
        </w:tc>
        <w:tc>
          <w:tcPr>
            <w:tcW w:w="1785" w:type="dxa"/>
            <w:vMerge/>
            <w:tcBorders>
              <w:left w:val="single" w:sz="4" w:space="0" w:color="BFBFBF"/>
              <w:bottom w:val="single" w:sz="4" w:space="0" w:color="BFBFBF"/>
              <w:right w:val="single" w:sz="4" w:space="0" w:color="BFBFBF"/>
            </w:tcBorders>
            <w:tcMar>
              <w:top w:w="80" w:type="dxa"/>
              <w:left w:w="90" w:type="dxa"/>
              <w:bottom w:w="80" w:type="dxa"/>
              <w:right w:w="90" w:type="dxa"/>
            </w:tcMar>
            <w:vAlign w:val="center"/>
          </w:tcPr>
          <w:p w14:paraId="24661C2C" w14:textId="578EAE23" w:rsidR="001F5896" w:rsidRDefault="001F5896">
            <w:pPr>
              <w:spacing w:line="250" w:lineRule="auto"/>
              <w:jc w:val="center"/>
            </w:pPr>
          </w:p>
        </w:tc>
        <w:tc>
          <w:tcPr>
            <w:tcW w:w="2084"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7C539055" w14:textId="77777777" w:rsidR="001F5896" w:rsidRDefault="001F5896" w:rsidP="00F60929">
            <w:pPr>
              <w:spacing w:line="250" w:lineRule="auto"/>
              <w:jc w:val="center"/>
            </w:pPr>
            <w:r>
              <w:rPr>
                <w:sz w:val="18"/>
                <w:szCs w:val="18"/>
              </w:rPr>
              <w:t>Canal e prazo de protocolo de esclarecimentos e impugnações contraditórios</w:t>
            </w:r>
          </w:p>
        </w:tc>
        <w:tc>
          <w:tcPr>
            <w:tcW w:w="504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2CD5109B" w14:textId="77777777" w:rsidR="001F5896" w:rsidRDefault="001F5896">
            <w:pPr>
              <w:spacing w:line="250" w:lineRule="auto"/>
              <w:jc w:val="both"/>
            </w:pPr>
            <w:r>
              <w:rPr>
                <w:sz w:val="18"/>
                <w:szCs w:val="18"/>
              </w:rPr>
              <w:t>Os itens 7.1 e 8.1 determinam que pedidos de esclarecimento e impugnações sejam protocolados no sítio eletrônico da Prefeitura, enquanto o item 12 estabelece que, sendo eletrônica a licitação, "qualquer protocolo deve obrigatoriamente ser efetivado no Portal de Compras do Governo Federal". Há ainda descompasso de marco temporal: a impugnação é referida a três dias úteis antes da data de entrega da documentação e o esclarecimento ao quinto dia anterior à sessão de abertura. Convém sanear o ponto e, independentemente da resposta, protocolar nos dois canais, com comprovante de ambos, para que não se discuta tempestividade ou via inadequada.</w:t>
            </w:r>
          </w:p>
        </w:tc>
        <w:tc>
          <w:tcPr>
            <w:tcW w:w="2573"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04EACA60" w14:textId="77777777" w:rsidR="001F5896" w:rsidRPr="00C5175E" w:rsidRDefault="001F5896">
            <w:pPr>
              <w:spacing w:line="250" w:lineRule="auto"/>
              <w:jc w:val="both"/>
              <w:rPr>
                <w:lang w:val="en-US"/>
              </w:rPr>
            </w:pPr>
            <w:r w:rsidRPr="00C5175E">
              <w:rPr>
                <w:sz w:val="18"/>
                <w:szCs w:val="18"/>
                <w:lang w:val="en-US"/>
              </w:rPr>
              <w:t>Art. 164, art. 12, VI, e art. 5º da Lei 14.133/2021; art. 37, caput, da CF/1988</w:t>
            </w:r>
          </w:p>
        </w:tc>
        <w:tc>
          <w:tcPr>
            <w:tcW w:w="1475"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646D7252" w14:textId="77777777" w:rsidR="001F5896" w:rsidRDefault="001F5896">
            <w:pPr>
              <w:spacing w:line="250" w:lineRule="auto"/>
              <w:jc w:val="center"/>
            </w:pPr>
            <w:r>
              <w:rPr>
                <w:sz w:val="18"/>
                <w:szCs w:val="18"/>
              </w:rPr>
              <w:t>Sim</w:t>
            </w:r>
          </w:p>
        </w:tc>
        <w:tc>
          <w:tcPr>
            <w:tcW w:w="1631" w:type="dxa"/>
            <w:tcBorders>
              <w:top w:val="single" w:sz="4" w:space="0" w:color="BFBFBF"/>
              <w:left w:val="single" w:sz="4" w:space="0" w:color="BFBFBF"/>
              <w:bottom w:val="single" w:sz="4" w:space="0" w:color="BFBFBF"/>
              <w:right w:val="single" w:sz="4" w:space="0" w:color="BFBFBF"/>
            </w:tcBorders>
            <w:tcMar>
              <w:top w:w="80" w:type="dxa"/>
              <w:left w:w="90" w:type="dxa"/>
              <w:bottom w:w="80" w:type="dxa"/>
              <w:right w:w="90" w:type="dxa"/>
            </w:tcMar>
            <w:vAlign w:val="center"/>
          </w:tcPr>
          <w:p w14:paraId="55C79A97" w14:textId="77777777" w:rsidR="001F5896" w:rsidRDefault="001F5896">
            <w:pPr>
              <w:spacing w:line="250" w:lineRule="auto"/>
              <w:jc w:val="center"/>
            </w:pPr>
            <w:r>
              <w:rPr>
                <w:sz w:val="18"/>
                <w:szCs w:val="18"/>
              </w:rPr>
              <w:t>Administração</w:t>
            </w:r>
          </w:p>
        </w:tc>
      </w:tr>
    </w:tbl>
    <w:p w14:paraId="1430293D" w14:textId="236F3C60" w:rsidR="00DA1248" w:rsidRDefault="00DA1248">
      <w:pPr>
        <w:spacing w:before="160" w:after="120" w:line="276" w:lineRule="auto"/>
        <w:jc w:val="both"/>
      </w:pPr>
    </w:p>
    <w:sectPr w:rsidR="00DA1248">
      <w:pgSz w:w="16838" w:h="11906" w:orient="landscape"/>
      <w:pgMar w:top="850" w:right="850" w:bottom="85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26AF1"/>
    <w:multiLevelType w:val="hybridMultilevel"/>
    <w:tmpl w:val="87C6393A"/>
    <w:lvl w:ilvl="0" w:tplc="AEFED70E">
      <w:start w:val="1"/>
      <w:numFmt w:val="bullet"/>
      <w:lvlText w:val="●"/>
      <w:lvlJc w:val="left"/>
      <w:pPr>
        <w:ind w:left="720" w:hanging="360"/>
      </w:pPr>
    </w:lvl>
    <w:lvl w:ilvl="1" w:tplc="D59AF372">
      <w:start w:val="1"/>
      <w:numFmt w:val="bullet"/>
      <w:lvlText w:val="○"/>
      <w:lvlJc w:val="left"/>
      <w:pPr>
        <w:ind w:left="1440" w:hanging="360"/>
      </w:pPr>
    </w:lvl>
    <w:lvl w:ilvl="2" w:tplc="1AACA83E">
      <w:start w:val="1"/>
      <w:numFmt w:val="bullet"/>
      <w:lvlText w:val="■"/>
      <w:lvlJc w:val="left"/>
      <w:pPr>
        <w:ind w:left="2160" w:hanging="360"/>
      </w:pPr>
    </w:lvl>
    <w:lvl w:ilvl="3" w:tplc="E25A52F6">
      <w:start w:val="1"/>
      <w:numFmt w:val="bullet"/>
      <w:lvlText w:val="●"/>
      <w:lvlJc w:val="left"/>
      <w:pPr>
        <w:ind w:left="2880" w:hanging="360"/>
      </w:pPr>
    </w:lvl>
    <w:lvl w:ilvl="4" w:tplc="36BAF3EC">
      <w:start w:val="1"/>
      <w:numFmt w:val="bullet"/>
      <w:lvlText w:val="○"/>
      <w:lvlJc w:val="left"/>
      <w:pPr>
        <w:ind w:left="3600" w:hanging="360"/>
      </w:pPr>
    </w:lvl>
    <w:lvl w:ilvl="5" w:tplc="6E34240C">
      <w:start w:val="1"/>
      <w:numFmt w:val="bullet"/>
      <w:lvlText w:val="■"/>
      <w:lvlJc w:val="left"/>
      <w:pPr>
        <w:ind w:left="4320" w:hanging="360"/>
      </w:pPr>
    </w:lvl>
    <w:lvl w:ilvl="6" w:tplc="21F6602E">
      <w:start w:val="1"/>
      <w:numFmt w:val="bullet"/>
      <w:lvlText w:val="●"/>
      <w:lvlJc w:val="left"/>
      <w:pPr>
        <w:ind w:left="5040" w:hanging="360"/>
      </w:pPr>
    </w:lvl>
    <w:lvl w:ilvl="7" w:tplc="5CF831CE">
      <w:start w:val="1"/>
      <w:numFmt w:val="bullet"/>
      <w:lvlText w:val="●"/>
      <w:lvlJc w:val="left"/>
      <w:pPr>
        <w:ind w:left="5760" w:hanging="360"/>
      </w:pPr>
    </w:lvl>
    <w:lvl w:ilvl="8" w:tplc="1F1273F2">
      <w:start w:val="1"/>
      <w:numFmt w:val="bullet"/>
      <w:lvlText w:val="●"/>
      <w:lvlJc w:val="left"/>
      <w:pPr>
        <w:ind w:left="6480" w:hanging="360"/>
      </w:pPr>
    </w:lvl>
  </w:abstractNum>
  <w:num w:numId="1" w16cid:durableId="2000484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248"/>
    <w:rsid w:val="00004EB7"/>
    <w:rsid w:val="00056615"/>
    <w:rsid w:val="00077416"/>
    <w:rsid w:val="00137516"/>
    <w:rsid w:val="001F5896"/>
    <w:rsid w:val="0027050B"/>
    <w:rsid w:val="002D6AF8"/>
    <w:rsid w:val="00420BDB"/>
    <w:rsid w:val="00480290"/>
    <w:rsid w:val="004B668A"/>
    <w:rsid w:val="004C11E9"/>
    <w:rsid w:val="004E1E14"/>
    <w:rsid w:val="004E60C1"/>
    <w:rsid w:val="005A526B"/>
    <w:rsid w:val="006073DD"/>
    <w:rsid w:val="00660769"/>
    <w:rsid w:val="006A399A"/>
    <w:rsid w:val="00741071"/>
    <w:rsid w:val="00745266"/>
    <w:rsid w:val="0074619D"/>
    <w:rsid w:val="0079708D"/>
    <w:rsid w:val="007B442F"/>
    <w:rsid w:val="007C5532"/>
    <w:rsid w:val="00803CBB"/>
    <w:rsid w:val="00867407"/>
    <w:rsid w:val="008B0209"/>
    <w:rsid w:val="00906ADB"/>
    <w:rsid w:val="009D5C5A"/>
    <w:rsid w:val="00A80F16"/>
    <w:rsid w:val="00BC32D0"/>
    <w:rsid w:val="00C36FE0"/>
    <w:rsid w:val="00C5175E"/>
    <w:rsid w:val="00CC245E"/>
    <w:rsid w:val="00CF0CB9"/>
    <w:rsid w:val="00D73822"/>
    <w:rsid w:val="00DA1248"/>
    <w:rsid w:val="00E6438C"/>
    <w:rsid w:val="00EE4E99"/>
    <w:rsid w:val="00F4641E"/>
    <w:rsid w:val="00F60929"/>
    <w:rsid w:val="00FF269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751D5"/>
  <w15:docId w15:val="{E4EEE1EA-02F3-4459-BAFD-B3B2B1C17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Reviso">
    <w:name w:val="Revision"/>
    <w:hidden/>
    <w:uiPriority w:val="99"/>
    <w:semiHidden/>
    <w:rsid w:val="00BC32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11</Pages>
  <Words>5071</Words>
  <Characters>27385</Characters>
  <Application>Microsoft Office Word</Application>
  <DocSecurity>0</DocSecurity>
  <Lines>228</Lines>
  <Paragraphs>64</Paragraphs>
  <ScaleCrop>false</ScaleCrop>
  <Company/>
  <LinksUpToDate>false</LinksUpToDate>
  <CharactersWithSpaces>32392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Madrona Advogados</cp:lastModifiedBy>
  <cp:revision>33</cp:revision>
  <dcterms:created xsi:type="dcterms:W3CDTF">2026-08-12T23:03:00Z</dcterms:created>
  <dcterms:modified xsi:type="dcterms:W3CDTF">2026-08-13T13:36:00Z</dcterms:modified>
</cp:coreProperties>
</file>