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E70C" w14:textId="1AA77CC2" w:rsidR="00747094" w:rsidRPr="00CF7873" w:rsidRDefault="002712D7" w:rsidP="009E4DE0">
      <w:pPr>
        <w:spacing w:line="360" w:lineRule="auto"/>
        <w:jc w:val="center"/>
        <w:rPr>
          <w:rFonts w:ascii="Times New Roman" w:hAnsi="Times New Roman"/>
          <w:b/>
          <w:bCs/>
          <w:u w:val="single"/>
        </w:rPr>
      </w:pPr>
      <w:r w:rsidRPr="002712D7">
        <w:rPr>
          <w:rFonts w:ascii="Times New Roman" w:hAnsi="Times New Roman"/>
          <w:b/>
          <w:bCs/>
          <w:u w:val="single"/>
        </w:rPr>
        <w:t xml:space="preserve">EDITAL </w:t>
      </w:r>
      <w:r>
        <w:rPr>
          <w:rFonts w:ascii="Times New Roman" w:hAnsi="Times New Roman"/>
          <w:b/>
          <w:bCs/>
          <w:u w:val="single"/>
        </w:rPr>
        <w:t>N</w:t>
      </w:r>
      <w:r w:rsidRPr="002712D7">
        <w:rPr>
          <w:rFonts w:ascii="Times New Roman" w:hAnsi="Times New Roman"/>
          <w:b/>
          <w:bCs/>
          <w:u w:val="single"/>
        </w:rPr>
        <w:t>º 32/2026</w:t>
      </w:r>
      <w:r>
        <w:rPr>
          <w:rFonts w:ascii="Times New Roman" w:hAnsi="Times New Roman"/>
          <w:b/>
          <w:bCs/>
          <w:u w:val="single"/>
        </w:rPr>
        <w:t xml:space="preserve"> – CONCESSÃO RESÍDUOS SÓLIDOS DE RIO CLARO</w:t>
      </w:r>
    </w:p>
    <w:p w14:paraId="6EB9752F" w14:textId="7B3AB884" w:rsidR="00BA2865" w:rsidRPr="00CF7873" w:rsidRDefault="00E06FB4" w:rsidP="00CF7873">
      <w:pPr>
        <w:pStyle w:val="PargrafodaLista"/>
        <w:numPr>
          <w:ilvl w:val="0"/>
          <w:numId w:val="22"/>
        </w:numPr>
        <w:spacing w:line="360" w:lineRule="auto"/>
        <w:ind w:left="0" w:firstLine="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 xml:space="preserve">Análise da manutenção dos pontos </w:t>
      </w:r>
      <w:r w:rsidR="00A24B02">
        <w:rPr>
          <w:rFonts w:ascii="Times New Roman" w:hAnsi="Times New Roman"/>
          <w:b/>
          <w:bCs/>
          <w:u w:val="single"/>
        </w:rPr>
        <w:t>elegíveis para</w:t>
      </w:r>
      <w:r>
        <w:rPr>
          <w:rFonts w:ascii="Times New Roman" w:hAnsi="Times New Roman"/>
          <w:b/>
          <w:bCs/>
          <w:u w:val="single"/>
        </w:rPr>
        <w:t xml:space="preserve"> impugnação na versão republicada do Edital.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8"/>
        <w:gridCol w:w="2128"/>
        <w:gridCol w:w="5398"/>
        <w:gridCol w:w="2037"/>
        <w:gridCol w:w="2835"/>
      </w:tblGrid>
      <w:tr w:rsidR="00612872" w:rsidRPr="001B2E2C" w14:paraId="1767F4C3" w14:textId="39F9F792" w:rsidTr="001E3288">
        <w:tc>
          <w:tcPr>
            <w:tcW w:w="638" w:type="dxa"/>
            <w:vAlign w:val="center"/>
          </w:tcPr>
          <w:p w14:paraId="61E9911C" w14:textId="77777777" w:rsidR="00612872" w:rsidRPr="001B2E2C" w:rsidRDefault="00612872" w:rsidP="001E3288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2128" w:type="dxa"/>
          </w:tcPr>
          <w:p w14:paraId="6035FFA2" w14:textId="4C1323AD" w:rsidR="00612872" w:rsidRPr="001B2E2C" w:rsidRDefault="00612872" w:rsidP="00A30286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Previsão editalícia/contratual</w:t>
            </w:r>
          </w:p>
        </w:tc>
        <w:tc>
          <w:tcPr>
            <w:tcW w:w="5398" w:type="dxa"/>
          </w:tcPr>
          <w:p w14:paraId="129CCE09" w14:textId="4EB61A59" w:rsidR="00612872" w:rsidRPr="001B2E2C" w:rsidRDefault="00612872" w:rsidP="00A30286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1B2E2C">
              <w:rPr>
                <w:rFonts w:ascii="Times New Roman" w:hAnsi="Times New Roman"/>
                <w:b/>
                <w:bCs/>
                <w:sz w:val="22"/>
                <w:szCs w:val="22"/>
              </w:rPr>
              <w:t>Comentário</w:t>
            </w:r>
          </w:p>
        </w:tc>
        <w:tc>
          <w:tcPr>
            <w:tcW w:w="2037" w:type="dxa"/>
          </w:tcPr>
          <w:p w14:paraId="0BFDDD92" w14:textId="1A8FEA7C" w:rsidR="00612872" w:rsidRPr="001B2E2C" w:rsidRDefault="00612872" w:rsidP="00A30286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Probabilidade de acolhimento </w:t>
            </w:r>
          </w:p>
        </w:tc>
        <w:tc>
          <w:tcPr>
            <w:tcW w:w="2835" w:type="dxa"/>
          </w:tcPr>
          <w:p w14:paraId="55ACDDF2" w14:textId="0ECA6C5F" w:rsidR="00612872" w:rsidRPr="001B2E2C" w:rsidRDefault="0097408E" w:rsidP="0097408E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Manutenção na republicação</w:t>
            </w:r>
          </w:p>
        </w:tc>
      </w:tr>
      <w:tr w:rsidR="00317E37" w:rsidRPr="001B2E2C" w14:paraId="41930D1A" w14:textId="77777777" w:rsidTr="001E3288">
        <w:trPr>
          <w:trHeight w:val="2655"/>
        </w:trPr>
        <w:tc>
          <w:tcPr>
            <w:tcW w:w="638" w:type="dxa"/>
            <w:vMerge w:val="restart"/>
            <w:vAlign w:val="center"/>
          </w:tcPr>
          <w:p w14:paraId="60E8493D" w14:textId="467549BD" w:rsidR="00317E37" w:rsidRPr="0097475B" w:rsidRDefault="00317E37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128" w:type="dxa"/>
            <w:vAlign w:val="center"/>
          </w:tcPr>
          <w:p w14:paraId="4A4E8758" w14:textId="2D15D618" w:rsidR="00317E37" w:rsidRPr="00415826" w:rsidRDefault="00317E37" w:rsidP="00DE5DE0">
            <w:pPr>
              <w:rPr>
                <w:rFonts w:ascii="Times New Roman" w:hAnsi="Times New Roman"/>
                <w:sz w:val="22"/>
                <w:szCs w:val="22"/>
              </w:rPr>
            </w:pPr>
            <w:r w:rsidRPr="00415826">
              <w:rPr>
                <w:rFonts w:ascii="Times New Roman" w:hAnsi="Times New Roman"/>
                <w:sz w:val="22"/>
                <w:szCs w:val="22"/>
              </w:rPr>
              <w:t>Objeto da Concessão</w:t>
            </w:r>
          </w:p>
        </w:tc>
        <w:tc>
          <w:tcPr>
            <w:tcW w:w="5398" w:type="dxa"/>
            <w:vMerge w:val="restart"/>
          </w:tcPr>
          <w:p w14:paraId="4755C179" w14:textId="77777777" w:rsidR="00317E37" w:rsidRPr="00415826" w:rsidRDefault="00317E37" w:rsidP="009E3EB2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15826">
              <w:rPr>
                <w:rFonts w:ascii="Times New Roman" w:hAnsi="Times New Roman"/>
                <w:sz w:val="22"/>
                <w:szCs w:val="22"/>
              </w:rPr>
              <w:t xml:space="preserve">Indefinição sobre premissas essenciais. Especialmente: </w:t>
            </w:r>
          </w:p>
          <w:p w14:paraId="5F5D9D55" w14:textId="77777777" w:rsidR="00317E37" w:rsidRPr="00415826" w:rsidRDefault="00317E37" w:rsidP="009E3EB2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19D55376" w14:textId="1D889770" w:rsidR="00317E37" w:rsidRPr="00415826" w:rsidRDefault="00317E37" w:rsidP="009E3EB2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15826">
              <w:rPr>
                <w:rFonts w:ascii="Times New Roman" w:hAnsi="Times New Roman"/>
                <w:sz w:val="22"/>
                <w:szCs w:val="22"/>
              </w:rPr>
              <w:t>(i) indefinição sobre obrigatoriedade da regionalização do aterro municipal e ausência de consideração dos impactos técnicos, jurídicos e econômico-financeiros decorrentes. Não há indicação de que tenham sido realizados estudos que comprovem a vocação regional do aterro e se está compatível com a ampliação já licenciada. Considera-se como parte do objeto contratual o desenvolvimento de atividades que em realidade são futuras, incertas e não dependem do Poder Concedente.</w:t>
            </w:r>
          </w:p>
          <w:p w14:paraId="2F6E58DC" w14:textId="77777777" w:rsidR="00317E37" w:rsidRPr="00415826" w:rsidRDefault="00317E37" w:rsidP="009E3EB2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41AB212C" w14:textId="52037F68" w:rsidR="00317E37" w:rsidRPr="00415826" w:rsidRDefault="00317E37" w:rsidP="009E3EB2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15826">
              <w:rPr>
                <w:rFonts w:ascii="Times New Roman" w:hAnsi="Times New Roman"/>
                <w:sz w:val="22"/>
                <w:szCs w:val="22"/>
              </w:rPr>
              <w:t>(</w:t>
            </w:r>
            <w:proofErr w:type="spellStart"/>
            <w:r w:rsidRPr="00415826">
              <w:rPr>
                <w:rFonts w:ascii="Times New Roman" w:hAnsi="Times New Roman"/>
                <w:sz w:val="22"/>
                <w:szCs w:val="22"/>
              </w:rPr>
              <w:t>ii</w:t>
            </w:r>
            <w:proofErr w:type="spellEnd"/>
            <w:r w:rsidRPr="00415826">
              <w:rPr>
                <w:rFonts w:ascii="Times New Roman" w:hAnsi="Times New Roman"/>
                <w:sz w:val="22"/>
                <w:szCs w:val="22"/>
              </w:rPr>
              <w:t xml:space="preserve">) indefinição sobre a obrigatoriedade de unidade de recuperação energética (URE) e ausência de impactos técnicos, jurídicos e econômico-financeiros decorrentes.  O item 2.2 do Caderno de Encargos não menciona URE (item 2.2), mas item 4.1.8 cita como serviço obrigatório, “considerando a viabilidade técnica e econômica”. O mesmo ocorre no Termo de Referência, que não cita o serviço como obrigatório, mas cita no item 11.2, como potencial bem reversível. </w:t>
            </w:r>
          </w:p>
        </w:tc>
        <w:tc>
          <w:tcPr>
            <w:tcW w:w="2037" w:type="dxa"/>
            <w:vMerge w:val="restart"/>
            <w:vAlign w:val="center"/>
          </w:tcPr>
          <w:p w14:paraId="5D246588" w14:textId="7216131B" w:rsidR="00317E37" w:rsidRPr="0097475B" w:rsidRDefault="00317E37" w:rsidP="00317E37">
            <w:pPr>
              <w:pStyle w:val="PargrafodaLista"/>
              <w:numPr>
                <w:ilvl w:val="0"/>
                <w:numId w:val="21"/>
              </w:numPr>
              <w:ind w:left="31" w:firstLine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Média/alta</w:t>
            </w:r>
          </w:p>
        </w:tc>
        <w:tc>
          <w:tcPr>
            <w:tcW w:w="2835" w:type="dxa"/>
            <w:vMerge w:val="restart"/>
            <w:vAlign w:val="center"/>
          </w:tcPr>
          <w:p w14:paraId="19220062" w14:textId="77777777" w:rsidR="00317E37" w:rsidRDefault="00317E37" w:rsidP="00DE5DE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7C2FC5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 necessidade de impugnação.</w:t>
            </w:r>
          </w:p>
          <w:p w14:paraId="5AE8221E" w14:textId="77777777" w:rsidR="00317E37" w:rsidRDefault="00317E37" w:rsidP="00DE5DE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71295A39" w14:textId="77777777" w:rsidR="00317E37" w:rsidRDefault="00317E37" w:rsidP="00DE5DE0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highlight w:val="yellow"/>
              </w:rPr>
            </w:pPr>
          </w:p>
          <w:p w14:paraId="5857F65C" w14:textId="060F9472" w:rsidR="00317E37" w:rsidRPr="00317E37" w:rsidRDefault="00DE5DE0" w:rsidP="00DE5DE0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A</w:t>
            </w:r>
            <w:r w:rsidR="00317E37" w:rsidRPr="00317E37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redação entre os dois documentos é a mesma, sem qualquer alteração.</w:t>
            </w:r>
          </w:p>
        </w:tc>
      </w:tr>
      <w:tr w:rsidR="00317E37" w:rsidRPr="001B2E2C" w14:paraId="442AE414" w14:textId="77777777" w:rsidTr="001E3288">
        <w:trPr>
          <w:trHeight w:val="2655"/>
        </w:trPr>
        <w:tc>
          <w:tcPr>
            <w:tcW w:w="638" w:type="dxa"/>
            <w:vMerge/>
            <w:vAlign w:val="center"/>
          </w:tcPr>
          <w:p w14:paraId="559E9EBD" w14:textId="77777777" w:rsidR="00317E37" w:rsidRDefault="00317E37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30735E23" w14:textId="77777777" w:rsidR="00317E37" w:rsidRDefault="00317E37" w:rsidP="00DE5DE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1 do Edital</w:t>
            </w:r>
          </w:p>
          <w:p w14:paraId="5B42B42F" w14:textId="77777777" w:rsidR="00317E37" w:rsidRDefault="00317E37" w:rsidP="00DE5DE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1842C226" w14:textId="7CCFDA6E" w:rsidR="00317E37" w:rsidRDefault="00317E37" w:rsidP="00DE5DE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Itens 2.2 e 4.1.8 – Anexo 4 (Cadernos de Encargos)</w:t>
            </w:r>
          </w:p>
          <w:p w14:paraId="3ED3258E" w14:textId="77777777" w:rsidR="00317E37" w:rsidRDefault="00317E37" w:rsidP="00DE5DE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413CA528" w14:textId="5614E936" w:rsidR="00317E37" w:rsidRPr="00415826" w:rsidRDefault="00317E37" w:rsidP="00DE5DE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Itens 2 e 11.2 – Anexo 1A (Termo de Referência)</w:t>
            </w:r>
          </w:p>
        </w:tc>
        <w:tc>
          <w:tcPr>
            <w:tcW w:w="5398" w:type="dxa"/>
            <w:vMerge/>
          </w:tcPr>
          <w:p w14:paraId="4E98C9F8" w14:textId="77777777" w:rsidR="00317E37" w:rsidRPr="00415826" w:rsidRDefault="00317E37" w:rsidP="009E3EB2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</w:tcPr>
          <w:p w14:paraId="56891226" w14:textId="77777777" w:rsidR="00317E37" w:rsidRDefault="00317E37" w:rsidP="00895DF1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</w:tcPr>
          <w:p w14:paraId="638A1A96" w14:textId="77777777" w:rsidR="00317E37" w:rsidRPr="007C2FC5" w:rsidRDefault="00317E37" w:rsidP="009E3EB2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E5DE0" w:rsidRPr="00AD53B9" w14:paraId="0EFCED1C" w14:textId="77777777" w:rsidTr="001E3288">
        <w:trPr>
          <w:trHeight w:val="2400"/>
        </w:trPr>
        <w:tc>
          <w:tcPr>
            <w:tcW w:w="638" w:type="dxa"/>
            <w:vMerge w:val="restart"/>
            <w:vAlign w:val="center"/>
          </w:tcPr>
          <w:p w14:paraId="782DE692" w14:textId="0A5A28B1" w:rsidR="00DE5DE0" w:rsidRPr="0097475B" w:rsidRDefault="00DE5DE0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2</w:t>
            </w:r>
          </w:p>
        </w:tc>
        <w:tc>
          <w:tcPr>
            <w:tcW w:w="2128" w:type="dxa"/>
            <w:vAlign w:val="center"/>
          </w:tcPr>
          <w:p w14:paraId="13F3777D" w14:textId="77777777" w:rsidR="00DE5DE0" w:rsidRDefault="00DE5DE0" w:rsidP="00DE5DE0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Remuneração dos resíduos de Grandes Geradores</w:t>
            </w:r>
          </w:p>
        </w:tc>
        <w:tc>
          <w:tcPr>
            <w:tcW w:w="5398" w:type="dxa"/>
            <w:vMerge w:val="restart"/>
          </w:tcPr>
          <w:p w14:paraId="5101FFF6" w14:textId="592808D3" w:rsidR="00DE5DE0" w:rsidRDefault="00DE5DE0" w:rsidP="00025B1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 Contrato prevê que o Poder Concedente realizará o pagamento pelos resíduos de grandes geradores e resíduos industriais. Contudo, nos termos da Lei 13.205/2010, tais resíduos são de responsabilidade dos próprios geradores. A utilização de recursos públicos para essa finalidade contraria a Lei de Responsabilidade Fiscal (LC 101/2000). Além disso, o risco de inadimplência do Município pode ser maior que o das empresas grandes geradoras mediante contrato.</w:t>
            </w:r>
          </w:p>
          <w:p w14:paraId="10536ECF" w14:textId="1C26536B" w:rsidR="00DE5DE0" w:rsidRDefault="00DE5DE0" w:rsidP="00025B1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Sendo o prestador uma concessionária privada, não há que se falar em pagamento de preço público por grandes geradores – estes devem pagar preços estabelecidos contratualmente com a Concessionária. </w:t>
            </w:r>
          </w:p>
          <w:p w14:paraId="7E3BA10A" w14:textId="66E3A543" w:rsidR="00DE5DE0" w:rsidRPr="00F476F5" w:rsidRDefault="00DE5DE0" w:rsidP="00025B1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Também o pagamento a ser feito pelo Município pelo manejo dos resíduos de limpeza está inadequado. O usuário público deve pagar tarifa (conforme, inclusive, NR 1 da ANA) a ser estabelecida no contrato de concessão, com regras de reajuste e revisão. “Preço público” causa insegurança jurídica e possibilidade de alteração arbitrária. </w:t>
            </w:r>
          </w:p>
        </w:tc>
        <w:tc>
          <w:tcPr>
            <w:tcW w:w="2037" w:type="dxa"/>
            <w:vMerge w:val="restart"/>
            <w:vAlign w:val="center"/>
          </w:tcPr>
          <w:p w14:paraId="509E0A65" w14:textId="00B7DF5B" w:rsidR="00DE5DE0" w:rsidRPr="0097475B" w:rsidRDefault="00DE5DE0" w:rsidP="00DE5DE0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Alta</w:t>
            </w:r>
          </w:p>
        </w:tc>
        <w:tc>
          <w:tcPr>
            <w:tcW w:w="2835" w:type="dxa"/>
            <w:vMerge w:val="restart"/>
            <w:vAlign w:val="center"/>
          </w:tcPr>
          <w:p w14:paraId="68FE3D72" w14:textId="77777777" w:rsidR="00DE5DE0" w:rsidRDefault="00DE5DE0" w:rsidP="00DE5DE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7C2FC5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 necessidade de impugnação.</w:t>
            </w:r>
          </w:p>
          <w:p w14:paraId="10169940" w14:textId="77777777" w:rsidR="00DE5DE0" w:rsidRDefault="00DE5DE0" w:rsidP="00DE5DE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3E809154" w14:textId="77777777" w:rsidR="00DE5DE0" w:rsidRDefault="00DE5DE0" w:rsidP="00DE5DE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5A01B801" w14:textId="1673906E" w:rsidR="00DE5DE0" w:rsidRPr="00DE5DE0" w:rsidRDefault="004D5C2C" w:rsidP="00DE5DE0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4D5C2C">
              <w:rPr>
                <w:rFonts w:ascii="Times New Roman" w:hAnsi="Times New Roman"/>
                <w:sz w:val="22"/>
                <w:szCs w:val="22"/>
              </w:rPr>
              <w:t xml:space="preserve">Igualmente não houve alterações expressivas na redação dos dispositivos, apenas passaram a considerar os resíduos de grandes geradores em geral, e não somente aqueles do Município de Rio Claro. </w:t>
            </w:r>
          </w:p>
        </w:tc>
      </w:tr>
      <w:tr w:rsidR="00DE5DE0" w:rsidRPr="00AD53B9" w14:paraId="3678C418" w14:textId="77777777" w:rsidTr="001E3288">
        <w:trPr>
          <w:trHeight w:val="2400"/>
        </w:trPr>
        <w:tc>
          <w:tcPr>
            <w:tcW w:w="638" w:type="dxa"/>
            <w:vMerge/>
            <w:vAlign w:val="center"/>
          </w:tcPr>
          <w:p w14:paraId="24AB4395" w14:textId="77777777" w:rsidR="00DE5DE0" w:rsidRDefault="00DE5DE0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7FCCE1D1" w14:textId="77777777" w:rsidR="00DE5DE0" w:rsidRDefault="00DE5DE0" w:rsidP="00DE5DE0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22.6 do Edital</w:t>
            </w:r>
          </w:p>
          <w:p w14:paraId="06236465" w14:textId="77777777" w:rsidR="00DE5DE0" w:rsidRDefault="00DE5DE0" w:rsidP="00DE5DE0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428D79B" w14:textId="77777777" w:rsidR="00DE5DE0" w:rsidRDefault="00474A03" w:rsidP="00DE5DE0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8.2.4 – Anexo 1A (Termo de Referência);</w:t>
            </w:r>
          </w:p>
          <w:p w14:paraId="064D9258" w14:textId="77777777" w:rsidR="00474A03" w:rsidRDefault="00474A03" w:rsidP="00DE5DE0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2DAC271E" w14:textId="57C4AEB4" w:rsidR="004D5C2C" w:rsidRDefault="004D5C2C" w:rsidP="00DE5DE0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Cláusula 22.1 do Anexo 5 (Minuta do Contrato). </w:t>
            </w:r>
          </w:p>
          <w:p w14:paraId="594C66B2" w14:textId="270E7E4B" w:rsidR="00474A03" w:rsidRDefault="00474A03" w:rsidP="00DE5DE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398" w:type="dxa"/>
            <w:vMerge/>
          </w:tcPr>
          <w:p w14:paraId="630CA403" w14:textId="77777777" w:rsidR="00DE5DE0" w:rsidRDefault="00DE5DE0" w:rsidP="00025B1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</w:tcPr>
          <w:p w14:paraId="76FCEFC3" w14:textId="77777777" w:rsidR="00DE5DE0" w:rsidRDefault="00DE5DE0" w:rsidP="00025B18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</w:tcPr>
          <w:p w14:paraId="60870286" w14:textId="77777777" w:rsidR="00DE5DE0" w:rsidRPr="007C2FC5" w:rsidRDefault="00DE5DE0" w:rsidP="00025B18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03AF7" w:rsidRPr="00AD53B9" w14:paraId="577B6B37" w14:textId="77777777" w:rsidTr="00103AF7">
        <w:trPr>
          <w:trHeight w:val="3923"/>
        </w:trPr>
        <w:tc>
          <w:tcPr>
            <w:tcW w:w="638" w:type="dxa"/>
            <w:vMerge w:val="restart"/>
            <w:vAlign w:val="center"/>
          </w:tcPr>
          <w:p w14:paraId="1821107C" w14:textId="554E28A7" w:rsidR="00103AF7" w:rsidRPr="0097475B" w:rsidRDefault="00103AF7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2128" w:type="dxa"/>
            <w:vAlign w:val="center"/>
          </w:tcPr>
          <w:p w14:paraId="47821932" w14:textId="77777777" w:rsidR="00103AF7" w:rsidRPr="0097475B" w:rsidRDefault="00103AF7" w:rsidP="001E328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Exigência de qualificação técnico-operacional</w:t>
            </w:r>
          </w:p>
        </w:tc>
        <w:tc>
          <w:tcPr>
            <w:tcW w:w="5398" w:type="dxa"/>
            <w:vMerge w:val="restart"/>
            <w:vAlign w:val="center"/>
          </w:tcPr>
          <w:p w14:paraId="650D7D30" w14:textId="5F547A16" w:rsidR="00103AF7" w:rsidRDefault="00103AF7" w:rsidP="001E328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 E</w:t>
            </w:r>
            <w:r w:rsidRPr="004C41D7">
              <w:rPr>
                <w:rFonts w:ascii="Times New Roman" w:hAnsi="Times New Roman"/>
                <w:sz w:val="22"/>
                <w:szCs w:val="22"/>
              </w:rPr>
              <w:t>dital exige atestação em 9 itens de qualificação técnica</w:t>
            </w:r>
            <w:r>
              <w:rPr>
                <w:rFonts w:ascii="Times New Roman" w:hAnsi="Times New Roman"/>
                <w:sz w:val="22"/>
                <w:szCs w:val="22"/>
              </w:rPr>
              <w:t>, ou seja, basicamente todos os componentes dos serviços da concessão, o que contraria o art. 67, § 1º   da Lei 14.133/2021, de que “</w:t>
            </w:r>
            <w:r w:rsidRPr="004135F1">
              <w:rPr>
                <w:rFonts w:ascii="Times New Roman" w:hAnsi="Times New Roman"/>
                <w:sz w:val="22"/>
                <w:szCs w:val="22"/>
              </w:rPr>
              <w:t>exigência será restrita às parcelas de maior relevância ou valor significativo</w:t>
            </w:r>
            <w:r>
              <w:rPr>
                <w:rFonts w:ascii="Times New Roman" w:hAnsi="Times New Roman"/>
                <w:sz w:val="22"/>
                <w:szCs w:val="22"/>
              </w:rPr>
              <w:t>”.</w:t>
            </w:r>
          </w:p>
          <w:p w14:paraId="5188751A" w14:textId="77777777" w:rsidR="00103AF7" w:rsidRPr="004C41D7" w:rsidRDefault="00103AF7" w:rsidP="001E328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 jurisprudência do TCE SP é consolidada no sentido de que exigências de todos os itens de prestação dos serviços violam o princípio da competitividade. </w:t>
            </w:r>
          </w:p>
        </w:tc>
        <w:tc>
          <w:tcPr>
            <w:tcW w:w="2037" w:type="dxa"/>
            <w:vMerge w:val="restart"/>
            <w:vAlign w:val="center"/>
          </w:tcPr>
          <w:p w14:paraId="7B01380A" w14:textId="0C17E2A0" w:rsidR="00103AF7" w:rsidRPr="0097475B" w:rsidRDefault="00103AF7" w:rsidP="001E3288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Alta</w:t>
            </w:r>
          </w:p>
        </w:tc>
        <w:tc>
          <w:tcPr>
            <w:tcW w:w="2835" w:type="dxa"/>
            <w:vMerge w:val="restart"/>
            <w:vAlign w:val="center"/>
          </w:tcPr>
          <w:p w14:paraId="15A1B8B7" w14:textId="77777777" w:rsidR="00487D5D" w:rsidRDefault="00103AF7" w:rsidP="001E3288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CA365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Foi resolvido majoritariamente. </w:t>
            </w:r>
          </w:p>
          <w:p w14:paraId="699701A1" w14:textId="0ECE2658" w:rsidR="00103AF7" w:rsidRDefault="00103AF7" w:rsidP="001E3288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 maior parte das exigências foram suprimidas e quantitativos foram reduzidos. Porém, foram mantidas as exigências relacionadas a “</w:t>
            </w:r>
            <w:r w:rsidRPr="000E7AD3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Elaboração de projeto, implantação e operação de usina de triagem ou reciclagem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0E7AD3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de resíduos sólidos urbanos, com capacidade de processamento, no mínimo,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lastRenderedPageBreak/>
              <w:t>2</w:t>
            </w:r>
            <w:r w:rsidRPr="000E7AD3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.000 t/mês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” e “</w:t>
            </w:r>
            <w:r w:rsidRPr="00E71B3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Elaboração, execução de projeto e implantação de aterro sanitário</w:t>
            </w:r>
            <w:r w:rsidR="00487D5D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E71B3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licenciado, para Resíduos Sólidos Urbanos, incluindo a operação e manutenção, com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E71B3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capacidade de recebimento de, no mínimo, 2.000 t/mês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”. </w:t>
            </w:r>
          </w:p>
          <w:p w14:paraId="1BB6AC3A" w14:textId="77777777" w:rsidR="00103AF7" w:rsidRDefault="00103AF7" w:rsidP="001E3288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  <w:p w14:paraId="78CFD06A" w14:textId="3F2B43C0" w:rsidR="00103AF7" w:rsidRPr="000E7AD3" w:rsidRDefault="00103AF7" w:rsidP="001E3288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Necessário alinhar com a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Solví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 qual a posição quanto a essas exigências para definir se esse ponto de impugnação deve permanecer em relação a esses itens.</w:t>
            </w:r>
          </w:p>
        </w:tc>
      </w:tr>
      <w:tr w:rsidR="00103AF7" w:rsidRPr="00AD53B9" w14:paraId="227E1CB7" w14:textId="77777777" w:rsidTr="00103AF7">
        <w:trPr>
          <w:trHeight w:val="3922"/>
        </w:trPr>
        <w:tc>
          <w:tcPr>
            <w:tcW w:w="638" w:type="dxa"/>
            <w:vMerge/>
            <w:vAlign w:val="center"/>
          </w:tcPr>
          <w:p w14:paraId="36C8B450" w14:textId="77777777" w:rsidR="00103AF7" w:rsidRDefault="00103AF7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4CBA2DCA" w14:textId="6DD561CF" w:rsidR="00103AF7" w:rsidRDefault="00103AF7" w:rsidP="001E328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10.15.4 do Edital</w:t>
            </w:r>
          </w:p>
        </w:tc>
        <w:tc>
          <w:tcPr>
            <w:tcW w:w="5398" w:type="dxa"/>
            <w:vMerge/>
            <w:vAlign w:val="center"/>
          </w:tcPr>
          <w:p w14:paraId="1D7B7839" w14:textId="77777777" w:rsidR="00103AF7" w:rsidRDefault="00103AF7" w:rsidP="001E328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24BFF462" w14:textId="77777777" w:rsidR="00103AF7" w:rsidRDefault="00103AF7" w:rsidP="001E3288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730F06A0" w14:textId="77777777" w:rsidR="00103AF7" w:rsidRPr="00CA3656" w:rsidRDefault="00103AF7" w:rsidP="001E3288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8D5007" w:rsidRPr="00AD53B9" w14:paraId="496BF454" w14:textId="77777777" w:rsidTr="008D5007">
        <w:trPr>
          <w:trHeight w:val="1268"/>
        </w:trPr>
        <w:tc>
          <w:tcPr>
            <w:tcW w:w="638" w:type="dxa"/>
            <w:vMerge w:val="restart"/>
            <w:vAlign w:val="center"/>
          </w:tcPr>
          <w:p w14:paraId="34CD0ECC" w14:textId="77777777" w:rsidR="008D5007" w:rsidRPr="0097475B" w:rsidRDefault="008D5007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39BD7E94" w14:textId="77777777" w:rsidR="008D5007" w:rsidRPr="0097475B" w:rsidRDefault="008D5007" w:rsidP="008D500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Exigência de qualificação técnico-operacional</w:t>
            </w:r>
          </w:p>
        </w:tc>
        <w:tc>
          <w:tcPr>
            <w:tcW w:w="5398" w:type="dxa"/>
            <w:vMerge w:val="restart"/>
            <w:vAlign w:val="center"/>
          </w:tcPr>
          <w:p w14:paraId="35ADBEC5" w14:textId="68023A82" w:rsidR="008D5007" w:rsidRDefault="008D5007" w:rsidP="008D500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47036">
              <w:rPr>
                <w:rFonts w:ascii="Times New Roman" w:hAnsi="Times New Roman"/>
                <w:sz w:val="22"/>
                <w:szCs w:val="22"/>
              </w:rPr>
              <w:t>Além do excesso de exigências, em violação ao art. 67, §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347036">
              <w:rPr>
                <w:rFonts w:ascii="Times New Roman" w:hAnsi="Times New Roman"/>
                <w:sz w:val="22"/>
                <w:szCs w:val="22"/>
              </w:rPr>
              <w:t>1º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347036">
              <w:rPr>
                <w:rFonts w:ascii="Times New Roman" w:hAnsi="Times New Roman"/>
                <w:sz w:val="22"/>
                <w:szCs w:val="22"/>
              </w:rPr>
              <w:t>da Lei 14.133/2021, há exigência específica de estudos para licença prévia para unidade de recuperação energética, escopo que não está incluído na concessão, é indicado como mera possibilidade.</w:t>
            </w:r>
          </w:p>
          <w:p w14:paraId="657C5E96" w14:textId="3FEBA79E" w:rsidR="008D5007" w:rsidRPr="00347036" w:rsidRDefault="008D5007" w:rsidP="008D500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Além disso, o Edital exige comprovação pelo período de 12 meses consecutivos também para as atividades de elaboração de projetos, o que é aplicável apenas para serviços contínuos, nos termos do art. 67, § 5º da Lei 14.133/2021.</w:t>
            </w:r>
          </w:p>
        </w:tc>
        <w:tc>
          <w:tcPr>
            <w:tcW w:w="2037" w:type="dxa"/>
            <w:vMerge w:val="restart"/>
            <w:vAlign w:val="center"/>
          </w:tcPr>
          <w:p w14:paraId="6F458438" w14:textId="1AE0FC16" w:rsidR="008D5007" w:rsidRPr="0097475B" w:rsidRDefault="008D5007" w:rsidP="008D5007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Alta</w:t>
            </w:r>
          </w:p>
        </w:tc>
        <w:tc>
          <w:tcPr>
            <w:tcW w:w="2835" w:type="dxa"/>
            <w:vMerge w:val="restart"/>
            <w:vAlign w:val="center"/>
          </w:tcPr>
          <w:p w14:paraId="58EE4F7B" w14:textId="4B024396" w:rsidR="006E670C" w:rsidRPr="006E670C" w:rsidRDefault="008D5007" w:rsidP="008D5007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0572AF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Idem item acima.</w:t>
            </w:r>
          </w:p>
        </w:tc>
      </w:tr>
      <w:tr w:rsidR="008D5007" w:rsidRPr="00AD53B9" w14:paraId="3D226555" w14:textId="77777777" w:rsidTr="008D5007">
        <w:trPr>
          <w:trHeight w:val="1267"/>
        </w:trPr>
        <w:tc>
          <w:tcPr>
            <w:tcW w:w="638" w:type="dxa"/>
            <w:vMerge/>
            <w:vAlign w:val="center"/>
          </w:tcPr>
          <w:p w14:paraId="3B5D9C63" w14:textId="77777777" w:rsidR="008D5007" w:rsidRPr="0097475B" w:rsidRDefault="008D5007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1145615A" w14:textId="65DB5BE6" w:rsidR="008D5007" w:rsidRDefault="008D5007" w:rsidP="008D500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10.15.4 do Edital</w:t>
            </w:r>
          </w:p>
        </w:tc>
        <w:tc>
          <w:tcPr>
            <w:tcW w:w="5398" w:type="dxa"/>
            <w:vMerge/>
          </w:tcPr>
          <w:p w14:paraId="2DB475F0" w14:textId="77777777" w:rsidR="008D5007" w:rsidRPr="00347036" w:rsidRDefault="008D5007" w:rsidP="00025B1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</w:tcPr>
          <w:p w14:paraId="7F1D5386" w14:textId="77777777" w:rsidR="008D5007" w:rsidRDefault="008D5007" w:rsidP="00025B18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</w:tcPr>
          <w:p w14:paraId="231A25A1" w14:textId="77777777" w:rsidR="008D5007" w:rsidRPr="000572AF" w:rsidRDefault="008D5007" w:rsidP="00025B18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6E670C" w:rsidRPr="001B2E2C" w14:paraId="6272E876" w14:textId="77777777" w:rsidTr="006E670C">
        <w:trPr>
          <w:trHeight w:val="1140"/>
        </w:trPr>
        <w:tc>
          <w:tcPr>
            <w:tcW w:w="638" w:type="dxa"/>
            <w:vMerge w:val="restart"/>
            <w:vAlign w:val="center"/>
          </w:tcPr>
          <w:p w14:paraId="5F192585" w14:textId="327A6091" w:rsidR="006E670C" w:rsidRDefault="006E670C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2128" w:type="dxa"/>
            <w:vAlign w:val="center"/>
          </w:tcPr>
          <w:p w14:paraId="62C14764" w14:textId="23F229C9" w:rsidR="006E670C" w:rsidRDefault="006E670C" w:rsidP="006E670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Garantia Pública</w:t>
            </w:r>
          </w:p>
        </w:tc>
        <w:tc>
          <w:tcPr>
            <w:tcW w:w="5398" w:type="dxa"/>
            <w:vMerge w:val="restart"/>
            <w:vAlign w:val="center"/>
          </w:tcPr>
          <w:p w14:paraId="2BDCACA2" w14:textId="19ECACB3" w:rsidR="006E670C" w:rsidRPr="00F476F5" w:rsidRDefault="006E670C" w:rsidP="006E670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O Contrato de Concessão prevê garantia para assegurar os pagamentos devidos pelo Poder Concedente entre outras hipóteses. A fonte de recursos prevista para a garantia pública são os recursos de ICMS ou tributo que o substitua. </w:t>
            </w:r>
            <w:r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Contudo, </w:t>
            </w:r>
            <w:r w:rsidRPr="00B079E2">
              <w:rPr>
                <w:rFonts w:ascii="Times New Roman" w:hAnsi="Times New Roman"/>
                <w:sz w:val="22"/>
                <w:szCs w:val="22"/>
              </w:rPr>
              <w:t>pelo princípio tributário da não vinculação, a Constituição Federal veda a afetação de receita de impostos a determinadas despesas ou destinações. Logo, o fundamento dessa garantia é frágil e questionável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por ser inconstitucional</w:t>
            </w:r>
            <w:r w:rsidRPr="00B079E2">
              <w:rPr>
                <w:rFonts w:ascii="Times New Roman" w:hAnsi="Times New Roman"/>
                <w:sz w:val="22"/>
                <w:szCs w:val="22"/>
              </w:rPr>
              <w:t xml:space="preserve">, podendo se tornar totalmente </w:t>
            </w:r>
            <w:proofErr w:type="gramStart"/>
            <w:r w:rsidRPr="00B079E2">
              <w:rPr>
                <w:rFonts w:ascii="Times New Roman" w:hAnsi="Times New Roman"/>
                <w:sz w:val="22"/>
                <w:szCs w:val="22"/>
              </w:rPr>
              <w:t>inócua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037" w:type="dxa"/>
            <w:vMerge w:val="restart"/>
            <w:vAlign w:val="center"/>
          </w:tcPr>
          <w:p w14:paraId="4BD78C81" w14:textId="0EDE5052" w:rsidR="006E670C" w:rsidRDefault="006E670C" w:rsidP="006E670C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Alta</w:t>
            </w:r>
          </w:p>
        </w:tc>
        <w:tc>
          <w:tcPr>
            <w:tcW w:w="2835" w:type="dxa"/>
            <w:vMerge w:val="restart"/>
            <w:vAlign w:val="center"/>
          </w:tcPr>
          <w:p w14:paraId="500DC5D8" w14:textId="77777777" w:rsidR="006E670C" w:rsidRDefault="006E670C" w:rsidP="006E670C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  <w:r w:rsidRPr="000572AF"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  <w:t>Não mantido. Item foi resolvido.</w:t>
            </w:r>
          </w:p>
          <w:p w14:paraId="344708A5" w14:textId="77777777" w:rsidR="006E670C" w:rsidRDefault="006E670C" w:rsidP="006E670C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  <w:p w14:paraId="27361FE9" w14:textId="2399814F" w:rsidR="00EE6BF0" w:rsidRPr="00EE6BF0" w:rsidRDefault="006E670C" w:rsidP="006E670C">
            <w:pPr>
              <w:jc w:val="both"/>
              <w:rPr>
                <w:rFonts w:ascii="Times New Roman" w:hAnsi="Times New Roman"/>
                <w:color w:val="156082" w:themeColor="accent1"/>
                <w:sz w:val="22"/>
                <w:szCs w:val="22"/>
              </w:rPr>
            </w:pPr>
            <w:r w:rsidRPr="00EE6BF0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A cláusula da minuta do contrato passou a prever que a Garantia Pública será realizada por meio de aportes mensais de RECURSOS </w:t>
            </w:r>
            <w:r w:rsidR="00EE6BF0" w:rsidRPr="00EE6BF0">
              <w:rPr>
                <w:rFonts w:ascii="Times New Roman" w:hAnsi="Times New Roman"/>
                <w:sz w:val="22"/>
                <w:szCs w:val="22"/>
              </w:rPr>
              <w:t>APARTADOS na CONTA GARANTIA, e será operacionalizada por meio de Prestação de Serviços de Cobrança, livres e desembaraçados de quaisquer ônus ou gravames de qualquer natureza.</w:t>
            </w:r>
          </w:p>
        </w:tc>
      </w:tr>
      <w:tr w:rsidR="006E670C" w:rsidRPr="001B2E2C" w14:paraId="73E916AE" w14:textId="77777777" w:rsidTr="006E670C">
        <w:trPr>
          <w:trHeight w:val="1140"/>
        </w:trPr>
        <w:tc>
          <w:tcPr>
            <w:tcW w:w="638" w:type="dxa"/>
            <w:vMerge/>
            <w:vAlign w:val="center"/>
          </w:tcPr>
          <w:p w14:paraId="0CE00A8F" w14:textId="77777777" w:rsidR="006E670C" w:rsidRDefault="006E670C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0A01C693" w14:textId="38B1080D" w:rsidR="006E670C" w:rsidRDefault="006E670C" w:rsidP="006E670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Cláusula 23 – Anexo 5 (Minuta do Contato)</w:t>
            </w:r>
          </w:p>
        </w:tc>
        <w:tc>
          <w:tcPr>
            <w:tcW w:w="5398" w:type="dxa"/>
            <w:vMerge/>
            <w:vAlign w:val="center"/>
          </w:tcPr>
          <w:p w14:paraId="012BB8D8" w14:textId="77777777" w:rsidR="006E670C" w:rsidRDefault="006E670C" w:rsidP="006E670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055ED5DE" w14:textId="77777777" w:rsidR="006E670C" w:rsidRDefault="006E670C" w:rsidP="006E670C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223F5D40" w14:textId="77777777" w:rsidR="006E670C" w:rsidRPr="000572AF" w:rsidRDefault="006E670C" w:rsidP="006E670C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</w:tc>
      </w:tr>
      <w:tr w:rsidR="00EE6BF0" w:rsidRPr="001B2E2C" w14:paraId="759D678B" w14:textId="77777777" w:rsidTr="00EE6BF0">
        <w:trPr>
          <w:trHeight w:val="1013"/>
        </w:trPr>
        <w:tc>
          <w:tcPr>
            <w:tcW w:w="638" w:type="dxa"/>
            <w:vMerge w:val="restart"/>
            <w:vAlign w:val="center"/>
          </w:tcPr>
          <w:p w14:paraId="0C181F5C" w14:textId="1BD7629C" w:rsidR="00EE6BF0" w:rsidRDefault="00EE6BF0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28" w:type="dxa"/>
            <w:vAlign w:val="center"/>
          </w:tcPr>
          <w:p w14:paraId="1477C9DE" w14:textId="4E370996" w:rsidR="00EE6BF0" w:rsidRDefault="00EE6BF0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Prazo de atualização dos estudos </w:t>
            </w:r>
          </w:p>
        </w:tc>
        <w:tc>
          <w:tcPr>
            <w:tcW w:w="5398" w:type="dxa"/>
            <w:vMerge w:val="restart"/>
            <w:vAlign w:val="center"/>
          </w:tcPr>
          <w:p w14:paraId="5287FB06" w14:textId="02F08574" w:rsidR="00EE6BF0" w:rsidRDefault="00EE6BF0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 Edital indica que a data-base dos estudos é outubro de 2025. O Edital foi publicado em 08/05/2026. O art. 23 da Lei 14.133/2021 exige que o valor estimado da contratação seja compatível com o valor de mercado, portanto, com atualidade razoável. O TCESP tem entendimento de que o prazo de atualidade razoável a ser considerado é de 6 meses, portanto, os estudos referenciais estão tecnicamente desatualizados.</w:t>
            </w:r>
          </w:p>
        </w:tc>
        <w:tc>
          <w:tcPr>
            <w:tcW w:w="2037" w:type="dxa"/>
            <w:vMerge w:val="restart"/>
            <w:vAlign w:val="center"/>
          </w:tcPr>
          <w:p w14:paraId="45B609EB" w14:textId="2C0C6D32" w:rsidR="00EE6BF0" w:rsidRDefault="00EE6BF0" w:rsidP="00EE6BF0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Média</w:t>
            </w:r>
          </w:p>
        </w:tc>
        <w:tc>
          <w:tcPr>
            <w:tcW w:w="2835" w:type="dxa"/>
            <w:vMerge w:val="restart"/>
            <w:vAlign w:val="center"/>
          </w:tcPr>
          <w:p w14:paraId="47A92E01" w14:textId="77777777" w:rsidR="00EE6BF0" w:rsidRDefault="00EE6BF0" w:rsidP="00EE6BF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7C2FC5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 necessidade de impugnação.</w:t>
            </w:r>
          </w:p>
          <w:p w14:paraId="5BCF0115" w14:textId="77777777" w:rsidR="00EE6BF0" w:rsidRDefault="00EE6BF0" w:rsidP="00EE6BF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  <w:p w14:paraId="73A7560F" w14:textId="3B99F0F5" w:rsidR="00EE6BF0" w:rsidRPr="00EE6BF0" w:rsidRDefault="00EE6BF0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E6BF0">
              <w:rPr>
                <w:rFonts w:ascii="Times New Roman" w:hAnsi="Times New Roman"/>
                <w:sz w:val="22"/>
                <w:szCs w:val="22"/>
              </w:rPr>
              <w:t>Mantida a redação do antigo Edital</w:t>
            </w:r>
          </w:p>
        </w:tc>
      </w:tr>
      <w:tr w:rsidR="00EE6BF0" w:rsidRPr="001B2E2C" w14:paraId="54FE3067" w14:textId="77777777" w:rsidTr="00EE6BF0">
        <w:trPr>
          <w:trHeight w:val="1012"/>
        </w:trPr>
        <w:tc>
          <w:tcPr>
            <w:tcW w:w="638" w:type="dxa"/>
            <w:vMerge/>
            <w:vAlign w:val="center"/>
          </w:tcPr>
          <w:p w14:paraId="3C41FCB0" w14:textId="77777777" w:rsidR="00EE6BF0" w:rsidRDefault="00EE6BF0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4A87C2C7" w14:textId="24E40C3F" w:rsidR="00EE6BF0" w:rsidRDefault="00EE6BF0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2.2 do Edital</w:t>
            </w:r>
          </w:p>
        </w:tc>
        <w:tc>
          <w:tcPr>
            <w:tcW w:w="5398" w:type="dxa"/>
            <w:vMerge/>
            <w:vAlign w:val="center"/>
          </w:tcPr>
          <w:p w14:paraId="55483A23" w14:textId="77777777" w:rsidR="00EE6BF0" w:rsidRDefault="00EE6BF0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4EEB357E" w14:textId="77777777" w:rsidR="00EE6BF0" w:rsidRDefault="00EE6BF0" w:rsidP="00EE6BF0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30700861" w14:textId="77777777" w:rsidR="00EE6BF0" w:rsidRPr="007C2FC5" w:rsidRDefault="00EE6BF0" w:rsidP="00EE6BF0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AF10AB" w:rsidRPr="001B2E2C" w14:paraId="408413C5" w14:textId="77777777" w:rsidTr="00AF10AB">
        <w:trPr>
          <w:trHeight w:val="758"/>
        </w:trPr>
        <w:tc>
          <w:tcPr>
            <w:tcW w:w="638" w:type="dxa"/>
            <w:vMerge w:val="restart"/>
            <w:shd w:val="clear" w:color="auto" w:fill="D1D1D1" w:themeFill="background2" w:themeFillShade="E6"/>
            <w:vAlign w:val="center"/>
          </w:tcPr>
          <w:p w14:paraId="47749CB9" w14:textId="51C3A0A5" w:rsidR="00AF10AB" w:rsidRPr="0097475B" w:rsidRDefault="00AF10AB" w:rsidP="00AF10A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2128" w:type="dxa"/>
            <w:shd w:val="clear" w:color="auto" w:fill="D1D1D1" w:themeFill="background2" w:themeFillShade="E6"/>
            <w:vAlign w:val="center"/>
          </w:tcPr>
          <w:p w14:paraId="5FAD4FE8" w14:textId="39C09031" w:rsidR="00AF10AB" w:rsidRDefault="00AF10AB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Critério de julgamento por técnica e preço</w:t>
            </w:r>
          </w:p>
        </w:tc>
        <w:tc>
          <w:tcPr>
            <w:tcW w:w="5398" w:type="dxa"/>
            <w:vMerge w:val="restart"/>
            <w:shd w:val="clear" w:color="auto" w:fill="D1D1D1" w:themeFill="background2" w:themeFillShade="E6"/>
            <w:vAlign w:val="center"/>
          </w:tcPr>
          <w:p w14:paraId="0A6548D4" w14:textId="77777777" w:rsidR="00AF10AB" w:rsidRPr="00BA3186" w:rsidRDefault="00AF10AB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A3186">
              <w:rPr>
                <w:rFonts w:ascii="Times New Roman" w:hAnsi="Times New Roman"/>
                <w:sz w:val="22"/>
                <w:szCs w:val="22"/>
              </w:rPr>
              <w:t xml:space="preserve">O critério é questionável para o objeto da concessão. Existem entendimentos favoráveis e desfavoráveis nos tribunais de contas. </w:t>
            </w:r>
          </w:p>
          <w:p w14:paraId="16DF5AF0" w14:textId="5DC6274C" w:rsidR="00AF10AB" w:rsidRPr="00F476F5" w:rsidRDefault="00AF10AB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A3186">
              <w:rPr>
                <w:rFonts w:ascii="Times New Roman" w:hAnsi="Times New Roman"/>
                <w:sz w:val="22"/>
                <w:szCs w:val="22"/>
              </w:rPr>
              <w:t xml:space="preserve">O </w:t>
            </w:r>
            <w:r>
              <w:rPr>
                <w:rFonts w:ascii="Times New Roman" w:hAnsi="Times New Roman"/>
                <w:sz w:val="22"/>
                <w:szCs w:val="22"/>
              </w:rPr>
              <w:t>Edital</w:t>
            </w:r>
            <w:r w:rsidRPr="00BA3186">
              <w:rPr>
                <w:rFonts w:ascii="Times New Roman" w:hAnsi="Times New Roman"/>
                <w:sz w:val="22"/>
                <w:szCs w:val="22"/>
              </w:rPr>
              <w:t xml:space="preserve"> não apresenta nenhuma justificativa para a adoção desse critério com base em estudo técnico preliminar prévio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2037" w:type="dxa"/>
            <w:vMerge w:val="restart"/>
            <w:shd w:val="clear" w:color="auto" w:fill="D1D1D1" w:themeFill="background2" w:themeFillShade="E6"/>
            <w:vAlign w:val="center"/>
          </w:tcPr>
          <w:p w14:paraId="11B072FF" w14:textId="0DB12BDC" w:rsidR="00AF10AB" w:rsidRPr="0097475B" w:rsidRDefault="00AF10AB" w:rsidP="00EE6BF0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Baixa</w:t>
            </w:r>
          </w:p>
        </w:tc>
        <w:tc>
          <w:tcPr>
            <w:tcW w:w="2835" w:type="dxa"/>
            <w:vMerge w:val="restart"/>
            <w:shd w:val="clear" w:color="auto" w:fill="D1D1D1" w:themeFill="background2" w:themeFillShade="E6"/>
            <w:vAlign w:val="center"/>
          </w:tcPr>
          <w:p w14:paraId="393850E4" w14:textId="424CDEBE" w:rsidR="00AF10AB" w:rsidRPr="00AD53B9" w:rsidRDefault="00AF10AB" w:rsidP="00EE6BF0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highlight w:val="yellow"/>
              </w:rPr>
            </w:pPr>
            <w:r w:rsidRPr="00CC17FA">
              <w:rPr>
                <w:rFonts w:ascii="Times New Roman" w:hAnsi="Times New Roman"/>
                <w:b/>
                <w:bCs/>
                <w:sz w:val="22"/>
                <w:szCs w:val="22"/>
              </w:rPr>
              <w:t>Ponto não foi objeto de impugnação</w:t>
            </w:r>
          </w:p>
        </w:tc>
      </w:tr>
      <w:tr w:rsidR="00AF10AB" w:rsidRPr="001B2E2C" w14:paraId="28411A41" w14:textId="77777777" w:rsidTr="00AF10AB">
        <w:trPr>
          <w:trHeight w:val="757"/>
        </w:trPr>
        <w:tc>
          <w:tcPr>
            <w:tcW w:w="638" w:type="dxa"/>
            <w:vMerge/>
            <w:shd w:val="clear" w:color="auto" w:fill="D1D1D1" w:themeFill="background2" w:themeFillShade="E6"/>
            <w:vAlign w:val="center"/>
          </w:tcPr>
          <w:p w14:paraId="2E8D82BD" w14:textId="77777777" w:rsidR="00AF10AB" w:rsidRDefault="00AF10AB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shd w:val="clear" w:color="auto" w:fill="D1D1D1" w:themeFill="background2" w:themeFillShade="E6"/>
            <w:vAlign w:val="center"/>
          </w:tcPr>
          <w:p w14:paraId="05DD4B4E" w14:textId="1809C0F8" w:rsidR="00AF10AB" w:rsidRDefault="00AF10AB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9 do Edital</w:t>
            </w:r>
          </w:p>
        </w:tc>
        <w:tc>
          <w:tcPr>
            <w:tcW w:w="5398" w:type="dxa"/>
            <w:vMerge/>
            <w:shd w:val="clear" w:color="auto" w:fill="D1D1D1" w:themeFill="background2" w:themeFillShade="E6"/>
            <w:vAlign w:val="center"/>
          </w:tcPr>
          <w:p w14:paraId="159E9D1F" w14:textId="77777777" w:rsidR="00AF10AB" w:rsidRPr="00BA3186" w:rsidRDefault="00AF10AB" w:rsidP="00EE6BF0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shd w:val="clear" w:color="auto" w:fill="D1D1D1" w:themeFill="background2" w:themeFillShade="E6"/>
            <w:vAlign w:val="center"/>
          </w:tcPr>
          <w:p w14:paraId="00FE6111" w14:textId="77777777" w:rsidR="00AF10AB" w:rsidRDefault="00AF10AB" w:rsidP="00EE6BF0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shd w:val="clear" w:color="auto" w:fill="D1D1D1" w:themeFill="background2" w:themeFillShade="E6"/>
            <w:vAlign w:val="center"/>
          </w:tcPr>
          <w:p w14:paraId="39DE827F" w14:textId="77777777" w:rsidR="00AF10AB" w:rsidRPr="00CC17FA" w:rsidRDefault="00AF10AB" w:rsidP="00EE6BF0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</w:tr>
      <w:tr w:rsidR="00AF10AB" w:rsidRPr="001B2E2C" w14:paraId="2902AD99" w14:textId="77777777" w:rsidTr="00AF10AB">
        <w:trPr>
          <w:trHeight w:val="2400"/>
        </w:trPr>
        <w:tc>
          <w:tcPr>
            <w:tcW w:w="638" w:type="dxa"/>
            <w:vMerge w:val="restart"/>
            <w:vAlign w:val="center"/>
          </w:tcPr>
          <w:p w14:paraId="3C5F1236" w14:textId="0D727947" w:rsidR="00AF10AB" w:rsidRPr="0097475B" w:rsidRDefault="00AF10AB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7</w:t>
            </w:r>
          </w:p>
        </w:tc>
        <w:tc>
          <w:tcPr>
            <w:tcW w:w="2128" w:type="dxa"/>
            <w:vAlign w:val="center"/>
          </w:tcPr>
          <w:p w14:paraId="264A6EF2" w14:textId="02771B1B" w:rsid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Critérios para avaliação da Proposta Técnica</w:t>
            </w:r>
          </w:p>
        </w:tc>
        <w:tc>
          <w:tcPr>
            <w:tcW w:w="5398" w:type="dxa"/>
            <w:vMerge w:val="restart"/>
            <w:vAlign w:val="center"/>
          </w:tcPr>
          <w:p w14:paraId="252092EF" w14:textId="059AB0CD" w:rsid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O Anexo 6 – Diretrizes para elaboração da Proposta Técnica e o Anexo 4B – Diretrizes para avaliação da metodologia de execução e critério de pontuação, faz referência às especificações do Caderno de Encargos que, como indicado, são imprecisas sobre o objeto da Concessão, comprometendo diretamente a adequada avaliação da Proposta Técnica. </w:t>
            </w:r>
          </w:p>
          <w:p w14:paraId="2C6F3F81" w14:textId="01BC1549" w:rsid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Além disso, o</w:t>
            </w:r>
            <w:r w:rsidRPr="00095754">
              <w:rPr>
                <w:rFonts w:ascii="Times New Roman" w:hAnsi="Times New Roman"/>
                <w:sz w:val="22"/>
                <w:szCs w:val="22"/>
              </w:rPr>
              <w:t xml:space="preserve"> Anexo 4B apresenta as Diretrizes para Avaliação da Metodologia de Execução e Critério de Pontuação, sendo voltado para a avaliação de “metodologias de execução” (não proposta técnica, como prevê o contrato), sendo que sequer existe mais metodologia de execução de acordo com a nova legislação de licitação (apenas a Lei nº 8.666/93 – revogada – a previa, a nova Lei nº 14.133/2021 não prevê esse instituto)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108EFEC7" w14:textId="6A484130" w:rsid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Os critérios apresentados no Anexo são subjetivos, vagos e possibilitam interpretações totalmente subjetivas, não fornecendo parâmetros efetivamente objetivos e mensuráveis de avaliação.</w:t>
            </w:r>
          </w:p>
        </w:tc>
        <w:tc>
          <w:tcPr>
            <w:tcW w:w="2037" w:type="dxa"/>
            <w:vMerge w:val="restart"/>
            <w:vAlign w:val="center"/>
          </w:tcPr>
          <w:p w14:paraId="58D0C8FF" w14:textId="59706D91" w:rsidR="00AF10AB" w:rsidRPr="0097475B" w:rsidRDefault="00AF10AB" w:rsidP="00AF10AB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Alta</w:t>
            </w:r>
          </w:p>
        </w:tc>
        <w:tc>
          <w:tcPr>
            <w:tcW w:w="2835" w:type="dxa"/>
            <w:vMerge w:val="restart"/>
            <w:vAlign w:val="center"/>
          </w:tcPr>
          <w:p w14:paraId="73FA6D37" w14:textId="69E1E67E" w:rsidR="00AF10AB" w:rsidRDefault="00AF10AB" w:rsidP="00AF10AB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7055E8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Mantido. </w:t>
            </w:r>
          </w:p>
          <w:p w14:paraId="5B467835" w14:textId="77777777" w:rsidR="00AF10AB" w:rsidRDefault="00AF10AB" w:rsidP="00AF10AB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7055E8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Foram implantadas alterações nas explicações do Anexo 4B e ajustes nos critérios de pontuação, mas persiste a generalidade de critérios baseados em “atende, atende parcialmente, não atende”. Também foi mantido ponto relacionado a atividade que não integra o escopo da licitação.</w:t>
            </w:r>
          </w:p>
          <w:p w14:paraId="406484A0" w14:textId="77777777" w:rsidR="00AF10AB" w:rsidRDefault="00AF10AB" w:rsidP="00AF10AB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highlight w:val="yellow"/>
              </w:rPr>
            </w:pPr>
          </w:p>
          <w:p w14:paraId="5CBBBB06" w14:textId="5661B1FE" w:rsidR="00AF10AB" w:rsidRP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AF10AB">
              <w:rPr>
                <w:rFonts w:ascii="Times New Roman" w:hAnsi="Times New Roman"/>
                <w:sz w:val="22"/>
                <w:szCs w:val="22"/>
              </w:rPr>
              <w:t>Persiste a subjetividade</w:t>
            </w:r>
          </w:p>
        </w:tc>
      </w:tr>
      <w:tr w:rsidR="00AF10AB" w:rsidRPr="001B2E2C" w14:paraId="7E2463F5" w14:textId="77777777" w:rsidTr="00AF10AB">
        <w:trPr>
          <w:trHeight w:val="2400"/>
        </w:trPr>
        <w:tc>
          <w:tcPr>
            <w:tcW w:w="638" w:type="dxa"/>
            <w:vMerge/>
            <w:vAlign w:val="center"/>
          </w:tcPr>
          <w:p w14:paraId="7E30BDBD" w14:textId="77777777" w:rsidR="00AF10AB" w:rsidRDefault="00AF10AB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783A9E2C" w14:textId="77777777" w:rsid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AF10AB">
              <w:rPr>
                <w:rFonts w:ascii="Times New Roman" w:hAnsi="Times New Roman"/>
                <w:sz w:val="22"/>
                <w:szCs w:val="22"/>
              </w:rPr>
              <w:t xml:space="preserve">Avaliação da </w:t>
            </w:r>
            <w:r>
              <w:rPr>
                <w:rFonts w:ascii="Times New Roman" w:hAnsi="Times New Roman"/>
                <w:sz w:val="22"/>
                <w:szCs w:val="22"/>
              </w:rPr>
              <w:t>M</w:t>
            </w:r>
            <w:r w:rsidRPr="00AF10AB">
              <w:rPr>
                <w:rFonts w:ascii="Times New Roman" w:hAnsi="Times New Roman"/>
                <w:sz w:val="22"/>
                <w:szCs w:val="22"/>
              </w:rPr>
              <w:t xml:space="preserve">etodologia de </w:t>
            </w: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Pr="00AF10AB">
              <w:rPr>
                <w:rFonts w:ascii="Times New Roman" w:hAnsi="Times New Roman"/>
                <w:sz w:val="22"/>
                <w:szCs w:val="22"/>
              </w:rPr>
              <w:t xml:space="preserve">xecução e </w:t>
            </w: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AF10AB">
              <w:rPr>
                <w:rFonts w:ascii="Times New Roman" w:hAnsi="Times New Roman"/>
                <w:sz w:val="22"/>
                <w:szCs w:val="22"/>
              </w:rPr>
              <w:t>ritério de Pontuação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– Anexo 4B; e</w:t>
            </w:r>
          </w:p>
          <w:p w14:paraId="659709FA" w14:textId="77777777" w:rsid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EEC08D4" w14:textId="15BFDB8E" w:rsidR="00AF10AB" w:rsidRDefault="00634D74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3 – Anexo 6</w:t>
            </w:r>
          </w:p>
        </w:tc>
        <w:tc>
          <w:tcPr>
            <w:tcW w:w="5398" w:type="dxa"/>
            <w:vMerge/>
            <w:vAlign w:val="center"/>
          </w:tcPr>
          <w:p w14:paraId="301B6896" w14:textId="77777777" w:rsidR="00AF10AB" w:rsidRDefault="00AF10AB" w:rsidP="00AF10AB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2688057B" w14:textId="77777777" w:rsidR="00AF10AB" w:rsidRDefault="00AF10AB" w:rsidP="00AF10AB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4B4701FF" w14:textId="77777777" w:rsidR="00AF10AB" w:rsidRPr="007055E8" w:rsidRDefault="00AF10AB" w:rsidP="00AF10AB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0A142A" w:rsidRPr="001B2E2C" w14:paraId="6D2A05CC" w14:textId="77777777" w:rsidTr="000A142A">
        <w:trPr>
          <w:trHeight w:val="2655"/>
        </w:trPr>
        <w:tc>
          <w:tcPr>
            <w:tcW w:w="638" w:type="dxa"/>
            <w:vMerge w:val="restart"/>
            <w:vAlign w:val="center"/>
          </w:tcPr>
          <w:p w14:paraId="5733F6A4" w14:textId="42BD4439" w:rsidR="000A142A" w:rsidRPr="0097475B" w:rsidRDefault="000A142A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2128" w:type="dxa"/>
            <w:vAlign w:val="center"/>
          </w:tcPr>
          <w:p w14:paraId="7F89E184" w14:textId="5F4A3F5A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Indicador de Desempenho</w:t>
            </w:r>
          </w:p>
        </w:tc>
        <w:tc>
          <w:tcPr>
            <w:tcW w:w="5398" w:type="dxa"/>
            <w:vMerge w:val="restart"/>
            <w:vAlign w:val="center"/>
          </w:tcPr>
          <w:p w14:paraId="53AAD2F9" w14:textId="14856FF3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 Anexo 11 dispõe que a avaliação do cumprimento físico das metas será realizada com base no Plano de Negócios da Concessionária. Contudo, o Plano de Negócios referencial (Anexo 15) não contempla diversos investimentos do escopo contratual, o que gera incoerência não só sobre os serviços a serem prestados, mas sobre a adequação da remuneração projetada.</w:t>
            </w:r>
          </w:p>
          <w:p w14:paraId="679D9364" w14:textId="5C470D4E" w:rsidR="000A142A" w:rsidRPr="00F476F5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*Não são contemplados no Plano de Negócios Referencial: </w:t>
            </w:r>
            <w:r w:rsidRPr="005F4971">
              <w:rPr>
                <w:i/>
                <w:iCs/>
                <w:sz w:val="22"/>
                <w:szCs w:val="22"/>
              </w:rPr>
              <w:t xml:space="preserve">1)  Implantação, operação e manutenção de Estação de Tratamento de Efluentes Líquidos (chorume), com </w:t>
            </w:r>
            <w:r w:rsidRPr="005F4971">
              <w:rPr>
                <w:i/>
                <w:iCs/>
                <w:sz w:val="22"/>
                <w:szCs w:val="22"/>
              </w:rPr>
              <w:lastRenderedPageBreak/>
              <w:t>tecnologia apta a atender aos padrões de lançamento estabelecidos pela legislação ambiental, notadamente o Decreto Estadual nº 8.468/76; 2) Elaboração de projeto, implantação e operação de Unidade de Compostagem para o tratamento da fração orgânica, visando à valorização dos resíduos e à redução do volume destinado ao aterro; e 3) Elaboração de estudos ambientais, projetos e licenciamento para a implantação de Unidade de Recuperação Energética de Resíduos, em alinhamento com a Política Nacional de Resíduos Sólidos e as diretrizes de sustentabilidade do Município</w:t>
            </w:r>
            <w:r w:rsidRPr="005F4971">
              <w:rPr>
                <w:sz w:val="22"/>
                <w:szCs w:val="22"/>
              </w:rPr>
              <w:t>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037" w:type="dxa"/>
            <w:vMerge w:val="restart"/>
            <w:vAlign w:val="center"/>
          </w:tcPr>
          <w:p w14:paraId="232C48B5" w14:textId="64BC837A" w:rsidR="000A142A" w:rsidRPr="0097475B" w:rsidRDefault="000A142A" w:rsidP="000A142A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Média</w:t>
            </w:r>
          </w:p>
        </w:tc>
        <w:tc>
          <w:tcPr>
            <w:tcW w:w="2835" w:type="dxa"/>
            <w:vMerge w:val="restart"/>
            <w:vAlign w:val="center"/>
          </w:tcPr>
          <w:p w14:paraId="38087E07" w14:textId="77777777" w:rsidR="000A142A" w:rsidRDefault="000A142A" w:rsidP="000A142A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7C2FC5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 necessidade de impugnação.</w:t>
            </w:r>
          </w:p>
          <w:p w14:paraId="46A0AA64" w14:textId="77777777" w:rsidR="000A142A" w:rsidRDefault="000A142A" w:rsidP="000A142A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  <w:p w14:paraId="74EE1860" w14:textId="58238A62" w:rsidR="000A142A" w:rsidRPr="00AD53B9" w:rsidRDefault="000A142A" w:rsidP="000A142A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highlight w:val="yellow"/>
              </w:rPr>
            </w:pPr>
            <w:r w:rsidRPr="000A142A">
              <w:rPr>
                <w:rFonts w:ascii="Times New Roman" w:hAnsi="Times New Roman"/>
                <w:sz w:val="22"/>
                <w:szCs w:val="22"/>
              </w:rPr>
              <w:t>A redação foi praticamente inalterada.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  <w:highlight w:val="yellow"/>
              </w:rPr>
              <w:t xml:space="preserve"> </w:t>
            </w:r>
          </w:p>
        </w:tc>
      </w:tr>
      <w:tr w:rsidR="000A142A" w:rsidRPr="001B2E2C" w14:paraId="617CF664" w14:textId="77777777" w:rsidTr="000A142A">
        <w:trPr>
          <w:trHeight w:val="2655"/>
        </w:trPr>
        <w:tc>
          <w:tcPr>
            <w:tcW w:w="638" w:type="dxa"/>
            <w:vMerge/>
            <w:vAlign w:val="center"/>
          </w:tcPr>
          <w:p w14:paraId="33C0B614" w14:textId="77777777" w:rsidR="000A142A" w:rsidRDefault="000A142A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7E448A88" w14:textId="77777777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Anexo 11 (Indicadores de desempenho); e</w:t>
            </w:r>
          </w:p>
          <w:p w14:paraId="1D5A150F" w14:textId="77777777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0315DCCF" w14:textId="3CAD1AEA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Anexo 15 (Plano de Negócios Referencial)</w:t>
            </w:r>
          </w:p>
        </w:tc>
        <w:tc>
          <w:tcPr>
            <w:tcW w:w="5398" w:type="dxa"/>
            <w:vMerge/>
            <w:vAlign w:val="center"/>
          </w:tcPr>
          <w:p w14:paraId="78C4A5DF" w14:textId="77777777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2B1C5074" w14:textId="77777777" w:rsidR="000A142A" w:rsidRDefault="000A142A" w:rsidP="000A142A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78474708" w14:textId="77777777" w:rsidR="000A142A" w:rsidRPr="007C2FC5" w:rsidRDefault="000A142A" w:rsidP="000A142A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0A142A" w:rsidRPr="001B2E2C" w14:paraId="2EFF9E35" w14:textId="77777777" w:rsidTr="000A142A">
        <w:trPr>
          <w:trHeight w:val="2910"/>
        </w:trPr>
        <w:tc>
          <w:tcPr>
            <w:tcW w:w="638" w:type="dxa"/>
            <w:vMerge w:val="restart"/>
            <w:vAlign w:val="center"/>
          </w:tcPr>
          <w:p w14:paraId="01BB09A6" w14:textId="7A09A17F" w:rsidR="000A142A" w:rsidRPr="0097475B" w:rsidRDefault="000A142A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  <w:tc>
          <w:tcPr>
            <w:tcW w:w="2128" w:type="dxa"/>
            <w:vAlign w:val="center"/>
          </w:tcPr>
          <w:p w14:paraId="7F6DD9FA" w14:textId="4D22CB75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Proposta Comercial </w:t>
            </w:r>
          </w:p>
        </w:tc>
        <w:tc>
          <w:tcPr>
            <w:tcW w:w="5398" w:type="dxa"/>
            <w:vMerge w:val="restart"/>
            <w:vAlign w:val="center"/>
          </w:tcPr>
          <w:p w14:paraId="32BF0E5D" w14:textId="73D3E409" w:rsidR="000A142A" w:rsidRDefault="000A142A" w:rsidP="000A142A">
            <w:pPr>
              <w:jc w:val="both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 Anexo 7 – Diretrizes para Elaboração da Proposta Comercial dispõe que a licitante deverá indicar o desconto ofertado sobre as tarifas domiciliares apresentadas no Anexo 2. Contudo, no Anexo 2 são previstos quatro valores de tarifas domiciliares. Para adequada avaliação da Proposta Comercial seria necessário que fosse indicado um desconto sobre cada uma delas, o que afeta a adequada mensuração da proposta.</w:t>
            </w:r>
          </w:p>
          <w:p w14:paraId="34504043" w14:textId="4CF2DB42" w:rsidR="000A142A" w:rsidRPr="00F476F5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80919">
              <w:rPr>
                <w:rFonts w:ascii="Times New Roman" w:hAnsi="Times New Roman"/>
                <w:sz w:val="22"/>
                <w:szCs w:val="22"/>
              </w:rPr>
              <w:t>Outro ponto de extrema relevância: o Edital estabelece que a proposta comercial deve considerar as receitas acessórias advindas do recebimento e da destinação final de resíduos de outros municípios no aterro. Todavia, essa possibilidade é futura e incerta, o que causaria discrepância não só no valor proposto pelos licitantes (o que provavelmente ensejará reequilíbrios econômico-financeiros desde o início do contrato) como também desigualdade importante entre as propostas comerciais apresentadas, porque, sem um parâmetro concreto sobre algo futuro e incerto, cada licitante irá considerar uma estimativa diversa a ser contemplada na proposta, impactando para mais ou para menos os valores finais ofertados. O Edital não só permite como induz a desigualdade entre os licitantes. Subjetividade total de critério.</w:t>
            </w:r>
          </w:p>
        </w:tc>
        <w:tc>
          <w:tcPr>
            <w:tcW w:w="2037" w:type="dxa"/>
            <w:vMerge w:val="restart"/>
            <w:vAlign w:val="center"/>
          </w:tcPr>
          <w:p w14:paraId="05BE1F3D" w14:textId="4D1BDB22" w:rsidR="000A142A" w:rsidRPr="0097475B" w:rsidRDefault="000A142A" w:rsidP="000A142A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Alta</w:t>
            </w:r>
          </w:p>
        </w:tc>
        <w:tc>
          <w:tcPr>
            <w:tcW w:w="2835" w:type="dxa"/>
            <w:vMerge w:val="restart"/>
            <w:vAlign w:val="center"/>
          </w:tcPr>
          <w:p w14:paraId="114FBFE0" w14:textId="2153B093" w:rsidR="0010277C" w:rsidRDefault="0010277C" w:rsidP="000A142A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  <w:t xml:space="preserve">Primeira parte, referente aos descontos sobre as tarifas foi solucionada, uma vez que o item 1 do Anexo 7 prevê que os </w:t>
            </w:r>
            <w:r w:rsidR="005C5E0B"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  <w:t>descontos devem ser sobre todas as tarifas.</w:t>
            </w:r>
          </w:p>
          <w:p w14:paraId="52D0BB10" w14:textId="77777777" w:rsidR="0010277C" w:rsidRDefault="0010277C" w:rsidP="000A142A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  <w:p w14:paraId="5A03D6EE" w14:textId="77777777" w:rsidR="0010277C" w:rsidRDefault="0010277C" w:rsidP="000A142A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  <w:p w14:paraId="3A5DFD8F" w14:textId="4E4A4D70" w:rsidR="000A142A" w:rsidRDefault="005C5E0B" w:rsidP="000A142A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Segunda parte m</w:t>
            </w:r>
            <w:r w:rsidR="000A142A" w:rsidRPr="007C2FC5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antid</w:t>
            </w:r>
            <w:r w:rsidR="000A142A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a 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a </w:t>
            </w:r>
            <w:r w:rsidR="000A142A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necessidade de impugnação.</w:t>
            </w:r>
          </w:p>
          <w:p w14:paraId="04C0F4EC" w14:textId="77777777" w:rsidR="00302072" w:rsidRDefault="00302072" w:rsidP="000A142A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69C112EB" w14:textId="7BBC8A39" w:rsidR="00302072" w:rsidRPr="00AD53B9" w:rsidRDefault="00302072" w:rsidP="000A142A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highlight w:val="yellow"/>
              </w:rPr>
            </w:pPr>
            <w:r w:rsidRPr="000A142A">
              <w:rPr>
                <w:rFonts w:ascii="Times New Roman" w:hAnsi="Times New Roman"/>
                <w:sz w:val="22"/>
                <w:szCs w:val="22"/>
              </w:rPr>
              <w:t>A redação foi praticamente inalterada</w:t>
            </w: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  <w:tr w:rsidR="000A142A" w:rsidRPr="001B2E2C" w14:paraId="26502568" w14:textId="77777777" w:rsidTr="000A142A">
        <w:trPr>
          <w:trHeight w:val="2910"/>
        </w:trPr>
        <w:tc>
          <w:tcPr>
            <w:tcW w:w="638" w:type="dxa"/>
            <w:vMerge/>
            <w:vAlign w:val="center"/>
          </w:tcPr>
          <w:p w14:paraId="24757FA4" w14:textId="77777777" w:rsidR="000A142A" w:rsidRDefault="000A142A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654C196E" w14:textId="77777777" w:rsidR="000A142A" w:rsidRDefault="00302072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2 – Anexo 2 (Estrutura Tarifária);</w:t>
            </w:r>
          </w:p>
          <w:p w14:paraId="2F8056CF" w14:textId="77777777" w:rsidR="00302072" w:rsidRDefault="00302072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C276515" w14:textId="77777777" w:rsidR="00302072" w:rsidRDefault="00302072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1 – Anexo 7 (</w:t>
            </w:r>
            <w:r w:rsidR="005C5E0B">
              <w:rPr>
                <w:rFonts w:ascii="Times New Roman" w:hAnsi="Times New Roman"/>
                <w:sz w:val="22"/>
                <w:szCs w:val="22"/>
              </w:rPr>
              <w:t>Diretrizes para proposta comercial</w:t>
            </w:r>
            <w:r>
              <w:rPr>
                <w:rFonts w:ascii="Times New Roman" w:hAnsi="Times New Roman"/>
                <w:sz w:val="22"/>
                <w:szCs w:val="22"/>
              </w:rPr>
              <w:t>)</w:t>
            </w:r>
            <w:r w:rsidR="005C5E0B">
              <w:rPr>
                <w:rFonts w:ascii="Times New Roman" w:hAnsi="Times New Roman"/>
                <w:sz w:val="22"/>
                <w:szCs w:val="22"/>
              </w:rPr>
              <w:t>; e</w:t>
            </w:r>
          </w:p>
          <w:p w14:paraId="6881BD35" w14:textId="77777777" w:rsidR="005C5E0B" w:rsidRDefault="005C5E0B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4AAE7957" w14:textId="4DC31BCE" w:rsidR="005C5E0B" w:rsidRDefault="005C5E0B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7 – Anexo 2 (Estrutura Tarifária) para receitas acessórias</w:t>
            </w:r>
          </w:p>
        </w:tc>
        <w:tc>
          <w:tcPr>
            <w:tcW w:w="5398" w:type="dxa"/>
            <w:vMerge/>
            <w:vAlign w:val="center"/>
          </w:tcPr>
          <w:p w14:paraId="2271D261" w14:textId="77777777" w:rsidR="000A142A" w:rsidRDefault="000A142A" w:rsidP="000A142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03A08991" w14:textId="77777777" w:rsidR="000A142A" w:rsidRDefault="000A142A" w:rsidP="000A142A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40CA273D" w14:textId="77777777" w:rsidR="000A142A" w:rsidRPr="007C2FC5" w:rsidRDefault="000A142A" w:rsidP="000A142A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873744" w:rsidRPr="001B2E2C" w14:paraId="518AC9D0" w14:textId="77777777" w:rsidTr="00873744">
        <w:trPr>
          <w:trHeight w:val="383"/>
        </w:trPr>
        <w:tc>
          <w:tcPr>
            <w:tcW w:w="638" w:type="dxa"/>
            <w:vMerge w:val="restart"/>
            <w:vAlign w:val="center"/>
          </w:tcPr>
          <w:p w14:paraId="02A2D702" w14:textId="49AD8966" w:rsidR="00873744" w:rsidRPr="0097475B" w:rsidRDefault="00873744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10</w:t>
            </w:r>
          </w:p>
        </w:tc>
        <w:tc>
          <w:tcPr>
            <w:tcW w:w="2128" w:type="dxa"/>
            <w:vAlign w:val="center"/>
          </w:tcPr>
          <w:p w14:paraId="3C1F16C8" w14:textId="4961CCC7" w:rsidR="00873744" w:rsidRDefault="00873744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Qualificação econômico-financeira</w:t>
            </w:r>
          </w:p>
        </w:tc>
        <w:tc>
          <w:tcPr>
            <w:tcW w:w="5398" w:type="dxa"/>
            <w:vMerge w:val="restart"/>
            <w:vAlign w:val="center"/>
          </w:tcPr>
          <w:p w14:paraId="0FB9D333" w14:textId="5037A701" w:rsidR="00873744" w:rsidRPr="00347036" w:rsidRDefault="00873744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F76F1">
              <w:rPr>
                <w:rFonts w:ascii="Times New Roman" w:hAnsi="Times New Roman"/>
                <w:sz w:val="22"/>
                <w:szCs w:val="22"/>
              </w:rPr>
              <w:t>Edital exige grau de endividamento menor ou igual 0,5. Entendimento do TCE SP é de que esse índice deve ser justificado e compatível com o setor.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037" w:type="dxa"/>
            <w:vMerge w:val="restart"/>
            <w:vAlign w:val="center"/>
          </w:tcPr>
          <w:p w14:paraId="66E7FC27" w14:textId="40B29546" w:rsidR="00873744" w:rsidRPr="0097475B" w:rsidRDefault="00873744" w:rsidP="00873744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Baixa</w:t>
            </w:r>
          </w:p>
        </w:tc>
        <w:tc>
          <w:tcPr>
            <w:tcW w:w="2835" w:type="dxa"/>
            <w:vMerge w:val="restart"/>
            <w:vAlign w:val="center"/>
          </w:tcPr>
          <w:p w14:paraId="7E4A0A4E" w14:textId="77777777" w:rsidR="00873744" w:rsidRPr="00262926" w:rsidRDefault="00262926" w:rsidP="00873744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26292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Alteração com relação ao grau do endividamento para menor ou igual 1,00.</w:t>
            </w:r>
          </w:p>
          <w:p w14:paraId="6CC15FF2" w14:textId="3A841B76" w:rsidR="00262926" w:rsidRPr="00262926" w:rsidRDefault="00262926" w:rsidP="00873744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26292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Porém, permanece a dúvida sobre as justificativas para adoção desse grau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, </w:t>
            </w:r>
            <w:r w:rsidRPr="0026292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embora o grau 1,00 é a média considerada aceitável para o Tribunal de Contas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.</w:t>
            </w:r>
          </w:p>
        </w:tc>
      </w:tr>
      <w:tr w:rsidR="00873744" w:rsidRPr="001B2E2C" w14:paraId="5F7791FD" w14:textId="77777777" w:rsidTr="00873744">
        <w:trPr>
          <w:trHeight w:val="382"/>
        </w:trPr>
        <w:tc>
          <w:tcPr>
            <w:tcW w:w="638" w:type="dxa"/>
            <w:vMerge/>
            <w:vAlign w:val="center"/>
          </w:tcPr>
          <w:p w14:paraId="5FF0EEAF" w14:textId="77777777" w:rsidR="00873744" w:rsidRDefault="00873744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390188BD" w14:textId="40465AC5" w:rsidR="00873744" w:rsidRDefault="00262926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Item 10.15.3.4 do Edital. </w:t>
            </w:r>
          </w:p>
        </w:tc>
        <w:tc>
          <w:tcPr>
            <w:tcW w:w="5398" w:type="dxa"/>
            <w:vMerge/>
            <w:vAlign w:val="center"/>
          </w:tcPr>
          <w:p w14:paraId="0AE79A59" w14:textId="77777777" w:rsidR="00873744" w:rsidRPr="00BF76F1" w:rsidRDefault="00873744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7218FA15" w14:textId="77777777" w:rsidR="00873744" w:rsidRDefault="00873744" w:rsidP="00873744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433EE8D8" w14:textId="77777777" w:rsidR="00873744" w:rsidRPr="000572AF" w:rsidRDefault="00873744" w:rsidP="00873744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</w:tc>
      </w:tr>
      <w:tr w:rsidR="00262926" w:rsidRPr="001B2E2C" w14:paraId="00CBFDF4" w14:textId="77777777" w:rsidTr="00262926">
        <w:trPr>
          <w:trHeight w:val="885"/>
        </w:trPr>
        <w:tc>
          <w:tcPr>
            <w:tcW w:w="638" w:type="dxa"/>
            <w:vMerge w:val="restart"/>
            <w:vAlign w:val="center"/>
          </w:tcPr>
          <w:p w14:paraId="0EDEB65C" w14:textId="27C1D5ED" w:rsidR="00262926" w:rsidRPr="00AD53B9" w:rsidRDefault="00262926" w:rsidP="001E3288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852854"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2128" w:type="dxa"/>
            <w:vAlign w:val="center"/>
          </w:tcPr>
          <w:p w14:paraId="1106A936" w14:textId="52C4E5F0" w:rsidR="00262926" w:rsidRPr="00AD53B9" w:rsidRDefault="00262926" w:rsidP="00873744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Banca de Especialistas para avaliação da Proposta Técnica</w:t>
            </w:r>
          </w:p>
        </w:tc>
        <w:tc>
          <w:tcPr>
            <w:tcW w:w="5398" w:type="dxa"/>
            <w:vMerge w:val="restart"/>
            <w:vAlign w:val="center"/>
          </w:tcPr>
          <w:p w14:paraId="66B61668" w14:textId="2F707D8E" w:rsidR="00262926" w:rsidRPr="003356D3" w:rsidRDefault="00262926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356D3">
              <w:rPr>
                <w:rFonts w:ascii="Times New Roman" w:hAnsi="Times New Roman"/>
                <w:sz w:val="22"/>
                <w:szCs w:val="22"/>
              </w:rPr>
              <w:t>Banca de avaliação é exigida pelo art. 37, II da Lei 14.133/2021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quando o critério de julgamento é por técnica e preço</w:t>
            </w:r>
            <w:r w:rsidRPr="003356D3">
              <w:rPr>
                <w:rFonts w:ascii="Times New Roman" w:hAnsi="Times New Roman"/>
                <w:sz w:val="22"/>
                <w:szCs w:val="22"/>
              </w:rPr>
              <w:t xml:space="preserve">. O </w:t>
            </w:r>
            <w:r>
              <w:rPr>
                <w:rFonts w:ascii="Times New Roman" w:hAnsi="Times New Roman"/>
                <w:sz w:val="22"/>
                <w:szCs w:val="22"/>
              </w:rPr>
              <w:t>Edital</w:t>
            </w:r>
            <w:r w:rsidRPr="003356D3">
              <w:rPr>
                <w:rFonts w:ascii="Times New Roman" w:hAnsi="Times New Roman"/>
                <w:sz w:val="22"/>
                <w:szCs w:val="22"/>
              </w:rPr>
              <w:t xml:space="preserve"> indica sua designação. A Portaria designa servidores da Secretaria Municipal de Meio Ambiente, sem qualquer comprovação da expertise exigida pela Lei.</w:t>
            </w:r>
          </w:p>
          <w:p w14:paraId="72867509" w14:textId="77777777" w:rsidR="00262926" w:rsidRPr="003356D3" w:rsidRDefault="00262926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47964286" w14:textId="2B44D1A2" w:rsidR="00262926" w:rsidRPr="003356D3" w:rsidRDefault="00262926" w:rsidP="00873744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3356D3">
              <w:rPr>
                <w:rFonts w:ascii="Times New Roman" w:hAnsi="Times New Roman"/>
                <w:sz w:val="22"/>
                <w:szCs w:val="22"/>
              </w:rPr>
              <w:t>https://www.dosp.com.br/leituratexto?p=MjU4NjE2NA==</w:t>
            </w:r>
          </w:p>
        </w:tc>
        <w:tc>
          <w:tcPr>
            <w:tcW w:w="2037" w:type="dxa"/>
            <w:vMerge w:val="restart"/>
            <w:vAlign w:val="center"/>
          </w:tcPr>
          <w:p w14:paraId="6A82FA93" w14:textId="1E1563D1" w:rsidR="00262926" w:rsidRPr="003356D3" w:rsidRDefault="00262926" w:rsidP="00873744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Média</w:t>
            </w:r>
          </w:p>
        </w:tc>
        <w:tc>
          <w:tcPr>
            <w:tcW w:w="2835" w:type="dxa"/>
            <w:vMerge w:val="restart"/>
            <w:vAlign w:val="center"/>
          </w:tcPr>
          <w:p w14:paraId="42E2FBA2" w14:textId="77777777" w:rsidR="00262926" w:rsidRDefault="00262926" w:rsidP="00873744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7C2FC5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 necessidade de impugnação.</w:t>
            </w:r>
          </w:p>
          <w:p w14:paraId="57AAA24F" w14:textId="77777777" w:rsidR="00262926" w:rsidRDefault="00262926" w:rsidP="00873744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3DD3C8D2" w14:textId="32520B62" w:rsidR="00262926" w:rsidRPr="00262926" w:rsidRDefault="00262926" w:rsidP="00873744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262926">
              <w:rPr>
                <w:rFonts w:ascii="Times New Roman" w:hAnsi="Times New Roman"/>
                <w:sz w:val="22"/>
                <w:szCs w:val="22"/>
              </w:rPr>
              <w:t>Redação do item inalterada.</w:t>
            </w:r>
          </w:p>
        </w:tc>
      </w:tr>
      <w:tr w:rsidR="00262926" w:rsidRPr="001B2E2C" w14:paraId="56923D24" w14:textId="77777777" w:rsidTr="00262926">
        <w:trPr>
          <w:trHeight w:val="885"/>
        </w:trPr>
        <w:tc>
          <w:tcPr>
            <w:tcW w:w="638" w:type="dxa"/>
            <w:vMerge/>
            <w:vAlign w:val="center"/>
          </w:tcPr>
          <w:p w14:paraId="4249B7BF" w14:textId="77777777" w:rsidR="00262926" w:rsidRPr="00852854" w:rsidRDefault="00262926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211AF953" w14:textId="6ACBED4B" w:rsidR="00262926" w:rsidRDefault="00262926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Item 9.4.1 do Edital </w:t>
            </w:r>
          </w:p>
        </w:tc>
        <w:tc>
          <w:tcPr>
            <w:tcW w:w="5398" w:type="dxa"/>
            <w:vMerge/>
            <w:vAlign w:val="center"/>
          </w:tcPr>
          <w:p w14:paraId="22DB9DF3" w14:textId="77777777" w:rsidR="00262926" w:rsidRPr="003356D3" w:rsidRDefault="00262926" w:rsidP="0087374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5E4740FA" w14:textId="77777777" w:rsidR="00262926" w:rsidRDefault="00262926" w:rsidP="00873744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6E949E85" w14:textId="77777777" w:rsidR="00262926" w:rsidRPr="007C2FC5" w:rsidRDefault="00262926" w:rsidP="00873744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2C3307" w:rsidRPr="001B2E2C" w14:paraId="57C74168" w14:textId="77777777" w:rsidTr="002C3307">
        <w:trPr>
          <w:trHeight w:val="1643"/>
        </w:trPr>
        <w:tc>
          <w:tcPr>
            <w:tcW w:w="638" w:type="dxa"/>
            <w:vMerge w:val="restart"/>
            <w:vAlign w:val="center"/>
          </w:tcPr>
          <w:p w14:paraId="44568C88" w14:textId="619261F1" w:rsidR="002C3307" w:rsidRPr="00AD53B9" w:rsidRDefault="002C3307" w:rsidP="001E3288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852854">
              <w:rPr>
                <w:rFonts w:ascii="Times New Roman" w:hAnsi="Times New Roman"/>
                <w:sz w:val="22"/>
                <w:szCs w:val="22"/>
              </w:rPr>
              <w:t>12</w:t>
            </w:r>
          </w:p>
        </w:tc>
        <w:tc>
          <w:tcPr>
            <w:tcW w:w="2128" w:type="dxa"/>
            <w:vAlign w:val="center"/>
          </w:tcPr>
          <w:p w14:paraId="475A2688" w14:textId="2F237FBC" w:rsidR="002C3307" w:rsidRPr="00145A84" w:rsidRDefault="002C3307" w:rsidP="002C3307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145A84">
              <w:rPr>
                <w:rFonts w:ascii="Times New Roman" w:hAnsi="Times New Roman"/>
                <w:sz w:val="22"/>
                <w:szCs w:val="22"/>
              </w:rPr>
              <w:t>Especificação dos serviços</w:t>
            </w:r>
          </w:p>
        </w:tc>
        <w:tc>
          <w:tcPr>
            <w:tcW w:w="5398" w:type="dxa"/>
            <w:vMerge w:val="restart"/>
            <w:vAlign w:val="center"/>
          </w:tcPr>
          <w:p w14:paraId="13C8D4E8" w14:textId="77777777" w:rsidR="002C3307" w:rsidRDefault="002C3307" w:rsidP="002C330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B5B9D">
              <w:rPr>
                <w:rFonts w:ascii="Times New Roman" w:hAnsi="Times New Roman"/>
                <w:sz w:val="22"/>
                <w:szCs w:val="22"/>
              </w:rPr>
              <w:t xml:space="preserve">Os documentos editalícios indicam a obrigatoriedade de que a Concessionária realize as obras de ampliação do aterro municipal, incluindo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graves penalidades pela não conclusão destas obras (cláusulas 14.9 e 14.9.1 do Contrato). </w:t>
            </w:r>
          </w:p>
          <w:p w14:paraId="6885032D" w14:textId="4A194C4E" w:rsidR="002C3307" w:rsidRPr="002B5B9D" w:rsidRDefault="002C3307" w:rsidP="002C3307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Contudo, não há informação suficiente sobre as obras que deverão ser realizadas. O Contrato e o Termo de Referência indicam a Licença Prévia emitida pela CETESB nº 2931/2023 (que não acompanhou os documentos editalícios). Já o Caderno de Encargos e o Anexo 4 C indicam Licença de Instalação. Não há indicação da relação entre elas, também não foi disponibilizado o projeto de ampliação que teria sido submetido à CETESB.</w:t>
            </w:r>
          </w:p>
        </w:tc>
        <w:tc>
          <w:tcPr>
            <w:tcW w:w="2037" w:type="dxa"/>
            <w:vMerge w:val="restart"/>
            <w:vAlign w:val="center"/>
          </w:tcPr>
          <w:p w14:paraId="51D7B208" w14:textId="35A3040C" w:rsidR="002C3307" w:rsidRPr="003356D3" w:rsidRDefault="002C3307" w:rsidP="002C3307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Média</w:t>
            </w:r>
          </w:p>
        </w:tc>
        <w:tc>
          <w:tcPr>
            <w:tcW w:w="2835" w:type="dxa"/>
            <w:vMerge w:val="restart"/>
            <w:vAlign w:val="center"/>
          </w:tcPr>
          <w:p w14:paraId="3D100BFA" w14:textId="77777777" w:rsidR="002C3307" w:rsidRDefault="002C3307" w:rsidP="002C3307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B90347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Mantido parcialmente. As referências às licenças foram uniformizadas, mas ainda há indefinição sobre as obras.</w:t>
            </w:r>
          </w:p>
          <w:p w14:paraId="74272B00" w14:textId="77777777" w:rsidR="002C3307" w:rsidRDefault="002C3307" w:rsidP="002C3307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5AD5D132" w14:textId="5BF5AEC4" w:rsidR="002C3307" w:rsidRPr="002C3307" w:rsidRDefault="002C3307" w:rsidP="002C3307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2C3307">
              <w:rPr>
                <w:rFonts w:ascii="Times New Roman" w:hAnsi="Times New Roman"/>
                <w:sz w:val="22"/>
                <w:szCs w:val="22"/>
              </w:rPr>
              <w:t>Redação praticamente inalterada.</w:t>
            </w:r>
          </w:p>
        </w:tc>
      </w:tr>
      <w:tr w:rsidR="002C3307" w:rsidRPr="001B2E2C" w14:paraId="3B379EA8" w14:textId="77777777" w:rsidTr="002C3307">
        <w:trPr>
          <w:trHeight w:val="1642"/>
        </w:trPr>
        <w:tc>
          <w:tcPr>
            <w:tcW w:w="638" w:type="dxa"/>
            <w:vMerge/>
            <w:vAlign w:val="center"/>
          </w:tcPr>
          <w:p w14:paraId="4455104A" w14:textId="77777777" w:rsidR="002C3307" w:rsidRPr="00852854" w:rsidRDefault="002C3307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0E5EBACE" w14:textId="267C8187" w:rsidR="002C3307" w:rsidRPr="00145A84" w:rsidRDefault="002C3307" w:rsidP="002C330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Cláusula 14.9 – Anexo 5 (Minuta do Contrato).</w:t>
            </w:r>
          </w:p>
        </w:tc>
        <w:tc>
          <w:tcPr>
            <w:tcW w:w="5398" w:type="dxa"/>
            <w:vMerge/>
            <w:vAlign w:val="center"/>
          </w:tcPr>
          <w:p w14:paraId="63313518" w14:textId="77777777" w:rsidR="002C3307" w:rsidRPr="002B5B9D" w:rsidRDefault="002C3307" w:rsidP="002C3307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71CEC5C3" w14:textId="77777777" w:rsidR="002C3307" w:rsidRDefault="002C3307" w:rsidP="002C3307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2485C732" w14:textId="77777777" w:rsidR="002C3307" w:rsidRPr="00B90347" w:rsidRDefault="002C3307" w:rsidP="002C3307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AD6936" w:rsidRPr="001B2E2C" w14:paraId="0D0A1615" w14:textId="77777777" w:rsidTr="00AD6936">
        <w:trPr>
          <w:trHeight w:val="1140"/>
        </w:trPr>
        <w:tc>
          <w:tcPr>
            <w:tcW w:w="638" w:type="dxa"/>
            <w:vMerge w:val="restart"/>
            <w:vAlign w:val="center"/>
          </w:tcPr>
          <w:p w14:paraId="37FA8E14" w14:textId="4F84B632" w:rsidR="00AD6936" w:rsidRPr="00AD53B9" w:rsidRDefault="00AD6936" w:rsidP="001E3288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852854">
              <w:rPr>
                <w:rFonts w:ascii="Times New Roman" w:hAnsi="Times New Roman"/>
                <w:sz w:val="22"/>
                <w:szCs w:val="22"/>
              </w:rPr>
              <w:t>13</w:t>
            </w:r>
          </w:p>
        </w:tc>
        <w:tc>
          <w:tcPr>
            <w:tcW w:w="2128" w:type="dxa"/>
            <w:vAlign w:val="center"/>
          </w:tcPr>
          <w:p w14:paraId="222978EC" w14:textId="4CA566FF" w:rsidR="00AD6936" w:rsidRPr="00A94BC5" w:rsidRDefault="00AD6936" w:rsidP="00AD69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Plano de Negócios Referencial - </w:t>
            </w:r>
            <w:r w:rsidRPr="00A94BC5">
              <w:rPr>
                <w:rFonts w:ascii="Times New Roman" w:hAnsi="Times New Roman"/>
                <w:sz w:val="22"/>
                <w:szCs w:val="22"/>
              </w:rPr>
              <w:t>Projeção de Receitas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e Custos Operacionais </w:t>
            </w:r>
          </w:p>
        </w:tc>
        <w:tc>
          <w:tcPr>
            <w:tcW w:w="5398" w:type="dxa"/>
            <w:vMerge w:val="restart"/>
            <w:vAlign w:val="center"/>
          </w:tcPr>
          <w:p w14:paraId="42688B4D" w14:textId="5C4F72ED" w:rsidR="00AD6936" w:rsidRPr="0019665D" w:rsidRDefault="00AD6936" w:rsidP="00AD69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9665D">
              <w:rPr>
                <w:rFonts w:ascii="Times New Roman" w:hAnsi="Times New Roman"/>
                <w:sz w:val="22"/>
                <w:szCs w:val="22"/>
              </w:rPr>
              <w:t>Há diversas informações divergentes nas premissas adotadas no Plano de Negócios Referencial (Anexo 15): (i) valores idênticos das projeções de resíduos de grandes geradores e resíduos públicos, (</w:t>
            </w:r>
            <w:proofErr w:type="spellStart"/>
            <w:r w:rsidRPr="0019665D">
              <w:rPr>
                <w:rFonts w:ascii="Times New Roman" w:hAnsi="Times New Roman"/>
                <w:sz w:val="22"/>
                <w:szCs w:val="22"/>
              </w:rPr>
              <w:t>ii</w:t>
            </w:r>
            <w:proofErr w:type="spellEnd"/>
            <w:r w:rsidRPr="0019665D">
              <w:rPr>
                <w:rFonts w:ascii="Times New Roman" w:hAnsi="Times New Roman"/>
                <w:sz w:val="22"/>
                <w:szCs w:val="22"/>
              </w:rPr>
              <w:t>) discrepância na projeção de custos e despesas operacionais, (</w:t>
            </w:r>
            <w:proofErr w:type="spellStart"/>
            <w:r w:rsidRPr="0019665D">
              <w:rPr>
                <w:rFonts w:ascii="Times New Roman" w:hAnsi="Times New Roman"/>
                <w:sz w:val="22"/>
                <w:szCs w:val="22"/>
              </w:rPr>
              <w:t>iii</w:t>
            </w:r>
            <w:proofErr w:type="spellEnd"/>
            <w:r w:rsidRPr="0019665D">
              <w:rPr>
                <w:rFonts w:ascii="Times New Roman" w:hAnsi="Times New Roman"/>
                <w:sz w:val="22"/>
                <w:szCs w:val="22"/>
              </w:rPr>
              <w:t xml:space="preserve">) cronologia da </w:t>
            </w:r>
            <w:r w:rsidRPr="0019665D">
              <w:rPr>
                <w:rFonts w:ascii="Times New Roman" w:hAnsi="Times New Roman"/>
                <w:sz w:val="22"/>
                <w:szCs w:val="22"/>
              </w:rPr>
              <w:lastRenderedPageBreak/>
              <w:t>implantação de contêineres;(</w:t>
            </w:r>
            <w:proofErr w:type="spellStart"/>
            <w:r w:rsidRPr="0019665D">
              <w:rPr>
                <w:rFonts w:ascii="Times New Roman" w:hAnsi="Times New Roman"/>
                <w:sz w:val="22"/>
                <w:szCs w:val="22"/>
              </w:rPr>
              <w:t>iv</w:t>
            </w:r>
            <w:proofErr w:type="spellEnd"/>
            <w:r w:rsidRPr="0019665D">
              <w:rPr>
                <w:rFonts w:ascii="Times New Roman" w:hAnsi="Times New Roman"/>
                <w:sz w:val="22"/>
                <w:szCs w:val="22"/>
              </w:rPr>
              <w:t>) projeção de investimentos por categoria, entre outros.</w:t>
            </w:r>
          </w:p>
          <w:p w14:paraId="2C10BF8A" w14:textId="6AD3FB2E" w:rsidR="00AD6936" w:rsidRPr="00321ED9" w:rsidRDefault="00AD6936" w:rsidP="00AD69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9665D">
              <w:rPr>
                <w:rFonts w:ascii="Times New Roman" w:hAnsi="Times New Roman"/>
                <w:sz w:val="22"/>
                <w:szCs w:val="22"/>
              </w:rPr>
              <w:t>Tais inconsistências tem repercussão sobre a formulação das propostas a adequada avaliação do projeto.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037" w:type="dxa"/>
            <w:vMerge w:val="restart"/>
            <w:vAlign w:val="center"/>
          </w:tcPr>
          <w:p w14:paraId="1990E7C1" w14:textId="49DEFFE6" w:rsidR="00AD6936" w:rsidRPr="003356D3" w:rsidRDefault="00AD6936" w:rsidP="00AD6936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Média</w:t>
            </w:r>
          </w:p>
        </w:tc>
        <w:tc>
          <w:tcPr>
            <w:tcW w:w="2835" w:type="dxa"/>
            <w:vMerge w:val="restart"/>
            <w:vAlign w:val="center"/>
          </w:tcPr>
          <w:p w14:paraId="671789B0" w14:textId="0442456A" w:rsidR="00AD6936" w:rsidRPr="00AD53B9" w:rsidRDefault="00AD6936" w:rsidP="00AD6936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D843FA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Solví</w:t>
            </w:r>
            <w:proofErr w:type="spellEnd"/>
            <w:r w:rsidRPr="00D843FA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, poderia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m</w:t>
            </w:r>
            <w:r w:rsidRPr="00D843FA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 confirmar se tais inconsistências persistem? Foram realizadas alterações nesse anexo, mas 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pela</w:t>
            </w:r>
            <w:r w:rsidRPr="00D843FA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 natureza </w:t>
            </w:r>
            <w:r w:rsidRPr="00D843FA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lastRenderedPageBreak/>
              <w:t>técnica/financeira, não conseguimos avaliar se as inconsistências foram solucionadas.</w:t>
            </w:r>
          </w:p>
        </w:tc>
      </w:tr>
      <w:tr w:rsidR="00AD6936" w:rsidRPr="001B2E2C" w14:paraId="419A157C" w14:textId="77777777" w:rsidTr="00AD6936">
        <w:trPr>
          <w:trHeight w:val="1140"/>
        </w:trPr>
        <w:tc>
          <w:tcPr>
            <w:tcW w:w="638" w:type="dxa"/>
            <w:vMerge/>
            <w:vAlign w:val="center"/>
          </w:tcPr>
          <w:p w14:paraId="2440EE69" w14:textId="77777777" w:rsidR="00AD6936" w:rsidRPr="00852854" w:rsidRDefault="00AD6936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6A070517" w14:textId="3AF3511C" w:rsidR="00AD6936" w:rsidRDefault="00AD6936" w:rsidP="00AD69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Anexo 15 (Plano de Negócios Referencial)</w:t>
            </w:r>
          </w:p>
        </w:tc>
        <w:tc>
          <w:tcPr>
            <w:tcW w:w="5398" w:type="dxa"/>
            <w:vMerge/>
            <w:vAlign w:val="center"/>
          </w:tcPr>
          <w:p w14:paraId="2A5B201E" w14:textId="77777777" w:rsidR="00AD6936" w:rsidRPr="0019665D" w:rsidRDefault="00AD6936" w:rsidP="00AD69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04EBF3CC" w14:textId="77777777" w:rsidR="00AD6936" w:rsidRDefault="00AD6936" w:rsidP="00AD6936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6AF484DD" w14:textId="77777777" w:rsidR="00AD6936" w:rsidRPr="00D843FA" w:rsidRDefault="00AD6936" w:rsidP="00AD693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</w:tc>
      </w:tr>
      <w:tr w:rsidR="00991745" w:rsidRPr="001B2E2C" w14:paraId="086709B8" w14:textId="77777777" w:rsidTr="00991745">
        <w:trPr>
          <w:trHeight w:val="1013"/>
        </w:trPr>
        <w:tc>
          <w:tcPr>
            <w:tcW w:w="638" w:type="dxa"/>
            <w:vMerge w:val="restart"/>
            <w:vAlign w:val="center"/>
          </w:tcPr>
          <w:p w14:paraId="56FDE1BE" w14:textId="2973BD26" w:rsidR="00991745" w:rsidRPr="00AD53B9" w:rsidRDefault="00991745" w:rsidP="001E3288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852854">
              <w:rPr>
                <w:rFonts w:ascii="Times New Roman" w:hAnsi="Times New Roman"/>
                <w:sz w:val="22"/>
                <w:szCs w:val="22"/>
              </w:rPr>
              <w:t>14</w:t>
            </w:r>
          </w:p>
        </w:tc>
        <w:tc>
          <w:tcPr>
            <w:tcW w:w="2128" w:type="dxa"/>
            <w:vAlign w:val="center"/>
          </w:tcPr>
          <w:p w14:paraId="64CA261D" w14:textId="6FA64438" w:rsidR="00991745" w:rsidRPr="00AD53B9" w:rsidRDefault="00991745" w:rsidP="00AD6936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6E39EE">
              <w:rPr>
                <w:rFonts w:ascii="Times New Roman" w:hAnsi="Times New Roman"/>
                <w:sz w:val="22"/>
                <w:szCs w:val="22"/>
              </w:rPr>
              <w:t>Alocação de Riscos</w:t>
            </w:r>
          </w:p>
        </w:tc>
        <w:tc>
          <w:tcPr>
            <w:tcW w:w="5398" w:type="dxa"/>
            <w:vMerge w:val="restart"/>
            <w:vAlign w:val="center"/>
          </w:tcPr>
          <w:p w14:paraId="3A251C8C" w14:textId="4EA71EEE" w:rsidR="00991745" w:rsidRPr="006222C5" w:rsidRDefault="00991745" w:rsidP="00AD6936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6222C5">
              <w:rPr>
                <w:rFonts w:ascii="Times New Roman" w:hAnsi="Times New Roman"/>
                <w:sz w:val="22"/>
                <w:szCs w:val="22"/>
              </w:rPr>
              <w:t>O Contrato de Concessão prevê qu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e a “edição ou modificações de normas da entidade reguladora sobre as condições da prestação de serviços ou sobre requisitos para que a prestação de serviços” não ensejará reequilíbrio econômico-financeiro (cláusula 5.5). Contudo, tal previsão </w:t>
            </w:r>
            <w:r w:rsidRPr="004E56EE">
              <w:rPr>
                <w:rFonts w:ascii="Times New Roman" w:hAnsi="Times New Roman"/>
                <w:sz w:val="22"/>
                <w:szCs w:val="22"/>
              </w:rPr>
              <w:t>está em clara contradição com as regras e reequilíbrio por fato do príncipe e fato da administração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e Norma de Referência nº 5 da ANA.</w:t>
            </w:r>
          </w:p>
        </w:tc>
        <w:tc>
          <w:tcPr>
            <w:tcW w:w="2037" w:type="dxa"/>
            <w:vMerge w:val="restart"/>
            <w:vAlign w:val="center"/>
          </w:tcPr>
          <w:p w14:paraId="3CC503EC" w14:textId="0B0BF599" w:rsidR="00991745" w:rsidRPr="003356D3" w:rsidRDefault="00991745" w:rsidP="00AD6936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Alta</w:t>
            </w:r>
          </w:p>
        </w:tc>
        <w:tc>
          <w:tcPr>
            <w:tcW w:w="2835" w:type="dxa"/>
            <w:vMerge w:val="restart"/>
            <w:vAlign w:val="center"/>
          </w:tcPr>
          <w:p w14:paraId="121870B1" w14:textId="77777777" w:rsidR="00991745" w:rsidRDefault="00991745" w:rsidP="00AD693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7C2FC5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 necessidade de impugnação.</w:t>
            </w:r>
          </w:p>
          <w:p w14:paraId="19D49392" w14:textId="77777777" w:rsidR="00991745" w:rsidRDefault="00991745" w:rsidP="00AD693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6D343F23" w14:textId="526F595C" w:rsidR="00991745" w:rsidRPr="00991745" w:rsidRDefault="00991745" w:rsidP="00AD6936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991745">
              <w:rPr>
                <w:rFonts w:ascii="Times New Roman" w:hAnsi="Times New Roman"/>
                <w:sz w:val="22"/>
                <w:szCs w:val="22"/>
              </w:rPr>
              <w:t>Redação inalterada.</w:t>
            </w:r>
            <w:r w:rsidRPr="00991745">
              <w:rPr>
                <w:rFonts w:ascii="Times New Roman" w:hAnsi="Times New Roman"/>
                <w:color w:val="FF0000"/>
                <w:sz w:val="22"/>
                <w:szCs w:val="22"/>
                <w:highlight w:val="yellow"/>
              </w:rPr>
              <w:t xml:space="preserve"> </w:t>
            </w:r>
          </w:p>
        </w:tc>
      </w:tr>
      <w:tr w:rsidR="00991745" w:rsidRPr="001B2E2C" w14:paraId="7BB2F70A" w14:textId="77777777" w:rsidTr="00991745">
        <w:trPr>
          <w:trHeight w:val="1012"/>
        </w:trPr>
        <w:tc>
          <w:tcPr>
            <w:tcW w:w="638" w:type="dxa"/>
            <w:vMerge/>
            <w:vAlign w:val="center"/>
          </w:tcPr>
          <w:p w14:paraId="42CC42AA" w14:textId="77777777" w:rsidR="00991745" w:rsidRPr="00852854" w:rsidRDefault="00991745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31265637" w14:textId="599DC407" w:rsidR="00991745" w:rsidRPr="006E39EE" w:rsidRDefault="00991745" w:rsidP="00AD69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Cláusula 5.5 – Anexo 5 (Minuta do Contrato)</w:t>
            </w:r>
          </w:p>
        </w:tc>
        <w:tc>
          <w:tcPr>
            <w:tcW w:w="5398" w:type="dxa"/>
            <w:vMerge/>
            <w:vAlign w:val="center"/>
          </w:tcPr>
          <w:p w14:paraId="26C64962" w14:textId="77777777" w:rsidR="00991745" w:rsidRPr="006222C5" w:rsidRDefault="00991745" w:rsidP="00AD693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1FFA006E" w14:textId="77777777" w:rsidR="00991745" w:rsidRDefault="00991745" w:rsidP="00AD6936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54EF4EE8" w14:textId="77777777" w:rsidR="00991745" w:rsidRPr="007C2FC5" w:rsidRDefault="00991745" w:rsidP="00AD693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991745" w:rsidRPr="001B2E2C" w14:paraId="67F576B5" w14:textId="77777777" w:rsidTr="00991745">
        <w:trPr>
          <w:trHeight w:val="2655"/>
        </w:trPr>
        <w:tc>
          <w:tcPr>
            <w:tcW w:w="638" w:type="dxa"/>
            <w:vMerge w:val="restart"/>
            <w:vAlign w:val="center"/>
          </w:tcPr>
          <w:p w14:paraId="73EC8FD0" w14:textId="32541678" w:rsidR="00991745" w:rsidRPr="00AD53B9" w:rsidRDefault="00991745" w:rsidP="001E3288">
            <w:pPr>
              <w:jc w:val="center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852854"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  <w:tc>
          <w:tcPr>
            <w:tcW w:w="2128" w:type="dxa"/>
            <w:vAlign w:val="center"/>
          </w:tcPr>
          <w:p w14:paraId="555612B3" w14:textId="6151AB58" w:rsidR="00991745" w:rsidRPr="00AD53B9" w:rsidRDefault="00991745" w:rsidP="00991745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F07CF4">
              <w:rPr>
                <w:rFonts w:ascii="Times New Roman" w:hAnsi="Times New Roman"/>
                <w:sz w:val="22"/>
                <w:szCs w:val="22"/>
              </w:rPr>
              <w:t>Falta de clareza na divisão de competências entre Agência reguladora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F07CF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Poder Concedente e Verificador Independente</w:t>
            </w:r>
          </w:p>
        </w:tc>
        <w:tc>
          <w:tcPr>
            <w:tcW w:w="5398" w:type="dxa"/>
            <w:vMerge w:val="restart"/>
            <w:vAlign w:val="center"/>
          </w:tcPr>
          <w:p w14:paraId="1C4F1842" w14:textId="2AF836C7" w:rsidR="00991745" w:rsidRDefault="00991745" w:rsidP="0099174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9479E1">
              <w:rPr>
                <w:rFonts w:ascii="Times New Roman" w:hAnsi="Times New Roman"/>
                <w:sz w:val="22"/>
                <w:szCs w:val="22"/>
              </w:rPr>
              <w:t xml:space="preserve">O Contrato de Concessão estabelece a competência para fiscalização </w:t>
            </w:r>
            <w:r>
              <w:rPr>
                <w:rFonts w:ascii="Times New Roman" w:hAnsi="Times New Roman"/>
                <w:sz w:val="22"/>
                <w:szCs w:val="22"/>
              </w:rPr>
              <w:t>da concessão ao Poder Concedente de forma complementar à atuação da agência reguladora. Contudo, não há definição clara da esfera de atuação de cada parte. Por exemplo, o Termo de Referência dispõe que incumbe ao Poder Concedente processar e decidir sobre os pedidos de reajuste e revisão tarifária ordinária ou extraordinária (item 8.2.2), enquanto o a cláusula 26.2 do Contrato de Concessão dispõe que essa competência é da agência reguladora.</w:t>
            </w:r>
          </w:p>
          <w:p w14:paraId="62184BD8" w14:textId="15621175" w:rsidR="00991745" w:rsidRPr="009479E1" w:rsidRDefault="00991745" w:rsidP="00991745">
            <w:pPr>
              <w:jc w:val="both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proofErr w:type="gramStart"/>
            <w:r w:rsidRPr="004B5453">
              <w:rPr>
                <w:rFonts w:ascii="Times New Roman" w:hAnsi="Times New Roman"/>
                <w:sz w:val="22"/>
                <w:szCs w:val="22"/>
              </w:rPr>
              <w:t>O mesmo</w:t>
            </w:r>
            <w:proofErr w:type="gramEnd"/>
            <w:r w:rsidRPr="004B5453">
              <w:rPr>
                <w:rFonts w:ascii="Times New Roman" w:hAnsi="Times New Roman"/>
                <w:sz w:val="22"/>
                <w:szCs w:val="22"/>
              </w:rPr>
              <w:t xml:space="preserve"> se repete em relação a competências atribuídas ao Verificador Independente</w:t>
            </w:r>
            <w:r>
              <w:rPr>
                <w:rFonts w:ascii="Times New Roman" w:hAnsi="Times New Roman"/>
                <w:sz w:val="22"/>
                <w:szCs w:val="22"/>
              </w:rPr>
              <w:t>. Por exemplo, a cláusula 22.3.6 do Contrato de Concessão prevê que o Fator Q será calculado pelo Poder Concedente, enquanto a cláusula imediatamente seguinte, 22.3.7, atribui ao Verificador Independente. Já a cláusula 22.3.8.2 atribui tal competência à agência reguladora, a partir do relatório encaminhado pelo verificador independente. Ou seja, competências indefinidas sobre aspectos essenciais da remuneração e fiscalização contratual, em prejuízo à segurança jurídica da concessão.</w:t>
            </w:r>
          </w:p>
        </w:tc>
        <w:tc>
          <w:tcPr>
            <w:tcW w:w="2037" w:type="dxa"/>
            <w:vMerge w:val="restart"/>
            <w:vAlign w:val="center"/>
          </w:tcPr>
          <w:p w14:paraId="5922901C" w14:textId="0A679F6E" w:rsidR="00991745" w:rsidRPr="003356D3" w:rsidRDefault="00991745" w:rsidP="00991745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Média</w:t>
            </w:r>
          </w:p>
        </w:tc>
        <w:tc>
          <w:tcPr>
            <w:tcW w:w="2835" w:type="dxa"/>
            <w:vMerge w:val="restart"/>
            <w:vAlign w:val="center"/>
          </w:tcPr>
          <w:p w14:paraId="1CAB4E66" w14:textId="77777777" w:rsidR="00991745" w:rsidRDefault="00991745" w:rsidP="00991745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  <w:r w:rsidRPr="00C92221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Mantido parcialmente. Alguns itens foram ajustados, mas outros persistem, principalmente competência para análise de pleito de reequilíbrio.</w:t>
            </w:r>
          </w:p>
          <w:p w14:paraId="4BAF9BB6" w14:textId="77777777" w:rsidR="00991745" w:rsidRDefault="00991745" w:rsidP="00991745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0F04771C" w14:textId="016D1CE0" w:rsidR="00CB7646" w:rsidRDefault="00991745" w:rsidP="00CB764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O item </w:t>
            </w:r>
            <w:r w:rsidR="00CB764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8.2.2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 do Termo de Referência afirma que a competência </w:t>
            </w:r>
            <w:r w:rsidR="00CB7646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para processar e decidir sobre os pedidos de reajuste e revisão tarifária será do Poder Concedente.</w:t>
            </w:r>
          </w:p>
          <w:p w14:paraId="6AAD1E62" w14:textId="68FCC071" w:rsidR="00CB7646" w:rsidRDefault="00CB7646" w:rsidP="00CB764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Já a cláusula 26.2 da Minuta do Contrato afirma que a revisão </w:t>
            </w:r>
            <w:r w:rsidR="00C904D9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extraordinária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 será da entidade reguladora.</w:t>
            </w:r>
          </w:p>
          <w:p w14:paraId="60817B66" w14:textId="77777777" w:rsidR="00CB7646" w:rsidRDefault="00CB7646" w:rsidP="00CB764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  <w:p w14:paraId="1DFF5891" w14:textId="73372E88" w:rsidR="00CB7646" w:rsidRPr="00C904D9" w:rsidRDefault="00CB7646" w:rsidP="00CB7646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No que se refere às competências atribuídas ao Verificador Independente, houve alteração na redação </w:t>
            </w:r>
            <w:r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lastRenderedPageBreak/>
              <w:t xml:space="preserve">da Minuta do Contrato, Cláusula 22.3.6, retirando a </w:t>
            </w:r>
            <w:r w:rsidR="00C904D9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competência de cálculo do Fator Q do Poder </w:t>
            </w:r>
            <w:r w:rsidR="003B2DCC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>Concedente</w:t>
            </w:r>
            <w:r w:rsidR="00C904D9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  <w:highlight w:val="yellow"/>
              </w:rPr>
              <w:t xml:space="preserve"> e mantendo, na cláusula seguinte (22.6.7 à Entidade Reguladora).</w:t>
            </w:r>
          </w:p>
        </w:tc>
      </w:tr>
      <w:tr w:rsidR="00991745" w:rsidRPr="001B2E2C" w14:paraId="4B005FD2" w14:textId="77777777" w:rsidTr="00991745">
        <w:trPr>
          <w:trHeight w:val="2655"/>
        </w:trPr>
        <w:tc>
          <w:tcPr>
            <w:tcW w:w="638" w:type="dxa"/>
            <w:vMerge/>
            <w:vAlign w:val="center"/>
          </w:tcPr>
          <w:p w14:paraId="497FF2C8" w14:textId="77777777" w:rsidR="00991745" w:rsidRPr="00852854" w:rsidRDefault="00991745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09F55E15" w14:textId="06B0752E" w:rsidR="00991745" w:rsidRDefault="00991745" w:rsidP="0099174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Item </w:t>
            </w:r>
            <w:r w:rsidR="00CB7646">
              <w:rPr>
                <w:rFonts w:ascii="Times New Roman" w:hAnsi="Times New Roman"/>
                <w:sz w:val="22"/>
                <w:szCs w:val="22"/>
              </w:rPr>
              <w:t>8.2.2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– Anexo 1A (Termo de Referência);</w:t>
            </w:r>
          </w:p>
          <w:p w14:paraId="66E42026" w14:textId="77777777" w:rsidR="00991745" w:rsidRDefault="00991745" w:rsidP="0099174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4C91BED1" w14:textId="5385E6B6" w:rsidR="00991745" w:rsidRPr="00F07CF4" w:rsidRDefault="00C904D9" w:rsidP="0099174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Cláusula 26.2 – Anexo 5 (Minuta do Contrato)</w:t>
            </w:r>
          </w:p>
        </w:tc>
        <w:tc>
          <w:tcPr>
            <w:tcW w:w="5398" w:type="dxa"/>
            <w:vMerge/>
            <w:vAlign w:val="center"/>
          </w:tcPr>
          <w:p w14:paraId="0E5241CE" w14:textId="77777777" w:rsidR="00991745" w:rsidRPr="009479E1" w:rsidRDefault="00991745" w:rsidP="0099174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04B32234" w14:textId="77777777" w:rsidR="00991745" w:rsidRDefault="00991745" w:rsidP="00991745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6733D85D" w14:textId="77777777" w:rsidR="00991745" w:rsidRPr="00C92221" w:rsidRDefault="00991745" w:rsidP="00991745">
            <w:pPr>
              <w:jc w:val="both"/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3B2DCC" w:rsidRPr="002B1A8E" w14:paraId="5ACC3887" w14:textId="77777777" w:rsidTr="003B2DCC">
        <w:trPr>
          <w:trHeight w:val="1013"/>
        </w:trPr>
        <w:tc>
          <w:tcPr>
            <w:tcW w:w="638" w:type="dxa"/>
            <w:vMerge w:val="restart"/>
            <w:vAlign w:val="center"/>
          </w:tcPr>
          <w:p w14:paraId="2F52D794" w14:textId="360BF516" w:rsidR="003B2DCC" w:rsidRPr="0097475B" w:rsidRDefault="003B2DCC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  <w:tc>
          <w:tcPr>
            <w:tcW w:w="2128" w:type="dxa"/>
            <w:vAlign w:val="center"/>
          </w:tcPr>
          <w:p w14:paraId="18251100" w14:textId="77777777" w:rsidR="003B2DCC" w:rsidRDefault="003B2DCC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Valor Estimado do Contrato </w:t>
            </w:r>
          </w:p>
        </w:tc>
        <w:tc>
          <w:tcPr>
            <w:tcW w:w="5398" w:type="dxa"/>
            <w:vMerge w:val="restart"/>
            <w:vAlign w:val="center"/>
          </w:tcPr>
          <w:p w14:paraId="6109E45F" w14:textId="15E4AAB2" w:rsidR="003B2DCC" w:rsidRPr="00347036" w:rsidRDefault="003B2DCC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O Edital indica o valor estimado da contratação com base no somatório dos investimentos estimados em R$ 232.059.000,34 </w:t>
            </w:r>
            <w:r w:rsidRPr="00E25561">
              <w:rPr>
                <w:rFonts w:ascii="Times New Roman" w:hAnsi="Times New Roman"/>
                <w:sz w:val="22"/>
                <w:szCs w:val="22"/>
              </w:rPr>
              <w:t>(duzentos e trinta e dois milhões, cinquenta e nove mil e trinta e quatro reais)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, já o valor de investimentos apontado no Estudo Técnico Preliminar é de </w:t>
            </w:r>
            <w:r w:rsidRPr="00166EA6">
              <w:rPr>
                <w:rFonts w:ascii="Times New Roman" w:hAnsi="Times New Roman"/>
                <w:sz w:val="22"/>
                <w:szCs w:val="22"/>
              </w:rPr>
              <w:t>R$ 230.961.738,00 (duzentos e trinta milhões, novecentos e sessenta e um mil, setecentos e trinta e oito reais)</w:t>
            </w:r>
            <w:r>
              <w:rPr>
                <w:rFonts w:ascii="Times New Roman" w:hAnsi="Times New Roman"/>
                <w:sz w:val="22"/>
                <w:szCs w:val="22"/>
              </w:rPr>
              <w:t>, sem indicação de motivo para essa divergência de valores.</w:t>
            </w:r>
          </w:p>
        </w:tc>
        <w:tc>
          <w:tcPr>
            <w:tcW w:w="2037" w:type="dxa"/>
            <w:vMerge w:val="restart"/>
            <w:vAlign w:val="center"/>
          </w:tcPr>
          <w:p w14:paraId="538AF344" w14:textId="7D590E25" w:rsidR="003B2DCC" w:rsidRDefault="003B2DCC" w:rsidP="00682C63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Baixa</w:t>
            </w:r>
          </w:p>
        </w:tc>
        <w:tc>
          <w:tcPr>
            <w:tcW w:w="2835" w:type="dxa"/>
            <w:vMerge w:val="restart"/>
            <w:vAlign w:val="center"/>
          </w:tcPr>
          <w:p w14:paraId="6F5E9744" w14:textId="77777777" w:rsidR="003B2DCC" w:rsidRDefault="003B2DCC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  <w:r w:rsidRPr="000572AF"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  <w:t>Não mantido. Item foi resolvido.</w:t>
            </w:r>
          </w:p>
          <w:p w14:paraId="53BAD22F" w14:textId="77777777" w:rsidR="007641EA" w:rsidRDefault="007641EA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  <w:p w14:paraId="14A360FB" w14:textId="1B9CDB16" w:rsidR="007641EA" w:rsidRPr="002B1A8E" w:rsidRDefault="007641EA" w:rsidP="00682C63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41EA">
              <w:rPr>
                <w:rFonts w:ascii="Times New Roman" w:hAnsi="Times New Roman"/>
                <w:sz w:val="22"/>
                <w:szCs w:val="22"/>
              </w:rPr>
              <w:t>O valor foi mantido em R$ R$232.059.034,00 (duzentos e trinta e dois milhões, cinquenta e nove mil, trinta e quatro reais).</w:t>
            </w:r>
          </w:p>
        </w:tc>
      </w:tr>
      <w:tr w:rsidR="003B2DCC" w:rsidRPr="002B1A8E" w14:paraId="07B99F36" w14:textId="77777777" w:rsidTr="003B2DCC">
        <w:trPr>
          <w:trHeight w:val="1012"/>
        </w:trPr>
        <w:tc>
          <w:tcPr>
            <w:tcW w:w="638" w:type="dxa"/>
            <w:vMerge/>
            <w:vAlign w:val="center"/>
          </w:tcPr>
          <w:p w14:paraId="6D4B0A40" w14:textId="77777777" w:rsidR="003B2DCC" w:rsidRDefault="003B2DCC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6F611ED9" w14:textId="7C54B879" w:rsidR="00AC36BE" w:rsidRDefault="00AC36BE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2.2 do Edital; e</w:t>
            </w:r>
          </w:p>
          <w:p w14:paraId="3567D521" w14:textId="77777777" w:rsidR="00AC36BE" w:rsidRDefault="00AC36BE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72D52CC9" w14:textId="3FF1AC32" w:rsidR="003B2DCC" w:rsidRDefault="007641EA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6.1 – Anexo 1B (</w:t>
            </w:r>
            <w:r w:rsidR="00AC36BE">
              <w:rPr>
                <w:rFonts w:ascii="Times New Roman" w:hAnsi="Times New Roman"/>
                <w:sz w:val="22"/>
                <w:szCs w:val="22"/>
              </w:rPr>
              <w:t>Estudo Técnico Preliminar)</w:t>
            </w:r>
          </w:p>
        </w:tc>
        <w:tc>
          <w:tcPr>
            <w:tcW w:w="5398" w:type="dxa"/>
            <w:vMerge/>
            <w:vAlign w:val="center"/>
          </w:tcPr>
          <w:p w14:paraId="77241ED1" w14:textId="77777777" w:rsidR="003B2DCC" w:rsidRDefault="003B2DCC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3FBF253F" w14:textId="77777777" w:rsidR="003B2DCC" w:rsidRDefault="003B2DCC" w:rsidP="00682C63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2304BC54" w14:textId="77777777" w:rsidR="003B2DCC" w:rsidRPr="000572AF" w:rsidRDefault="003B2DCC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</w:tc>
      </w:tr>
      <w:tr w:rsidR="00682C63" w:rsidRPr="002B1A8E" w14:paraId="0ABD4728" w14:textId="77777777" w:rsidTr="00682C63">
        <w:trPr>
          <w:trHeight w:val="1140"/>
        </w:trPr>
        <w:tc>
          <w:tcPr>
            <w:tcW w:w="638" w:type="dxa"/>
            <w:vMerge w:val="restart"/>
            <w:vAlign w:val="center"/>
          </w:tcPr>
          <w:p w14:paraId="395F2CB2" w14:textId="1B15E5CC" w:rsidR="00682C63" w:rsidRDefault="00682C63" w:rsidP="00682C6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</w:t>
            </w:r>
          </w:p>
        </w:tc>
        <w:tc>
          <w:tcPr>
            <w:tcW w:w="2128" w:type="dxa"/>
            <w:vAlign w:val="center"/>
          </w:tcPr>
          <w:p w14:paraId="13427C10" w14:textId="38EAAE60" w:rsidR="00682C63" w:rsidRDefault="00682C63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Metas Contratuais</w:t>
            </w:r>
          </w:p>
        </w:tc>
        <w:tc>
          <w:tcPr>
            <w:tcW w:w="5398" w:type="dxa"/>
            <w:vMerge w:val="restart"/>
            <w:vAlign w:val="center"/>
          </w:tcPr>
          <w:p w14:paraId="789E2BA7" w14:textId="71231861" w:rsidR="00682C63" w:rsidRDefault="00682C63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Divergência em relação à meta de redução de resíduos via triagem. E</w:t>
            </w:r>
            <w:r w:rsidRPr="00A458BA">
              <w:rPr>
                <w:rFonts w:ascii="Times New Roman" w:hAnsi="Times New Roman"/>
                <w:sz w:val="22"/>
                <w:szCs w:val="22"/>
              </w:rPr>
              <w:t>nquanto o Caderno de Encargos e trechos do Anexo 4B exigem que a implantação e o atingimento dessa meta ocorram no 5º ano da concessão, o Termo de Referência e o item 4.3.4 (Tabela 31) do próprio Anexo 4B determinam que essa redução deve ser iniciada apenas a partir do 7º ano, gerando uma contradição material de dois anos que afeta o cronograma de investimentos exigido das licitantes.</w:t>
            </w:r>
          </w:p>
        </w:tc>
        <w:tc>
          <w:tcPr>
            <w:tcW w:w="2037" w:type="dxa"/>
            <w:vMerge w:val="restart"/>
            <w:vAlign w:val="center"/>
          </w:tcPr>
          <w:p w14:paraId="66FDAE8F" w14:textId="619813BB" w:rsidR="00682C63" w:rsidRDefault="00682C63" w:rsidP="00682C63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Baixa</w:t>
            </w:r>
          </w:p>
        </w:tc>
        <w:tc>
          <w:tcPr>
            <w:tcW w:w="2835" w:type="dxa"/>
            <w:vMerge w:val="restart"/>
            <w:vAlign w:val="center"/>
          </w:tcPr>
          <w:p w14:paraId="48692448" w14:textId="77777777" w:rsidR="00682C63" w:rsidRDefault="00682C63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  <w:r w:rsidRPr="000572AF"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  <w:t>Não mantido. Item foi resolvido.</w:t>
            </w:r>
          </w:p>
          <w:p w14:paraId="4C3636A2" w14:textId="77777777" w:rsidR="003B7570" w:rsidRDefault="003B7570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  <w:p w14:paraId="2D1E9EC2" w14:textId="340B5AE1" w:rsidR="003B7570" w:rsidRPr="003B7570" w:rsidRDefault="003B7570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B7570">
              <w:rPr>
                <w:rFonts w:ascii="Times New Roman" w:hAnsi="Times New Roman"/>
                <w:sz w:val="22"/>
                <w:szCs w:val="22"/>
              </w:rPr>
              <w:t>Unificada a meta para o 7º ano da Concessão</w:t>
            </w:r>
          </w:p>
        </w:tc>
      </w:tr>
      <w:tr w:rsidR="00682C63" w:rsidRPr="002B1A8E" w14:paraId="25DABE8F" w14:textId="77777777" w:rsidTr="00682C63">
        <w:trPr>
          <w:trHeight w:val="1140"/>
        </w:trPr>
        <w:tc>
          <w:tcPr>
            <w:tcW w:w="638" w:type="dxa"/>
            <w:vMerge/>
            <w:vAlign w:val="center"/>
          </w:tcPr>
          <w:p w14:paraId="41F670AF" w14:textId="77777777" w:rsidR="00682C63" w:rsidRDefault="00682C63" w:rsidP="00682C6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34763E4F" w14:textId="55D57409" w:rsidR="00682C63" w:rsidRDefault="003B7570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4.3.4, “c” – Anexo 4 (Caderno de Encargos);</w:t>
            </w:r>
          </w:p>
          <w:p w14:paraId="5CE451A6" w14:textId="77777777" w:rsidR="003B7570" w:rsidRDefault="003B7570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39120A4" w14:textId="77777777" w:rsidR="003B7570" w:rsidRDefault="003B7570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4.3.4 – Anexo 4B (Diretrizes para avaliação da metodologia de execução e critério de pontuação); e</w:t>
            </w:r>
          </w:p>
          <w:p w14:paraId="738A60AD" w14:textId="77777777" w:rsidR="003B7570" w:rsidRDefault="003B7570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264DB614" w14:textId="5E5EB08B" w:rsidR="003B7570" w:rsidRDefault="003B7570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Item 6.5 – Anexo 1A (Termo de Referência)</w:t>
            </w:r>
          </w:p>
        </w:tc>
        <w:tc>
          <w:tcPr>
            <w:tcW w:w="5398" w:type="dxa"/>
            <w:vMerge/>
            <w:vAlign w:val="center"/>
          </w:tcPr>
          <w:p w14:paraId="0E4EE234" w14:textId="77777777" w:rsidR="00682C63" w:rsidRDefault="00682C63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03489C91" w14:textId="77777777" w:rsidR="00682C63" w:rsidRDefault="00682C63" w:rsidP="00682C63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13AB1895" w14:textId="77777777" w:rsidR="00682C63" w:rsidRPr="000572AF" w:rsidRDefault="00682C63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</w:tc>
      </w:tr>
      <w:tr w:rsidR="00C90802" w:rsidRPr="002B1A8E" w14:paraId="271E4EB8" w14:textId="77777777" w:rsidTr="00C90802">
        <w:trPr>
          <w:trHeight w:val="1140"/>
        </w:trPr>
        <w:tc>
          <w:tcPr>
            <w:tcW w:w="638" w:type="dxa"/>
            <w:vMerge w:val="restart"/>
            <w:vAlign w:val="center"/>
          </w:tcPr>
          <w:p w14:paraId="3D6E221E" w14:textId="2FABA68B" w:rsidR="00C90802" w:rsidRDefault="00C90802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18</w:t>
            </w:r>
          </w:p>
        </w:tc>
        <w:tc>
          <w:tcPr>
            <w:tcW w:w="2128" w:type="dxa"/>
            <w:vAlign w:val="center"/>
          </w:tcPr>
          <w:p w14:paraId="451FBE0D" w14:textId="788FA787" w:rsidR="00C90802" w:rsidRDefault="00C90802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Investimentos em equipamentos</w:t>
            </w:r>
          </w:p>
        </w:tc>
        <w:tc>
          <w:tcPr>
            <w:tcW w:w="5398" w:type="dxa"/>
            <w:vMerge w:val="restart"/>
            <w:vAlign w:val="center"/>
          </w:tcPr>
          <w:p w14:paraId="6DCADACD" w14:textId="2AD1723A" w:rsidR="00C90802" w:rsidRDefault="00C90802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</w:t>
            </w:r>
            <w:r w:rsidRPr="007F5EEF">
              <w:rPr>
                <w:rFonts w:ascii="Times New Roman" w:hAnsi="Times New Roman"/>
                <w:sz w:val="22"/>
                <w:szCs w:val="22"/>
              </w:rPr>
              <w:t>ivergência sobre a idade da frota de maquinário pesado</w:t>
            </w:r>
            <w:r>
              <w:rPr>
                <w:rFonts w:ascii="Times New Roman" w:hAnsi="Times New Roman"/>
                <w:sz w:val="22"/>
                <w:szCs w:val="22"/>
              </w:rPr>
              <w:t>. o</w:t>
            </w:r>
            <w:r w:rsidRPr="007F5EEF">
              <w:rPr>
                <w:rFonts w:ascii="Times New Roman" w:hAnsi="Times New Roman"/>
                <w:sz w:val="22"/>
                <w:szCs w:val="22"/>
              </w:rPr>
              <w:t xml:space="preserve"> Termo de Referência estabelece que os equipamentos da linha amarela podem ter até 10 anos de idade (com exceção apenas dos tratores de esteira, limitados a 5 anos), enquanto o Caderno de Encargos diz o oposto, exigindo obrigatoriamente que toda a frota de equipamentos pesados da linha amarela tenha, no máximo, 5 anos de fabricação ao longo de todo o contrato.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Outra contradição que afeta a adequada precificação da proposta comercial das licitantes</w:t>
            </w:r>
          </w:p>
        </w:tc>
        <w:tc>
          <w:tcPr>
            <w:tcW w:w="2037" w:type="dxa"/>
            <w:vMerge w:val="restart"/>
            <w:vAlign w:val="center"/>
          </w:tcPr>
          <w:p w14:paraId="1A38E1C3" w14:textId="206B4A7F" w:rsidR="00C90802" w:rsidRDefault="00C90802" w:rsidP="00682C63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Baixa</w:t>
            </w:r>
          </w:p>
        </w:tc>
        <w:tc>
          <w:tcPr>
            <w:tcW w:w="2835" w:type="dxa"/>
            <w:vMerge w:val="restart"/>
            <w:vAlign w:val="center"/>
          </w:tcPr>
          <w:p w14:paraId="21C66F02" w14:textId="77777777" w:rsidR="00C90802" w:rsidRDefault="00C90802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  <w:r w:rsidRPr="000572AF"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  <w:t>Não mantido. Item foi resolvido.</w:t>
            </w:r>
          </w:p>
          <w:p w14:paraId="333E8B9C" w14:textId="77777777" w:rsidR="00C90802" w:rsidRDefault="00C90802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  <w:p w14:paraId="1339AFEA" w14:textId="440ABC9B" w:rsidR="00C90802" w:rsidRDefault="00C90802" w:rsidP="00682C63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3B7570">
              <w:rPr>
                <w:rFonts w:ascii="Times New Roman" w:hAnsi="Times New Roman"/>
                <w:sz w:val="22"/>
                <w:szCs w:val="22"/>
              </w:rPr>
              <w:t xml:space="preserve">Unificada a </w:t>
            </w:r>
            <w:r>
              <w:rPr>
                <w:rFonts w:ascii="Times New Roman" w:hAnsi="Times New Roman"/>
                <w:sz w:val="22"/>
                <w:szCs w:val="22"/>
              </w:rPr>
              <w:t>idade média para 5 (cinco) anos para as frotas de maquinário.</w:t>
            </w:r>
          </w:p>
        </w:tc>
      </w:tr>
      <w:tr w:rsidR="00C90802" w:rsidRPr="002B1A8E" w14:paraId="061F53B0" w14:textId="77777777" w:rsidTr="00C90802">
        <w:trPr>
          <w:trHeight w:val="1140"/>
        </w:trPr>
        <w:tc>
          <w:tcPr>
            <w:tcW w:w="638" w:type="dxa"/>
            <w:vMerge/>
            <w:vAlign w:val="center"/>
          </w:tcPr>
          <w:p w14:paraId="361EF4E3" w14:textId="77777777" w:rsidR="00C90802" w:rsidRDefault="00C90802" w:rsidP="001E328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8" w:type="dxa"/>
            <w:vAlign w:val="center"/>
          </w:tcPr>
          <w:p w14:paraId="69443630" w14:textId="77777777" w:rsidR="00C90802" w:rsidRDefault="00C90802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6.2.3 – Anexo 1A (Termo de Referência); e</w:t>
            </w:r>
          </w:p>
          <w:p w14:paraId="3BBAC8EF" w14:textId="77777777" w:rsidR="00C90802" w:rsidRDefault="00C90802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CA587D9" w14:textId="7C526971" w:rsidR="00C90802" w:rsidRDefault="00C90802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Item 4.2.7, “f” – Anexo 4 (Caderno de Encargos)</w:t>
            </w:r>
          </w:p>
        </w:tc>
        <w:tc>
          <w:tcPr>
            <w:tcW w:w="5398" w:type="dxa"/>
            <w:vMerge/>
            <w:vAlign w:val="center"/>
          </w:tcPr>
          <w:p w14:paraId="55597270" w14:textId="77777777" w:rsidR="00C90802" w:rsidRDefault="00C90802" w:rsidP="00682C6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37" w:type="dxa"/>
            <w:vMerge/>
            <w:vAlign w:val="center"/>
          </w:tcPr>
          <w:p w14:paraId="63880E06" w14:textId="77777777" w:rsidR="00C90802" w:rsidRDefault="00C90802" w:rsidP="00682C63">
            <w:pPr>
              <w:pStyle w:val="PargrafodaLista"/>
              <w:numPr>
                <w:ilvl w:val="0"/>
                <w:numId w:val="21"/>
              </w:numPr>
              <w:ind w:left="31" w:firstLine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835" w:type="dxa"/>
            <w:vMerge/>
            <w:vAlign w:val="center"/>
          </w:tcPr>
          <w:p w14:paraId="758EE620" w14:textId="77777777" w:rsidR="00C90802" w:rsidRPr="000572AF" w:rsidRDefault="00C90802" w:rsidP="00682C63">
            <w:pPr>
              <w:jc w:val="both"/>
              <w:rPr>
                <w:rFonts w:ascii="Times New Roman" w:hAnsi="Times New Roman"/>
                <w:b/>
                <w:bCs/>
                <w:color w:val="156082" w:themeColor="accent1"/>
                <w:sz w:val="22"/>
                <w:szCs w:val="22"/>
              </w:rPr>
            </w:pPr>
          </w:p>
        </w:tc>
      </w:tr>
    </w:tbl>
    <w:p w14:paraId="1A8F0845" w14:textId="77777777" w:rsidR="00331D40" w:rsidRDefault="00331D40" w:rsidP="009E4DE0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sectPr w:rsidR="00331D40" w:rsidSect="00E22CC0">
      <w:headerReference w:type="default" r:id="rId10"/>
      <w:footerReference w:type="default" r:id="rId11"/>
      <w:headerReference w:type="first" r:id="rId12"/>
      <w:footerReference w:type="first" r:id="rId13"/>
      <w:pgSz w:w="16840" w:h="11907" w:orient="landscape" w:code="9"/>
      <w:pgMar w:top="1701" w:right="397" w:bottom="851" w:left="851" w:header="720" w:footer="4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B8E2A" w14:textId="77777777" w:rsidR="00931B2A" w:rsidRDefault="00931B2A">
      <w:r>
        <w:separator/>
      </w:r>
    </w:p>
  </w:endnote>
  <w:endnote w:type="continuationSeparator" w:id="0">
    <w:p w14:paraId="4CBA7C98" w14:textId="77777777" w:rsidR="00931B2A" w:rsidRDefault="00931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utiger 45 Light">
    <w:altName w:val="Courier New"/>
    <w:charset w:val="00"/>
    <w:family w:val="auto"/>
    <w:pitch w:val="variable"/>
    <w:sig w:usb0="03000003" w:usb1="00000000" w:usb2="00000000" w:usb3="00000000" w:csb0="00000001" w:csb1="00000000"/>
  </w:font>
  <w:font w:name="Carlet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6B9DE" w14:textId="77777777" w:rsidR="004E2AF7" w:rsidRPr="00747094" w:rsidRDefault="00747094" w:rsidP="004E2AF7">
    <w:pPr>
      <w:pStyle w:val="Rodap"/>
      <w:jc w:val="center"/>
      <w:rPr>
        <w:rFonts w:ascii="Roboto Light" w:hAnsi="Roboto Light" w:cs="Times"/>
        <w:b/>
        <w:color w:val="00643C"/>
      </w:rPr>
    </w:pPr>
    <w:hyperlink r:id="rId1" w:history="1">
      <w:r w:rsidRPr="00747094">
        <w:rPr>
          <w:rStyle w:val="Hyperlink"/>
          <w:rFonts w:ascii="Roboto Light" w:hAnsi="Roboto Light" w:cs="Times"/>
          <w:b/>
          <w:noProof/>
          <w:color w:val="00643C"/>
          <w:u w:val="none"/>
        </w:rPr>
        <w:t>lacazmartins.com.br</w:t>
      </w:r>
    </w:hyperlink>
  </w:p>
  <w:p w14:paraId="1D35531E" w14:textId="77777777" w:rsidR="004D122D" w:rsidRDefault="004D122D" w:rsidP="004E2AF7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4617C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411F" w14:textId="77777777" w:rsidR="00F92A44" w:rsidRDefault="00F92A44" w:rsidP="00CB5F34">
    <w:pPr>
      <w:pStyle w:val="Rodap"/>
      <w:tabs>
        <w:tab w:val="clear" w:pos="4320"/>
        <w:tab w:val="center" w:pos="4536"/>
      </w:tabs>
      <w:jc w:val="center"/>
    </w:pPr>
  </w:p>
  <w:p w14:paraId="70913234" w14:textId="77777777" w:rsidR="004E2AF7" w:rsidRDefault="004E2AF7" w:rsidP="00CB5F34">
    <w:pPr>
      <w:pStyle w:val="Rodap"/>
      <w:tabs>
        <w:tab w:val="clear" w:pos="4320"/>
        <w:tab w:val="center" w:pos="4536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98DC0" w14:textId="77777777" w:rsidR="00931B2A" w:rsidRDefault="00931B2A">
      <w:r>
        <w:separator/>
      </w:r>
    </w:p>
  </w:footnote>
  <w:footnote w:type="continuationSeparator" w:id="0">
    <w:p w14:paraId="61124091" w14:textId="77777777" w:rsidR="00931B2A" w:rsidRDefault="00931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AA05" w14:textId="77777777" w:rsidR="004D122D" w:rsidRDefault="0076426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27CECD" wp14:editId="01E39ECC">
          <wp:simplePos x="0" y="0"/>
          <wp:positionH relativeFrom="margin">
            <wp:align>left</wp:align>
          </wp:positionH>
          <wp:positionV relativeFrom="page">
            <wp:posOffset>247273</wp:posOffset>
          </wp:positionV>
          <wp:extent cx="1188720" cy="737235"/>
          <wp:effectExtent l="0" t="0" r="0" b="0"/>
          <wp:wrapSquare wrapText="bothSides"/>
          <wp:docPr id="2" name="Imagem 110" descr="AF_LOGO_LACAZMARTINS_RGB_VERDEESCU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10" descr="AF_LOGO_LACAZMARTINS_RGB_VERDEESCU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737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8B48C7" w14:textId="77777777" w:rsidR="004D122D" w:rsidRDefault="004D122D">
    <w:pPr>
      <w:pStyle w:val="Cabealho"/>
    </w:pPr>
  </w:p>
  <w:p w14:paraId="3273AE4B" w14:textId="77777777" w:rsidR="004D122D" w:rsidRDefault="004D122D">
    <w:pPr>
      <w:pStyle w:val="Cabealho"/>
    </w:pPr>
  </w:p>
  <w:p w14:paraId="1AF24F56" w14:textId="77777777" w:rsidR="004D122D" w:rsidRDefault="004D122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5191" w14:textId="36F874DB" w:rsidR="00CF763B" w:rsidRDefault="00E22CC0" w:rsidP="00CF763B">
    <w:pPr>
      <w:pStyle w:val="Cabealho"/>
      <w:tabs>
        <w:tab w:val="left" w:pos="3544"/>
      </w:tabs>
      <w:rPr>
        <w:noProof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41C70186" wp14:editId="74A7CD86">
          <wp:simplePos x="0" y="0"/>
          <wp:positionH relativeFrom="margin">
            <wp:align>left</wp:align>
          </wp:positionH>
          <wp:positionV relativeFrom="margin">
            <wp:posOffset>-1108075</wp:posOffset>
          </wp:positionV>
          <wp:extent cx="1504950" cy="933450"/>
          <wp:effectExtent l="0" t="0" r="0" b="0"/>
          <wp:wrapSquare wrapText="bothSides"/>
          <wp:docPr id="1" name="Imagem 111" descr="AF_LOGO_LACAZMARTINS_RGB_VERDEESCU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11" descr="AF_LOGO_LACAZMARTINS_RGB_VERDEESCU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FAF407" w14:textId="3194DD3F" w:rsidR="00566535" w:rsidRDefault="00566535" w:rsidP="00CF763B">
    <w:pPr>
      <w:pStyle w:val="Cabealho"/>
      <w:tabs>
        <w:tab w:val="left" w:pos="3544"/>
      </w:tabs>
      <w:rPr>
        <w:noProof/>
      </w:rPr>
    </w:pPr>
  </w:p>
  <w:p w14:paraId="32708DE8" w14:textId="77777777" w:rsidR="00CF763B" w:rsidRDefault="00CF763B" w:rsidP="00CF763B">
    <w:pPr>
      <w:pStyle w:val="Cabealho"/>
      <w:tabs>
        <w:tab w:val="left" w:pos="3544"/>
      </w:tabs>
      <w:rPr>
        <w:noProof/>
      </w:rPr>
    </w:pPr>
  </w:p>
  <w:p w14:paraId="2300BD32" w14:textId="77777777" w:rsidR="00CF763B" w:rsidRDefault="00CF763B" w:rsidP="00CF763B">
    <w:pPr>
      <w:pStyle w:val="Cabealho"/>
      <w:tabs>
        <w:tab w:val="left" w:pos="3544"/>
      </w:tabs>
      <w:rPr>
        <w:noProof/>
      </w:rPr>
    </w:pPr>
  </w:p>
  <w:p w14:paraId="6E66FEAE" w14:textId="77777777" w:rsidR="00CF763B" w:rsidRDefault="00CF763B" w:rsidP="00CF763B">
    <w:pPr>
      <w:pStyle w:val="Cabealho"/>
      <w:tabs>
        <w:tab w:val="left" w:pos="3544"/>
      </w:tabs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1EFE"/>
    <w:multiLevelType w:val="hybridMultilevel"/>
    <w:tmpl w:val="C598E6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022BC"/>
    <w:multiLevelType w:val="hybridMultilevel"/>
    <w:tmpl w:val="8390C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167C9"/>
    <w:multiLevelType w:val="hybridMultilevel"/>
    <w:tmpl w:val="079076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14D03"/>
    <w:multiLevelType w:val="hybridMultilevel"/>
    <w:tmpl w:val="DC52F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92D4B"/>
    <w:multiLevelType w:val="hybridMultilevel"/>
    <w:tmpl w:val="941EC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44859"/>
    <w:multiLevelType w:val="hybridMultilevel"/>
    <w:tmpl w:val="9C2CC2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D6B1D"/>
    <w:multiLevelType w:val="hybridMultilevel"/>
    <w:tmpl w:val="165AC4C8"/>
    <w:lvl w:ilvl="0" w:tplc="0416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25166690"/>
    <w:multiLevelType w:val="hybridMultilevel"/>
    <w:tmpl w:val="C5A496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73B46"/>
    <w:multiLevelType w:val="hybridMultilevel"/>
    <w:tmpl w:val="CDA251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95D52"/>
    <w:multiLevelType w:val="hybridMultilevel"/>
    <w:tmpl w:val="181076D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E3703"/>
    <w:multiLevelType w:val="hybridMultilevel"/>
    <w:tmpl w:val="713C93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D43CD"/>
    <w:multiLevelType w:val="hybridMultilevel"/>
    <w:tmpl w:val="859E6A36"/>
    <w:lvl w:ilvl="0" w:tplc="F33A9CF2">
      <w:start w:val="50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3D58158F"/>
    <w:multiLevelType w:val="hybridMultilevel"/>
    <w:tmpl w:val="1944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37FF7"/>
    <w:multiLevelType w:val="hybridMultilevel"/>
    <w:tmpl w:val="C2F49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B2230"/>
    <w:multiLevelType w:val="hybridMultilevel"/>
    <w:tmpl w:val="7CD46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43A03"/>
    <w:multiLevelType w:val="hybridMultilevel"/>
    <w:tmpl w:val="36BC4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4B435B"/>
    <w:multiLevelType w:val="hybridMultilevel"/>
    <w:tmpl w:val="3976C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B5D59"/>
    <w:multiLevelType w:val="hybridMultilevel"/>
    <w:tmpl w:val="D83AC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3207C"/>
    <w:multiLevelType w:val="hybridMultilevel"/>
    <w:tmpl w:val="4E5EF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739BF"/>
    <w:multiLevelType w:val="hybridMultilevel"/>
    <w:tmpl w:val="3F40C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B6D4B"/>
    <w:multiLevelType w:val="hybridMultilevel"/>
    <w:tmpl w:val="AA1C8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15019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6917391">
    <w:abstractNumId w:val="11"/>
  </w:num>
  <w:num w:numId="3" w16cid:durableId="478767659">
    <w:abstractNumId w:val="15"/>
  </w:num>
  <w:num w:numId="4" w16cid:durableId="628823125">
    <w:abstractNumId w:val="7"/>
  </w:num>
  <w:num w:numId="5" w16cid:durableId="341706756">
    <w:abstractNumId w:val="9"/>
  </w:num>
  <w:num w:numId="6" w16cid:durableId="524055226">
    <w:abstractNumId w:val="6"/>
  </w:num>
  <w:num w:numId="7" w16cid:durableId="1836994544">
    <w:abstractNumId w:val="13"/>
  </w:num>
  <w:num w:numId="8" w16cid:durableId="375814892">
    <w:abstractNumId w:val="0"/>
  </w:num>
  <w:num w:numId="9" w16cid:durableId="622805802">
    <w:abstractNumId w:val="8"/>
  </w:num>
  <w:num w:numId="10" w16cid:durableId="861944249">
    <w:abstractNumId w:val="3"/>
  </w:num>
  <w:num w:numId="11" w16cid:durableId="740297188">
    <w:abstractNumId w:val="5"/>
  </w:num>
  <w:num w:numId="12" w16cid:durableId="1002506638">
    <w:abstractNumId w:val="10"/>
  </w:num>
  <w:num w:numId="13" w16cid:durableId="644622729">
    <w:abstractNumId w:val="4"/>
  </w:num>
  <w:num w:numId="14" w16cid:durableId="245917147">
    <w:abstractNumId w:val="14"/>
  </w:num>
  <w:num w:numId="15" w16cid:durableId="907114415">
    <w:abstractNumId w:val="12"/>
  </w:num>
  <w:num w:numId="16" w16cid:durableId="711227402">
    <w:abstractNumId w:val="17"/>
  </w:num>
  <w:num w:numId="17" w16cid:durableId="2106413513">
    <w:abstractNumId w:val="16"/>
  </w:num>
  <w:num w:numId="18" w16cid:durableId="848256626">
    <w:abstractNumId w:val="20"/>
  </w:num>
  <w:num w:numId="19" w16cid:durableId="1442384475">
    <w:abstractNumId w:val="1"/>
  </w:num>
  <w:num w:numId="20" w16cid:durableId="326709747">
    <w:abstractNumId w:val="19"/>
  </w:num>
  <w:num w:numId="21" w16cid:durableId="1214467212">
    <w:abstractNumId w:val="18"/>
  </w:num>
  <w:num w:numId="22" w16cid:durableId="408620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65"/>
    <w:rsid w:val="00001CEA"/>
    <w:rsid w:val="00001FBA"/>
    <w:rsid w:val="000022A3"/>
    <w:rsid w:val="00004F71"/>
    <w:rsid w:val="00005239"/>
    <w:rsid w:val="00005AD2"/>
    <w:rsid w:val="000071A8"/>
    <w:rsid w:val="00015505"/>
    <w:rsid w:val="0001737D"/>
    <w:rsid w:val="00025486"/>
    <w:rsid w:val="00026B83"/>
    <w:rsid w:val="000307D1"/>
    <w:rsid w:val="00030BA6"/>
    <w:rsid w:val="00031C1C"/>
    <w:rsid w:val="00032561"/>
    <w:rsid w:val="000332BB"/>
    <w:rsid w:val="00034EAE"/>
    <w:rsid w:val="00040CF8"/>
    <w:rsid w:val="000411CC"/>
    <w:rsid w:val="0004344A"/>
    <w:rsid w:val="00044233"/>
    <w:rsid w:val="00044751"/>
    <w:rsid w:val="0004494C"/>
    <w:rsid w:val="0005258A"/>
    <w:rsid w:val="00052F04"/>
    <w:rsid w:val="00053558"/>
    <w:rsid w:val="000572AF"/>
    <w:rsid w:val="0006014A"/>
    <w:rsid w:val="0006182E"/>
    <w:rsid w:val="00062323"/>
    <w:rsid w:val="000638D7"/>
    <w:rsid w:val="0006410B"/>
    <w:rsid w:val="000670B1"/>
    <w:rsid w:val="00067EBC"/>
    <w:rsid w:val="0007087D"/>
    <w:rsid w:val="00072049"/>
    <w:rsid w:val="000732CB"/>
    <w:rsid w:val="00073890"/>
    <w:rsid w:val="00073DBC"/>
    <w:rsid w:val="000750A3"/>
    <w:rsid w:val="0007637F"/>
    <w:rsid w:val="00076A54"/>
    <w:rsid w:val="00077ED8"/>
    <w:rsid w:val="000803A1"/>
    <w:rsid w:val="000817D5"/>
    <w:rsid w:val="00081C02"/>
    <w:rsid w:val="00083122"/>
    <w:rsid w:val="000837BC"/>
    <w:rsid w:val="000838D3"/>
    <w:rsid w:val="00086131"/>
    <w:rsid w:val="00086428"/>
    <w:rsid w:val="00090A46"/>
    <w:rsid w:val="00090C26"/>
    <w:rsid w:val="000911D5"/>
    <w:rsid w:val="000940D3"/>
    <w:rsid w:val="000944C7"/>
    <w:rsid w:val="000955FE"/>
    <w:rsid w:val="00095754"/>
    <w:rsid w:val="0009585D"/>
    <w:rsid w:val="00096A64"/>
    <w:rsid w:val="0009791A"/>
    <w:rsid w:val="000A02B4"/>
    <w:rsid w:val="000A142A"/>
    <w:rsid w:val="000A2220"/>
    <w:rsid w:val="000A29B4"/>
    <w:rsid w:val="000A6496"/>
    <w:rsid w:val="000A6715"/>
    <w:rsid w:val="000A6BEB"/>
    <w:rsid w:val="000A721C"/>
    <w:rsid w:val="000A798C"/>
    <w:rsid w:val="000A7CF9"/>
    <w:rsid w:val="000A7F5D"/>
    <w:rsid w:val="000B022A"/>
    <w:rsid w:val="000B0BF1"/>
    <w:rsid w:val="000B1FEA"/>
    <w:rsid w:val="000B2B22"/>
    <w:rsid w:val="000B3852"/>
    <w:rsid w:val="000B5161"/>
    <w:rsid w:val="000B67B5"/>
    <w:rsid w:val="000C0942"/>
    <w:rsid w:val="000C0EA5"/>
    <w:rsid w:val="000C2DE1"/>
    <w:rsid w:val="000C3B0B"/>
    <w:rsid w:val="000C44B4"/>
    <w:rsid w:val="000C4581"/>
    <w:rsid w:val="000C58BE"/>
    <w:rsid w:val="000C595E"/>
    <w:rsid w:val="000C6A80"/>
    <w:rsid w:val="000C7991"/>
    <w:rsid w:val="000D1761"/>
    <w:rsid w:val="000D1CFA"/>
    <w:rsid w:val="000D4A99"/>
    <w:rsid w:val="000D51CD"/>
    <w:rsid w:val="000D7947"/>
    <w:rsid w:val="000E3155"/>
    <w:rsid w:val="000E5D21"/>
    <w:rsid w:val="000E694E"/>
    <w:rsid w:val="000E7AD3"/>
    <w:rsid w:val="000E7CD1"/>
    <w:rsid w:val="000F4195"/>
    <w:rsid w:val="000F47AB"/>
    <w:rsid w:val="000F55AE"/>
    <w:rsid w:val="000F64AB"/>
    <w:rsid w:val="000F66EC"/>
    <w:rsid w:val="000F6D61"/>
    <w:rsid w:val="000F74B7"/>
    <w:rsid w:val="000F774A"/>
    <w:rsid w:val="0010191C"/>
    <w:rsid w:val="0010277C"/>
    <w:rsid w:val="00103AF7"/>
    <w:rsid w:val="00104F46"/>
    <w:rsid w:val="00105012"/>
    <w:rsid w:val="001053B5"/>
    <w:rsid w:val="00111069"/>
    <w:rsid w:val="00114587"/>
    <w:rsid w:val="0011546F"/>
    <w:rsid w:val="00115C25"/>
    <w:rsid w:val="00123155"/>
    <w:rsid w:val="00123235"/>
    <w:rsid w:val="00123FFB"/>
    <w:rsid w:val="001317F9"/>
    <w:rsid w:val="00132195"/>
    <w:rsid w:val="001321FF"/>
    <w:rsid w:val="00132BB6"/>
    <w:rsid w:val="001370F8"/>
    <w:rsid w:val="00137C12"/>
    <w:rsid w:val="00140C8D"/>
    <w:rsid w:val="00142294"/>
    <w:rsid w:val="00143A7C"/>
    <w:rsid w:val="00143CA2"/>
    <w:rsid w:val="0014504F"/>
    <w:rsid w:val="001451A6"/>
    <w:rsid w:val="00145A84"/>
    <w:rsid w:val="001510BC"/>
    <w:rsid w:val="00151DF0"/>
    <w:rsid w:val="0015207E"/>
    <w:rsid w:val="00153ECC"/>
    <w:rsid w:val="00157554"/>
    <w:rsid w:val="00163F69"/>
    <w:rsid w:val="00164C5F"/>
    <w:rsid w:val="00164E8E"/>
    <w:rsid w:val="001659A2"/>
    <w:rsid w:val="00166EA6"/>
    <w:rsid w:val="0017074F"/>
    <w:rsid w:val="00170DCE"/>
    <w:rsid w:val="00171E3F"/>
    <w:rsid w:val="0017295F"/>
    <w:rsid w:val="00172ECE"/>
    <w:rsid w:val="00172F95"/>
    <w:rsid w:val="00173C78"/>
    <w:rsid w:val="0017455B"/>
    <w:rsid w:val="00175CE7"/>
    <w:rsid w:val="00175EE6"/>
    <w:rsid w:val="00176338"/>
    <w:rsid w:val="00177726"/>
    <w:rsid w:val="00177CB3"/>
    <w:rsid w:val="001804D8"/>
    <w:rsid w:val="00180F59"/>
    <w:rsid w:val="00181160"/>
    <w:rsid w:val="001819B2"/>
    <w:rsid w:val="001828A2"/>
    <w:rsid w:val="00183D03"/>
    <w:rsid w:val="001849F3"/>
    <w:rsid w:val="001863CE"/>
    <w:rsid w:val="00186BEF"/>
    <w:rsid w:val="00187366"/>
    <w:rsid w:val="00187A6C"/>
    <w:rsid w:val="001916C0"/>
    <w:rsid w:val="0019205D"/>
    <w:rsid w:val="00192B86"/>
    <w:rsid w:val="001946D9"/>
    <w:rsid w:val="0019665D"/>
    <w:rsid w:val="0019720E"/>
    <w:rsid w:val="001A1E7C"/>
    <w:rsid w:val="001A230E"/>
    <w:rsid w:val="001A4695"/>
    <w:rsid w:val="001A4C84"/>
    <w:rsid w:val="001A67CE"/>
    <w:rsid w:val="001B0DE7"/>
    <w:rsid w:val="001B2E2C"/>
    <w:rsid w:val="001B2F69"/>
    <w:rsid w:val="001B34ED"/>
    <w:rsid w:val="001B3F55"/>
    <w:rsid w:val="001B5354"/>
    <w:rsid w:val="001B640C"/>
    <w:rsid w:val="001B684D"/>
    <w:rsid w:val="001C23CC"/>
    <w:rsid w:val="001C64C9"/>
    <w:rsid w:val="001C6BE4"/>
    <w:rsid w:val="001C7201"/>
    <w:rsid w:val="001C74BA"/>
    <w:rsid w:val="001C7C10"/>
    <w:rsid w:val="001D02B5"/>
    <w:rsid w:val="001D3FA5"/>
    <w:rsid w:val="001D51ED"/>
    <w:rsid w:val="001D5980"/>
    <w:rsid w:val="001D6500"/>
    <w:rsid w:val="001D6B86"/>
    <w:rsid w:val="001D7E2A"/>
    <w:rsid w:val="001E23B0"/>
    <w:rsid w:val="001E3288"/>
    <w:rsid w:val="001E3651"/>
    <w:rsid w:val="001E430D"/>
    <w:rsid w:val="001E4F8D"/>
    <w:rsid w:val="001E5539"/>
    <w:rsid w:val="001E6E33"/>
    <w:rsid w:val="001E6E84"/>
    <w:rsid w:val="001F0921"/>
    <w:rsid w:val="001F0C90"/>
    <w:rsid w:val="001F134E"/>
    <w:rsid w:val="001F1E21"/>
    <w:rsid w:val="001F31C7"/>
    <w:rsid w:val="001F4316"/>
    <w:rsid w:val="001F5083"/>
    <w:rsid w:val="001F7129"/>
    <w:rsid w:val="00201F79"/>
    <w:rsid w:val="00202215"/>
    <w:rsid w:val="002025E7"/>
    <w:rsid w:val="002031AF"/>
    <w:rsid w:val="00203DC3"/>
    <w:rsid w:val="00203EA8"/>
    <w:rsid w:val="0020649E"/>
    <w:rsid w:val="002066C7"/>
    <w:rsid w:val="002066F6"/>
    <w:rsid w:val="00206BBE"/>
    <w:rsid w:val="00206F6C"/>
    <w:rsid w:val="0020776E"/>
    <w:rsid w:val="00207F5A"/>
    <w:rsid w:val="002108EE"/>
    <w:rsid w:val="0021363F"/>
    <w:rsid w:val="002138CF"/>
    <w:rsid w:val="00217E7B"/>
    <w:rsid w:val="00221047"/>
    <w:rsid w:val="00221FAD"/>
    <w:rsid w:val="00223829"/>
    <w:rsid w:val="00224223"/>
    <w:rsid w:val="002264FA"/>
    <w:rsid w:val="0022666A"/>
    <w:rsid w:val="00226834"/>
    <w:rsid w:val="00226EFD"/>
    <w:rsid w:val="002325CA"/>
    <w:rsid w:val="00232AFA"/>
    <w:rsid w:val="00233498"/>
    <w:rsid w:val="00233CEB"/>
    <w:rsid w:val="00234F1D"/>
    <w:rsid w:val="002364B9"/>
    <w:rsid w:val="00242481"/>
    <w:rsid w:val="002424B1"/>
    <w:rsid w:val="00243E2B"/>
    <w:rsid w:val="00244117"/>
    <w:rsid w:val="00244303"/>
    <w:rsid w:val="0024453A"/>
    <w:rsid w:val="00245C84"/>
    <w:rsid w:val="00246054"/>
    <w:rsid w:val="00250137"/>
    <w:rsid w:val="0025161E"/>
    <w:rsid w:val="00251C06"/>
    <w:rsid w:val="00251C9C"/>
    <w:rsid w:val="00252131"/>
    <w:rsid w:val="0025454F"/>
    <w:rsid w:val="00257B2D"/>
    <w:rsid w:val="0026047C"/>
    <w:rsid w:val="0026086D"/>
    <w:rsid w:val="00260AB9"/>
    <w:rsid w:val="00261309"/>
    <w:rsid w:val="00261D4B"/>
    <w:rsid w:val="00262926"/>
    <w:rsid w:val="00262B42"/>
    <w:rsid w:val="0026360B"/>
    <w:rsid w:val="002643BB"/>
    <w:rsid w:val="00264CD9"/>
    <w:rsid w:val="00264D17"/>
    <w:rsid w:val="00264DC3"/>
    <w:rsid w:val="002663DE"/>
    <w:rsid w:val="002712D7"/>
    <w:rsid w:val="002722F2"/>
    <w:rsid w:val="00273270"/>
    <w:rsid w:val="002732A1"/>
    <w:rsid w:val="00273536"/>
    <w:rsid w:val="00273BB6"/>
    <w:rsid w:val="00275F06"/>
    <w:rsid w:val="002762B6"/>
    <w:rsid w:val="002766CB"/>
    <w:rsid w:val="00277D75"/>
    <w:rsid w:val="00282959"/>
    <w:rsid w:val="00282E2A"/>
    <w:rsid w:val="00283BE9"/>
    <w:rsid w:val="0028494B"/>
    <w:rsid w:val="002871FD"/>
    <w:rsid w:val="00290C3B"/>
    <w:rsid w:val="002916A8"/>
    <w:rsid w:val="00291C79"/>
    <w:rsid w:val="00293193"/>
    <w:rsid w:val="00294AB7"/>
    <w:rsid w:val="00294D4A"/>
    <w:rsid w:val="00295A3D"/>
    <w:rsid w:val="00295E7D"/>
    <w:rsid w:val="00296DA5"/>
    <w:rsid w:val="00297EE2"/>
    <w:rsid w:val="002A12CB"/>
    <w:rsid w:val="002A21D3"/>
    <w:rsid w:val="002A2B8A"/>
    <w:rsid w:val="002A3763"/>
    <w:rsid w:val="002A3D1A"/>
    <w:rsid w:val="002A41AC"/>
    <w:rsid w:val="002A446F"/>
    <w:rsid w:val="002A5847"/>
    <w:rsid w:val="002B1A8E"/>
    <w:rsid w:val="002B270B"/>
    <w:rsid w:val="002B28AE"/>
    <w:rsid w:val="002B39E9"/>
    <w:rsid w:val="002B4CAA"/>
    <w:rsid w:val="002B53C6"/>
    <w:rsid w:val="002B5B9D"/>
    <w:rsid w:val="002B7326"/>
    <w:rsid w:val="002B74B4"/>
    <w:rsid w:val="002C05CF"/>
    <w:rsid w:val="002C07E3"/>
    <w:rsid w:val="002C1A98"/>
    <w:rsid w:val="002C1DA0"/>
    <w:rsid w:val="002C3307"/>
    <w:rsid w:val="002C3A0C"/>
    <w:rsid w:val="002C4EA4"/>
    <w:rsid w:val="002C6EBA"/>
    <w:rsid w:val="002D0456"/>
    <w:rsid w:val="002D138F"/>
    <w:rsid w:val="002D1689"/>
    <w:rsid w:val="002D26DC"/>
    <w:rsid w:val="002D2792"/>
    <w:rsid w:val="002D5920"/>
    <w:rsid w:val="002D7EB8"/>
    <w:rsid w:val="002E2336"/>
    <w:rsid w:val="002E32F4"/>
    <w:rsid w:val="002E3BE3"/>
    <w:rsid w:val="002E5560"/>
    <w:rsid w:val="002E73B8"/>
    <w:rsid w:val="002F0E76"/>
    <w:rsid w:val="002F122F"/>
    <w:rsid w:val="002F2C5E"/>
    <w:rsid w:val="002F2EB9"/>
    <w:rsid w:val="002F33A4"/>
    <w:rsid w:val="002F6CE5"/>
    <w:rsid w:val="00302072"/>
    <w:rsid w:val="003041AD"/>
    <w:rsid w:val="00307B74"/>
    <w:rsid w:val="00310060"/>
    <w:rsid w:val="0031413B"/>
    <w:rsid w:val="00314DAF"/>
    <w:rsid w:val="00315BDB"/>
    <w:rsid w:val="00317000"/>
    <w:rsid w:val="00317166"/>
    <w:rsid w:val="00317973"/>
    <w:rsid w:val="00317E37"/>
    <w:rsid w:val="00320324"/>
    <w:rsid w:val="003217E6"/>
    <w:rsid w:val="00321ED9"/>
    <w:rsid w:val="00322896"/>
    <w:rsid w:val="0032405E"/>
    <w:rsid w:val="00324C1D"/>
    <w:rsid w:val="00324E80"/>
    <w:rsid w:val="00325422"/>
    <w:rsid w:val="00327FD9"/>
    <w:rsid w:val="003307F0"/>
    <w:rsid w:val="00331D40"/>
    <w:rsid w:val="00333724"/>
    <w:rsid w:val="00333C4C"/>
    <w:rsid w:val="003341D1"/>
    <w:rsid w:val="003346A3"/>
    <w:rsid w:val="00334EBC"/>
    <w:rsid w:val="00334F7B"/>
    <w:rsid w:val="003356D3"/>
    <w:rsid w:val="00335B3F"/>
    <w:rsid w:val="0034037E"/>
    <w:rsid w:val="00347036"/>
    <w:rsid w:val="0034796F"/>
    <w:rsid w:val="00351CD0"/>
    <w:rsid w:val="00351CD6"/>
    <w:rsid w:val="00352091"/>
    <w:rsid w:val="0035217F"/>
    <w:rsid w:val="003524AC"/>
    <w:rsid w:val="00352613"/>
    <w:rsid w:val="003552A5"/>
    <w:rsid w:val="00355673"/>
    <w:rsid w:val="00355DC2"/>
    <w:rsid w:val="00357AA8"/>
    <w:rsid w:val="00357CB2"/>
    <w:rsid w:val="00360493"/>
    <w:rsid w:val="00361265"/>
    <w:rsid w:val="00361665"/>
    <w:rsid w:val="00361A7C"/>
    <w:rsid w:val="00362557"/>
    <w:rsid w:val="00362E5F"/>
    <w:rsid w:val="003635F2"/>
    <w:rsid w:val="0036364B"/>
    <w:rsid w:val="00364CDE"/>
    <w:rsid w:val="0036549F"/>
    <w:rsid w:val="00365CEE"/>
    <w:rsid w:val="00367696"/>
    <w:rsid w:val="00367737"/>
    <w:rsid w:val="00371513"/>
    <w:rsid w:val="003716C0"/>
    <w:rsid w:val="00371BB0"/>
    <w:rsid w:val="00373237"/>
    <w:rsid w:val="0037354E"/>
    <w:rsid w:val="00373751"/>
    <w:rsid w:val="00373FFE"/>
    <w:rsid w:val="00374377"/>
    <w:rsid w:val="00374A02"/>
    <w:rsid w:val="003758A6"/>
    <w:rsid w:val="00377E39"/>
    <w:rsid w:val="00381113"/>
    <w:rsid w:val="00381DF4"/>
    <w:rsid w:val="003826D9"/>
    <w:rsid w:val="00383CD9"/>
    <w:rsid w:val="00383F33"/>
    <w:rsid w:val="00383F4C"/>
    <w:rsid w:val="00386AF1"/>
    <w:rsid w:val="00386ED2"/>
    <w:rsid w:val="00386EDA"/>
    <w:rsid w:val="00387B06"/>
    <w:rsid w:val="003901CC"/>
    <w:rsid w:val="0039082D"/>
    <w:rsid w:val="00392EFA"/>
    <w:rsid w:val="003952CE"/>
    <w:rsid w:val="0039531F"/>
    <w:rsid w:val="00395928"/>
    <w:rsid w:val="003969F0"/>
    <w:rsid w:val="003A0A4F"/>
    <w:rsid w:val="003A1148"/>
    <w:rsid w:val="003A15D7"/>
    <w:rsid w:val="003A1DAE"/>
    <w:rsid w:val="003A3132"/>
    <w:rsid w:val="003A5C68"/>
    <w:rsid w:val="003A7C52"/>
    <w:rsid w:val="003B1084"/>
    <w:rsid w:val="003B2DCC"/>
    <w:rsid w:val="003B417F"/>
    <w:rsid w:val="003B4996"/>
    <w:rsid w:val="003B4DF2"/>
    <w:rsid w:val="003B6B97"/>
    <w:rsid w:val="003B7570"/>
    <w:rsid w:val="003C055F"/>
    <w:rsid w:val="003C0F28"/>
    <w:rsid w:val="003C13EF"/>
    <w:rsid w:val="003C1879"/>
    <w:rsid w:val="003C1A30"/>
    <w:rsid w:val="003C5566"/>
    <w:rsid w:val="003C6443"/>
    <w:rsid w:val="003C7568"/>
    <w:rsid w:val="003D0261"/>
    <w:rsid w:val="003D1AB7"/>
    <w:rsid w:val="003D2231"/>
    <w:rsid w:val="003D3E51"/>
    <w:rsid w:val="003D40E0"/>
    <w:rsid w:val="003D7993"/>
    <w:rsid w:val="003E1FFF"/>
    <w:rsid w:val="003E3BD7"/>
    <w:rsid w:val="003E66CA"/>
    <w:rsid w:val="003E6860"/>
    <w:rsid w:val="003E6ADF"/>
    <w:rsid w:val="003F093F"/>
    <w:rsid w:val="003F1EFA"/>
    <w:rsid w:val="003F2A83"/>
    <w:rsid w:val="003F3014"/>
    <w:rsid w:val="003F4DC4"/>
    <w:rsid w:val="003F6135"/>
    <w:rsid w:val="00400F2C"/>
    <w:rsid w:val="00402DF8"/>
    <w:rsid w:val="00404B73"/>
    <w:rsid w:val="004054AB"/>
    <w:rsid w:val="0040693B"/>
    <w:rsid w:val="004108F8"/>
    <w:rsid w:val="00410CBB"/>
    <w:rsid w:val="00411B95"/>
    <w:rsid w:val="0041236F"/>
    <w:rsid w:val="004135F1"/>
    <w:rsid w:val="00413EF4"/>
    <w:rsid w:val="00415826"/>
    <w:rsid w:val="00416CAE"/>
    <w:rsid w:val="00417CE4"/>
    <w:rsid w:val="00417E19"/>
    <w:rsid w:val="004245EA"/>
    <w:rsid w:val="00424AEB"/>
    <w:rsid w:val="004306EB"/>
    <w:rsid w:val="004320DB"/>
    <w:rsid w:val="004325E5"/>
    <w:rsid w:val="0043274F"/>
    <w:rsid w:val="004334C1"/>
    <w:rsid w:val="00434B1A"/>
    <w:rsid w:val="0043541E"/>
    <w:rsid w:val="004355F7"/>
    <w:rsid w:val="00435D2F"/>
    <w:rsid w:val="00436386"/>
    <w:rsid w:val="004375AF"/>
    <w:rsid w:val="00443949"/>
    <w:rsid w:val="00443D09"/>
    <w:rsid w:val="00443E69"/>
    <w:rsid w:val="00446AC2"/>
    <w:rsid w:val="00447FDD"/>
    <w:rsid w:val="00452BA7"/>
    <w:rsid w:val="00454697"/>
    <w:rsid w:val="00454BB4"/>
    <w:rsid w:val="00456ACE"/>
    <w:rsid w:val="004617C5"/>
    <w:rsid w:val="00461BFF"/>
    <w:rsid w:val="0046258E"/>
    <w:rsid w:val="00462746"/>
    <w:rsid w:val="00466E0D"/>
    <w:rsid w:val="00467274"/>
    <w:rsid w:val="00467459"/>
    <w:rsid w:val="0046797D"/>
    <w:rsid w:val="0047058D"/>
    <w:rsid w:val="00470ED8"/>
    <w:rsid w:val="00471427"/>
    <w:rsid w:val="00472B4F"/>
    <w:rsid w:val="0047444F"/>
    <w:rsid w:val="004744E0"/>
    <w:rsid w:val="00474A03"/>
    <w:rsid w:val="00475E15"/>
    <w:rsid w:val="00475E4C"/>
    <w:rsid w:val="00477426"/>
    <w:rsid w:val="004808C8"/>
    <w:rsid w:val="00480A4A"/>
    <w:rsid w:val="004811F3"/>
    <w:rsid w:val="0048260F"/>
    <w:rsid w:val="004848E4"/>
    <w:rsid w:val="004854B3"/>
    <w:rsid w:val="00485EC5"/>
    <w:rsid w:val="0048607D"/>
    <w:rsid w:val="00486F06"/>
    <w:rsid w:val="00487D5D"/>
    <w:rsid w:val="00492349"/>
    <w:rsid w:val="00492696"/>
    <w:rsid w:val="004951E7"/>
    <w:rsid w:val="00495E88"/>
    <w:rsid w:val="004A0208"/>
    <w:rsid w:val="004A0528"/>
    <w:rsid w:val="004A0F74"/>
    <w:rsid w:val="004A14D3"/>
    <w:rsid w:val="004A1A48"/>
    <w:rsid w:val="004A2479"/>
    <w:rsid w:val="004A35E4"/>
    <w:rsid w:val="004A51C8"/>
    <w:rsid w:val="004A5CB5"/>
    <w:rsid w:val="004A665B"/>
    <w:rsid w:val="004B08DE"/>
    <w:rsid w:val="004B2D18"/>
    <w:rsid w:val="004B3FC7"/>
    <w:rsid w:val="004B5453"/>
    <w:rsid w:val="004B625C"/>
    <w:rsid w:val="004B7658"/>
    <w:rsid w:val="004C1138"/>
    <w:rsid w:val="004C1723"/>
    <w:rsid w:val="004C3B5D"/>
    <w:rsid w:val="004C41D7"/>
    <w:rsid w:val="004C516D"/>
    <w:rsid w:val="004C5C61"/>
    <w:rsid w:val="004C6191"/>
    <w:rsid w:val="004C62D7"/>
    <w:rsid w:val="004C6608"/>
    <w:rsid w:val="004C77B9"/>
    <w:rsid w:val="004D0D83"/>
    <w:rsid w:val="004D122D"/>
    <w:rsid w:val="004D372F"/>
    <w:rsid w:val="004D3D92"/>
    <w:rsid w:val="004D3F0E"/>
    <w:rsid w:val="004D5239"/>
    <w:rsid w:val="004D5C2C"/>
    <w:rsid w:val="004D71DB"/>
    <w:rsid w:val="004D7B7D"/>
    <w:rsid w:val="004E2AF7"/>
    <w:rsid w:val="004E343A"/>
    <w:rsid w:val="004E426C"/>
    <w:rsid w:val="004E56EE"/>
    <w:rsid w:val="004E7CF3"/>
    <w:rsid w:val="004E7EAA"/>
    <w:rsid w:val="004F1879"/>
    <w:rsid w:val="004F19CE"/>
    <w:rsid w:val="004F1A17"/>
    <w:rsid w:val="004F587A"/>
    <w:rsid w:val="004F605E"/>
    <w:rsid w:val="004F69A5"/>
    <w:rsid w:val="004F70AB"/>
    <w:rsid w:val="004F760C"/>
    <w:rsid w:val="004F7C20"/>
    <w:rsid w:val="004F7ECF"/>
    <w:rsid w:val="0050062A"/>
    <w:rsid w:val="00503A04"/>
    <w:rsid w:val="005046A0"/>
    <w:rsid w:val="00505864"/>
    <w:rsid w:val="0050620B"/>
    <w:rsid w:val="00507EBC"/>
    <w:rsid w:val="00512322"/>
    <w:rsid w:val="005128EF"/>
    <w:rsid w:val="0051400B"/>
    <w:rsid w:val="00514C0C"/>
    <w:rsid w:val="005165CC"/>
    <w:rsid w:val="005165F8"/>
    <w:rsid w:val="00516DC9"/>
    <w:rsid w:val="005213D1"/>
    <w:rsid w:val="005219F6"/>
    <w:rsid w:val="005223DA"/>
    <w:rsid w:val="00523485"/>
    <w:rsid w:val="00523712"/>
    <w:rsid w:val="00524C4E"/>
    <w:rsid w:val="00526530"/>
    <w:rsid w:val="00531853"/>
    <w:rsid w:val="00532C0A"/>
    <w:rsid w:val="00532E38"/>
    <w:rsid w:val="005335CD"/>
    <w:rsid w:val="00534341"/>
    <w:rsid w:val="00534A68"/>
    <w:rsid w:val="00535405"/>
    <w:rsid w:val="00540457"/>
    <w:rsid w:val="00541EE7"/>
    <w:rsid w:val="0054221B"/>
    <w:rsid w:val="00542B0F"/>
    <w:rsid w:val="00543B8A"/>
    <w:rsid w:val="00545645"/>
    <w:rsid w:val="00546051"/>
    <w:rsid w:val="00550681"/>
    <w:rsid w:val="005506DC"/>
    <w:rsid w:val="00552C3E"/>
    <w:rsid w:val="00552F2B"/>
    <w:rsid w:val="00554F17"/>
    <w:rsid w:val="00555360"/>
    <w:rsid w:val="00556FC5"/>
    <w:rsid w:val="0056011C"/>
    <w:rsid w:val="0056096B"/>
    <w:rsid w:val="005615CF"/>
    <w:rsid w:val="00561849"/>
    <w:rsid w:val="0056201E"/>
    <w:rsid w:val="00565C9D"/>
    <w:rsid w:val="00566535"/>
    <w:rsid w:val="005672A8"/>
    <w:rsid w:val="005704AB"/>
    <w:rsid w:val="0057214B"/>
    <w:rsid w:val="00573979"/>
    <w:rsid w:val="0057428D"/>
    <w:rsid w:val="0057619A"/>
    <w:rsid w:val="00576867"/>
    <w:rsid w:val="0057772C"/>
    <w:rsid w:val="005810A1"/>
    <w:rsid w:val="00581793"/>
    <w:rsid w:val="005847F9"/>
    <w:rsid w:val="0058499F"/>
    <w:rsid w:val="005852A4"/>
    <w:rsid w:val="00585943"/>
    <w:rsid w:val="00586260"/>
    <w:rsid w:val="005869EF"/>
    <w:rsid w:val="00586CDB"/>
    <w:rsid w:val="00591F34"/>
    <w:rsid w:val="00593A9D"/>
    <w:rsid w:val="005948E5"/>
    <w:rsid w:val="00594BE2"/>
    <w:rsid w:val="00596501"/>
    <w:rsid w:val="0059755E"/>
    <w:rsid w:val="00597A41"/>
    <w:rsid w:val="00597B41"/>
    <w:rsid w:val="005A1413"/>
    <w:rsid w:val="005A21F4"/>
    <w:rsid w:val="005A42C2"/>
    <w:rsid w:val="005A5DCB"/>
    <w:rsid w:val="005A5ED1"/>
    <w:rsid w:val="005B18A7"/>
    <w:rsid w:val="005B3EEB"/>
    <w:rsid w:val="005B785A"/>
    <w:rsid w:val="005C1391"/>
    <w:rsid w:val="005C1EBC"/>
    <w:rsid w:val="005C24A2"/>
    <w:rsid w:val="005C28C4"/>
    <w:rsid w:val="005C3AC4"/>
    <w:rsid w:val="005C51B3"/>
    <w:rsid w:val="005C5E0B"/>
    <w:rsid w:val="005C5FFC"/>
    <w:rsid w:val="005C7F34"/>
    <w:rsid w:val="005D0023"/>
    <w:rsid w:val="005D2D0C"/>
    <w:rsid w:val="005D30C1"/>
    <w:rsid w:val="005D34B5"/>
    <w:rsid w:val="005D38C3"/>
    <w:rsid w:val="005D6018"/>
    <w:rsid w:val="005D6B5D"/>
    <w:rsid w:val="005E1694"/>
    <w:rsid w:val="005E5F5E"/>
    <w:rsid w:val="005E619B"/>
    <w:rsid w:val="005E7017"/>
    <w:rsid w:val="005E7344"/>
    <w:rsid w:val="005F02C9"/>
    <w:rsid w:val="005F02E9"/>
    <w:rsid w:val="005F0CA0"/>
    <w:rsid w:val="005F1BF4"/>
    <w:rsid w:val="005F1D07"/>
    <w:rsid w:val="005F4770"/>
    <w:rsid w:val="005F4971"/>
    <w:rsid w:val="005F4C90"/>
    <w:rsid w:val="005F6B1A"/>
    <w:rsid w:val="0060002B"/>
    <w:rsid w:val="0060039B"/>
    <w:rsid w:val="00601514"/>
    <w:rsid w:val="006043EC"/>
    <w:rsid w:val="006058FD"/>
    <w:rsid w:val="00605C10"/>
    <w:rsid w:val="006071E4"/>
    <w:rsid w:val="00607F1F"/>
    <w:rsid w:val="0061162D"/>
    <w:rsid w:val="00612872"/>
    <w:rsid w:val="006145A8"/>
    <w:rsid w:val="0061587D"/>
    <w:rsid w:val="006161EB"/>
    <w:rsid w:val="00616B73"/>
    <w:rsid w:val="00616C56"/>
    <w:rsid w:val="00616DD0"/>
    <w:rsid w:val="00617688"/>
    <w:rsid w:val="00621051"/>
    <w:rsid w:val="00621482"/>
    <w:rsid w:val="006218ED"/>
    <w:rsid w:val="00621FD0"/>
    <w:rsid w:val="006222C5"/>
    <w:rsid w:val="00622826"/>
    <w:rsid w:val="006231DD"/>
    <w:rsid w:val="0062390D"/>
    <w:rsid w:val="0062436F"/>
    <w:rsid w:val="006253AD"/>
    <w:rsid w:val="00627031"/>
    <w:rsid w:val="006347F0"/>
    <w:rsid w:val="00634A00"/>
    <w:rsid w:val="00634D74"/>
    <w:rsid w:val="00637625"/>
    <w:rsid w:val="0064023B"/>
    <w:rsid w:val="00641CF4"/>
    <w:rsid w:val="006438BD"/>
    <w:rsid w:val="00643B0A"/>
    <w:rsid w:val="00644862"/>
    <w:rsid w:val="0064634B"/>
    <w:rsid w:val="006469F9"/>
    <w:rsid w:val="006473B9"/>
    <w:rsid w:val="006526B1"/>
    <w:rsid w:val="00652FDC"/>
    <w:rsid w:val="006532AF"/>
    <w:rsid w:val="0065408D"/>
    <w:rsid w:val="00655E7F"/>
    <w:rsid w:val="00656EB3"/>
    <w:rsid w:val="006570C7"/>
    <w:rsid w:val="006608E5"/>
    <w:rsid w:val="00662C6F"/>
    <w:rsid w:val="0066357A"/>
    <w:rsid w:val="00664A65"/>
    <w:rsid w:val="00665082"/>
    <w:rsid w:val="00665574"/>
    <w:rsid w:val="006658EA"/>
    <w:rsid w:val="00667C53"/>
    <w:rsid w:val="0067139D"/>
    <w:rsid w:val="0067167F"/>
    <w:rsid w:val="006725D9"/>
    <w:rsid w:val="00672649"/>
    <w:rsid w:val="00672951"/>
    <w:rsid w:val="00673E4A"/>
    <w:rsid w:val="00674D60"/>
    <w:rsid w:val="006753C5"/>
    <w:rsid w:val="0067541A"/>
    <w:rsid w:val="00677CE2"/>
    <w:rsid w:val="00681317"/>
    <w:rsid w:val="00682670"/>
    <w:rsid w:val="00682C63"/>
    <w:rsid w:val="006840B4"/>
    <w:rsid w:val="00684F90"/>
    <w:rsid w:val="006853D1"/>
    <w:rsid w:val="00685F8B"/>
    <w:rsid w:val="006860BB"/>
    <w:rsid w:val="00686F74"/>
    <w:rsid w:val="006872CE"/>
    <w:rsid w:val="00687A11"/>
    <w:rsid w:val="00690509"/>
    <w:rsid w:val="006921C2"/>
    <w:rsid w:val="00693206"/>
    <w:rsid w:val="0069381A"/>
    <w:rsid w:val="006959C8"/>
    <w:rsid w:val="00697742"/>
    <w:rsid w:val="006A0188"/>
    <w:rsid w:val="006A216E"/>
    <w:rsid w:val="006A5EDF"/>
    <w:rsid w:val="006A7A00"/>
    <w:rsid w:val="006A7A70"/>
    <w:rsid w:val="006B0B54"/>
    <w:rsid w:val="006B0B8D"/>
    <w:rsid w:val="006B17AA"/>
    <w:rsid w:val="006B21D7"/>
    <w:rsid w:val="006B504F"/>
    <w:rsid w:val="006B75BC"/>
    <w:rsid w:val="006C5AB0"/>
    <w:rsid w:val="006C5C70"/>
    <w:rsid w:val="006C6634"/>
    <w:rsid w:val="006C68C4"/>
    <w:rsid w:val="006C6E25"/>
    <w:rsid w:val="006D2FB4"/>
    <w:rsid w:val="006D38E2"/>
    <w:rsid w:val="006D5DC0"/>
    <w:rsid w:val="006D6DB5"/>
    <w:rsid w:val="006D7B27"/>
    <w:rsid w:val="006E0F5D"/>
    <w:rsid w:val="006E10C2"/>
    <w:rsid w:val="006E16A7"/>
    <w:rsid w:val="006E20EA"/>
    <w:rsid w:val="006E3445"/>
    <w:rsid w:val="006E39EE"/>
    <w:rsid w:val="006E3F63"/>
    <w:rsid w:val="006E4A92"/>
    <w:rsid w:val="006E501F"/>
    <w:rsid w:val="006E519E"/>
    <w:rsid w:val="006E670C"/>
    <w:rsid w:val="006E679F"/>
    <w:rsid w:val="006F2C75"/>
    <w:rsid w:val="006F4124"/>
    <w:rsid w:val="006F700C"/>
    <w:rsid w:val="007015EF"/>
    <w:rsid w:val="007022DA"/>
    <w:rsid w:val="0070303B"/>
    <w:rsid w:val="0070400C"/>
    <w:rsid w:val="0070421D"/>
    <w:rsid w:val="0070486F"/>
    <w:rsid w:val="00704FA2"/>
    <w:rsid w:val="007055E8"/>
    <w:rsid w:val="00706301"/>
    <w:rsid w:val="0070630B"/>
    <w:rsid w:val="00711251"/>
    <w:rsid w:val="00720234"/>
    <w:rsid w:val="00720250"/>
    <w:rsid w:val="00720BAE"/>
    <w:rsid w:val="00721292"/>
    <w:rsid w:val="00723E0C"/>
    <w:rsid w:val="007250CE"/>
    <w:rsid w:val="007263BE"/>
    <w:rsid w:val="00727B40"/>
    <w:rsid w:val="0073266A"/>
    <w:rsid w:val="0073274E"/>
    <w:rsid w:val="00734142"/>
    <w:rsid w:val="00734B8B"/>
    <w:rsid w:val="00737012"/>
    <w:rsid w:val="00741345"/>
    <w:rsid w:val="0074227D"/>
    <w:rsid w:val="0074357E"/>
    <w:rsid w:val="007448BE"/>
    <w:rsid w:val="00744DD1"/>
    <w:rsid w:val="00745B66"/>
    <w:rsid w:val="00747094"/>
    <w:rsid w:val="00747459"/>
    <w:rsid w:val="00747992"/>
    <w:rsid w:val="00747DB1"/>
    <w:rsid w:val="007505A3"/>
    <w:rsid w:val="00750E6C"/>
    <w:rsid w:val="0075158A"/>
    <w:rsid w:val="0075285D"/>
    <w:rsid w:val="00753C25"/>
    <w:rsid w:val="00753D3E"/>
    <w:rsid w:val="00756CEC"/>
    <w:rsid w:val="00756EAB"/>
    <w:rsid w:val="00760887"/>
    <w:rsid w:val="007641EA"/>
    <w:rsid w:val="00764261"/>
    <w:rsid w:val="00764729"/>
    <w:rsid w:val="00765CCD"/>
    <w:rsid w:val="00765FFA"/>
    <w:rsid w:val="00766494"/>
    <w:rsid w:val="00766B4F"/>
    <w:rsid w:val="007713EF"/>
    <w:rsid w:val="00771BB1"/>
    <w:rsid w:val="00772019"/>
    <w:rsid w:val="0077652B"/>
    <w:rsid w:val="007818AD"/>
    <w:rsid w:val="00784FDA"/>
    <w:rsid w:val="0078760E"/>
    <w:rsid w:val="00791DB8"/>
    <w:rsid w:val="00793E63"/>
    <w:rsid w:val="00795EC2"/>
    <w:rsid w:val="00797C7C"/>
    <w:rsid w:val="007A30BC"/>
    <w:rsid w:val="007A36B9"/>
    <w:rsid w:val="007A502C"/>
    <w:rsid w:val="007A574F"/>
    <w:rsid w:val="007A59B5"/>
    <w:rsid w:val="007A6D83"/>
    <w:rsid w:val="007A765E"/>
    <w:rsid w:val="007B019D"/>
    <w:rsid w:val="007B01DD"/>
    <w:rsid w:val="007B0A9E"/>
    <w:rsid w:val="007B1326"/>
    <w:rsid w:val="007B3799"/>
    <w:rsid w:val="007B438E"/>
    <w:rsid w:val="007B486D"/>
    <w:rsid w:val="007B7284"/>
    <w:rsid w:val="007B765C"/>
    <w:rsid w:val="007B7E07"/>
    <w:rsid w:val="007C007E"/>
    <w:rsid w:val="007C2BE7"/>
    <w:rsid w:val="007C2FC5"/>
    <w:rsid w:val="007C322F"/>
    <w:rsid w:val="007C5841"/>
    <w:rsid w:val="007C6815"/>
    <w:rsid w:val="007D0A47"/>
    <w:rsid w:val="007D2F9B"/>
    <w:rsid w:val="007D58AE"/>
    <w:rsid w:val="007E09F3"/>
    <w:rsid w:val="007E381A"/>
    <w:rsid w:val="007E5D03"/>
    <w:rsid w:val="007E6F00"/>
    <w:rsid w:val="007E7903"/>
    <w:rsid w:val="007E7B84"/>
    <w:rsid w:val="007F2E7C"/>
    <w:rsid w:val="007F56D2"/>
    <w:rsid w:val="007F5EEF"/>
    <w:rsid w:val="00801D60"/>
    <w:rsid w:val="00802351"/>
    <w:rsid w:val="008030C1"/>
    <w:rsid w:val="00804884"/>
    <w:rsid w:val="0080488F"/>
    <w:rsid w:val="0080507A"/>
    <w:rsid w:val="00805D9C"/>
    <w:rsid w:val="0080727B"/>
    <w:rsid w:val="008074E7"/>
    <w:rsid w:val="00810596"/>
    <w:rsid w:val="008130B6"/>
    <w:rsid w:val="008134D9"/>
    <w:rsid w:val="00813605"/>
    <w:rsid w:val="00814927"/>
    <w:rsid w:val="00815CED"/>
    <w:rsid w:val="00815DD7"/>
    <w:rsid w:val="00817247"/>
    <w:rsid w:val="00820515"/>
    <w:rsid w:val="00820551"/>
    <w:rsid w:val="00820AE6"/>
    <w:rsid w:val="008228F5"/>
    <w:rsid w:val="008230B2"/>
    <w:rsid w:val="0082574F"/>
    <w:rsid w:val="00830351"/>
    <w:rsid w:val="0083118A"/>
    <w:rsid w:val="00831E30"/>
    <w:rsid w:val="00832BF6"/>
    <w:rsid w:val="00833662"/>
    <w:rsid w:val="008346EE"/>
    <w:rsid w:val="0083470C"/>
    <w:rsid w:val="008349C8"/>
    <w:rsid w:val="00834D8F"/>
    <w:rsid w:val="008355A2"/>
    <w:rsid w:val="008355D2"/>
    <w:rsid w:val="0083750E"/>
    <w:rsid w:val="008377D6"/>
    <w:rsid w:val="00840576"/>
    <w:rsid w:val="00844270"/>
    <w:rsid w:val="008449DB"/>
    <w:rsid w:val="00847749"/>
    <w:rsid w:val="00852854"/>
    <w:rsid w:val="00852B31"/>
    <w:rsid w:val="00854249"/>
    <w:rsid w:val="00854F36"/>
    <w:rsid w:val="00855EFE"/>
    <w:rsid w:val="0085626E"/>
    <w:rsid w:val="00860232"/>
    <w:rsid w:val="00860750"/>
    <w:rsid w:val="0086082A"/>
    <w:rsid w:val="00863083"/>
    <w:rsid w:val="00867931"/>
    <w:rsid w:val="0087140E"/>
    <w:rsid w:val="00873744"/>
    <w:rsid w:val="00873E8D"/>
    <w:rsid w:val="0087405B"/>
    <w:rsid w:val="00876107"/>
    <w:rsid w:val="008768F3"/>
    <w:rsid w:val="00876FD1"/>
    <w:rsid w:val="00883AB5"/>
    <w:rsid w:val="008840FE"/>
    <w:rsid w:val="00884525"/>
    <w:rsid w:val="00884D70"/>
    <w:rsid w:val="00885D30"/>
    <w:rsid w:val="008902FD"/>
    <w:rsid w:val="008913FB"/>
    <w:rsid w:val="00892C50"/>
    <w:rsid w:val="0089498B"/>
    <w:rsid w:val="00895DF1"/>
    <w:rsid w:val="00896903"/>
    <w:rsid w:val="008973B5"/>
    <w:rsid w:val="008A114D"/>
    <w:rsid w:val="008A17DD"/>
    <w:rsid w:val="008A189E"/>
    <w:rsid w:val="008A1AFB"/>
    <w:rsid w:val="008A3A44"/>
    <w:rsid w:val="008A4323"/>
    <w:rsid w:val="008A4B16"/>
    <w:rsid w:val="008A7DC4"/>
    <w:rsid w:val="008B16D6"/>
    <w:rsid w:val="008B1E87"/>
    <w:rsid w:val="008B3240"/>
    <w:rsid w:val="008B4410"/>
    <w:rsid w:val="008B59BA"/>
    <w:rsid w:val="008B69E7"/>
    <w:rsid w:val="008C047A"/>
    <w:rsid w:val="008C12F5"/>
    <w:rsid w:val="008C17C5"/>
    <w:rsid w:val="008C425B"/>
    <w:rsid w:val="008C6018"/>
    <w:rsid w:val="008C6A1E"/>
    <w:rsid w:val="008D0C05"/>
    <w:rsid w:val="008D29FC"/>
    <w:rsid w:val="008D2C3B"/>
    <w:rsid w:val="008D47D8"/>
    <w:rsid w:val="008D5007"/>
    <w:rsid w:val="008D5C3A"/>
    <w:rsid w:val="008E0200"/>
    <w:rsid w:val="008E0433"/>
    <w:rsid w:val="008E4CCF"/>
    <w:rsid w:val="008E5202"/>
    <w:rsid w:val="008E75E5"/>
    <w:rsid w:val="008F0FDC"/>
    <w:rsid w:val="008F18DE"/>
    <w:rsid w:val="008F24DC"/>
    <w:rsid w:val="008F3F83"/>
    <w:rsid w:val="008F4171"/>
    <w:rsid w:val="008F4C6F"/>
    <w:rsid w:val="008F6AB7"/>
    <w:rsid w:val="0090127E"/>
    <w:rsid w:val="009019E4"/>
    <w:rsid w:val="00902CAE"/>
    <w:rsid w:val="00903295"/>
    <w:rsid w:val="009034A2"/>
    <w:rsid w:val="00903F3E"/>
    <w:rsid w:val="009042E9"/>
    <w:rsid w:val="00906D5B"/>
    <w:rsid w:val="0090779E"/>
    <w:rsid w:val="009117E4"/>
    <w:rsid w:val="00912CFC"/>
    <w:rsid w:val="00913081"/>
    <w:rsid w:val="00913288"/>
    <w:rsid w:val="00916514"/>
    <w:rsid w:val="00921D2B"/>
    <w:rsid w:val="0092306D"/>
    <w:rsid w:val="00923AB4"/>
    <w:rsid w:val="00923E00"/>
    <w:rsid w:val="00924515"/>
    <w:rsid w:val="00924790"/>
    <w:rsid w:val="00924EBB"/>
    <w:rsid w:val="009273C0"/>
    <w:rsid w:val="00927CF8"/>
    <w:rsid w:val="00931B2A"/>
    <w:rsid w:val="00935E45"/>
    <w:rsid w:val="00936656"/>
    <w:rsid w:val="00940283"/>
    <w:rsid w:val="00940DE1"/>
    <w:rsid w:val="0094150D"/>
    <w:rsid w:val="00941688"/>
    <w:rsid w:val="0094280E"/>
    <w:rsid w:val="009440DD"/>
    <w:rsid w:val="00946267"/>
    <w:rsid w:val="009479E1"/>
    <w:rsid w:val="0095294A"/>
    <w:rsid w:val="00953C00"/>
    <w:rsid w:val="00954405"/>
    <w:rsid w:val="009556F2"/>
    <w:rsid w:val="00955986"/>
    <w:rsid w:val="00957AE6"/>
    <w:rsid w:val="00957E49"/>
    <w:rsid w:val="0096233D"/>
    <w:rsid w:val="00962ABC"/>
    <w:rsid w:val="00962E9F"/>
    <w:rsid w:val="00963013"/>
    <w:rsid w:val="009643D1"/>
    <w:rsid w:val="009652FE"/>
    <w:rsid w:val="00966A56"/>
    <w:rsid w:val="0097153F"/>
    <w:rsid w:val="009719FE"/>
    <w:rsid w:val="0097221A"/>
    <w:rsid w:val="00973F8E"/>
    <w:rsid w:val="0097408E"/>
    <w:rsid w:val="0097475B"/>
    <w:rsid w:val="009758E9"/>
    <w:rsid w:val="0097718E"/>
    <w:rsid w:val="00980419"/>
    <w:rsid w:val="0098508F"/>
    <w:rsid w:val="009855F7"/>
    <w:rsid w:val="00985D82"/>
    <w:rsid w:val="00991745"/>
    <w:rsid w:val="00991BE8"/>
    <w:rsid w:val="00992254"/>
    <w:rsid w:val="009958AE"/>
    <w:rsid w:val="009A0ECE"/>
    <w:rsid w:val="009A3707"/>
    <w:rsid w:val="009A4295"/>
    <w:rsid w:val="009A53A0"/>
    <w:rsid w:val="009A727D"/>
    <w:rsid w:val="009B2418"/>
    <w:rsid w:val="009B2570"/>
    <w:rsid w:val="009B3305"/>
    <w:rsid w:val="009B4706"/>
    <w:rsid w:val="009B5BC3"/>
    <w:rsid w:val="009B5D11"/>
    <w:rsid w:val="009B7C13"/>
    <w:rsid w:val="009C200C"/>
    <w:rsid w:val="009C2E1B"/>
    <w:rsid w:val="009C3818"/>
    <w:rsid w:val="009C550C"/>
    <w:rsid w:val="009C7552"/>
    <w:rsid w:val="009C7C11"/>
    <w:rsid w:val="009D56DA"/>
    <w:rsid w:val="009D5DCE"/>
    <w:rsid w:val="009D660C"/>
    <w:rsid w:val="009E2280"/>
    <w:rsid w:val="009E3765"/>
    <w:rsid w:val="009E3EB2"/>
    <w:rsid w:val="009E4DE0"/>
    <w:rsid w:val="009E4EC1"/>
    <w:rsid w:val="009E4FBE"/>
    <w:rsid w:val="009E546E"/>
    <w:rsid w:val="009E6193"/>
    <w:rsid w:val="009E6C30"/>
    <w:rsid w:val="009F2BA2"/>
    <w:rsid w:val="009F5F08"/>
    <w:rsid w:val="009F6D44"/>
    <w:rsid w:val="00A0044F"/>
    <w:rsid w:val="00A04A07"/>
    <w:rsid w:val="00A05A84"/>
    <w:rsid w:val="00A05FA3"/>
    <w:rsid w:val="00A06448"/>
    <w:rsid w:val="00A06EDB"/>
    <w:rsid w:val="00A11D40"/>
    <w:rsid w:val="00A12881"/>
    <w:rsid w:val="00A209C1"/>
    <w:rsid w:val="00A20A63"/>
    <w:rsid w:val="00A210A3"/>
    <w:rsid w:val="00A21BB2"/>
    <w:rsid w:val="00A21F55"/>
    <w:rsid w:val="00A24710"/>
    <w:rsid w:val="00A24B02"/>
    <w:rsid w:val="00A25EBE"/>
    <w:rsid w:val="00A30286"/>
    <w:rsid w:val="00A30580"/>
    <w:rsid w:val="00A30A17"/>
    <w:rsid w:val="00A30A26"/>
    <w:rsid w:val="00A31D9D"/>
    <w:rsid w:val="00A35467"/>
    <w:rsid w:val="00A3650D"/>
    <w:rsid w:val="00A37D20"/>
    <w:rsid w:val="00A4094C"/>
    <w:rsid w:val="00A41691"/>
    <w:rsid w:val="00A41BA1"/>
    <w:rsid w:val="00A42F9A"/>
    <w:rsid w:val="00A43BC1"/>
    <w:rsid w:val="00A443D7"/>
    <w:rsid w:val="00A44654"/>
    <w:rsid w:val="00A44CE1"/>
    <w:rsid w:val="00A458BA"/>
    <w:rsid w:val="00A46D13"/>
    <w:rsid w:val="00A46D20"/>
    <w:rsid w:val="00A47801"/>
    <w:rsid w:val="00A5040B"/>
    <w:rsid w:val="00A50BA9"/>
    <w:rsid w:val="00A50C0E"/>
    <w:rsid w:val="00A50D15"/>
    <w:rsid w:val="00A52CA0"/>
    <w:rsid w:val="00A52EBB"/>
    <w:rsid w:val="00A53F3C"/>
    <w:rsid w:val="00A549B0"/>
    <w:rsid w:val="00A56626"/>
    <w:rsid w:val="00A570A7"/>
    <w:rsid w:val="00A60B93"/>
    <w:rsid w:val="00A6114C"/>
    <w:rsid w:val="00A614C6"/>
    <w:rsid w:val="00A640F3"/>
    <w:rsid w:val="00A65C8A"/>
    <w:rsid w:val="00A66067"/>
    <w:rsid w:val="00A66896"/>
    <w:rsid w:val="00A66D45"/>
    <w:rsid w:val="00A67185"/>
    <w:rsid w:val="00A6771D"/>
    <w:rsid w:val="00A70164"/>
    <w:rsid w:val="00A70A20"/>
    <w:rsid w:val="00A70BDB"/>
    <w:rsid w:val="00A71EAC"/>
    <w:rsid w:val="00A72497"/>
    <w:rsid w:val="00A77CE1"/>
    <w:rsid w:val="00A80390"/>
    <w:rsid w:val="00A80FC7"/>
    <w:rsid w:val="00A84599"/>
    <w:rsid w:val="00A86076"/>
    <w:rsid w:val="00A8690B"/>
    <w:rsid w:val="00A871B9"/>
    <w:rsid w:val="00A87FA5"/>
    <w:rsid w:val="00A909B3"/>
    <w:rsid w:val="00A91AC9"/>
    <w:rsid w:val="00A91BD0"/>
    <w:rsid w:val="00A9300E"/>
    <w:rsid w:val="00A93700"/>
    <w:rsid w:val="00A93F05"/>
    <w:rsid w:val="00A94BC5"/>
    <w:rsid w:val="00AA1075"/>
    <w:rsid w:val="00AA51C4"/>
    <w:rsid w:val="00AB3B07"/>
    <w:rsid w:val="00AB5E15"/>
    <w:rsid w:val="00AB707E"/>
    <w:rsid w:val="00AC05FF"/>
    <w:rsid w:val="00AC2FDB"/>
    <w:rsid w:val="00AC36BE"/>
    <w:rsid w:val="00AC45FB"/>
    <w:rsid w:val="00AC6CB1"/>
    <w:rsid w:val="00AC78F9"/>
    <w:rsid w:val="00AD2607"/>
    <w:rsid w:val="00AD3E59"/>
    <w:rsid w:val="00AD4274"/>
    <w:rsid w:val="00AD498A"/>
    <w:rsid w:val="00AD53B9"/>
    <w:rsid w:val="00AD65D2"/>
    <w:rsid w:val="00AD6936"/>
    <w:rsid w:val="00AD6BE6"/>
    <w:rsid w:val="00AD6EE5"/>
    <w:rsid w:val="00AD7B84"/>
    <w:rsid w:val="00AE08BA"/>
    <w:rsid w:val="00AE10E7"/>
    <w:rsid w:val="00AE6182"/>
    <w:rsid w:val="00AE6C3D"/>
    <w:rsid w:val="00AE7136"/>
    <w:rsid w:val="00AF10AB"/>
    <w:rsid w:val="00AF1BC3"/>
    <w:rsid w:val="00AF2F57"/>
    <w:rsid w:val="00AF3EE9"/>
    <w:rsid w:val="00AF416C"/>
    <w:rsid w:val="00AF4268"/>
    <w:rsid w:val="00AF4B60"/>
    <w:rsid w:val="00AF4BBC"/>
    <w:rsid w:val="00AF5702"/>
    <w:rsid w:val="00AF5F72"/>
    <w:rsid w:val="00AF7B67"/>
    <w:rsid w:val="00B00E71"/>
    <w:rsid w:val="00B015F7"/>
    <w:rsid w:val="00B07027"/>
    <w:rsid w:val="00B079E2"/>
    <w:rsid w:val="00B1019A"/>
    <w:rsid w:val="00B13E08"/>
    <w:rsid w:val="00B14352"/>
    <w:rsid w:val="00B15D1A"/>
    <w:rsid w:val="00B207F4"/>
    <w:rsid w:val="00B20B41"/>
    <w:rsid w:val="00B21F50"/>
    <w:rsid w:val="00B24531"/>
    <w:rsid w:val="00B264B5"/>
    <w:rsid w:val="00B26E0F"/>
    <w:rsid w:val="00B27094"/>
    <w:rsid w:val="00B324CF"/>
    <w:rsid w:val="00B328DC"/>
    <w:rsid w:val="00B337FD"/>
    <w:rsid w:val="00B33D39"/>
    <w:rsid w:val="00B34316"/>
    <w:rsid w:val="00B35CA2"/>
    <w:rsid w:val="00B35DE2"/>
    <w:rsid w:val="00B37826"/>
    <w:rsid w:val="00B4028A"/>
    <w:rsid w:val="00B40897"/>
    <w:rsid w:val="00B44D81"/>
    <w:rsid w:val="00B4515F"/>
    <w:rsid w:val="00B45E1A"/>
    <w:rsid w:val="00B4612A"/>
    <w:rsid w:val="00B461E9"/>
    <w:rsid w:val="00B468F6"/>
    <w:rsid w:val="00B46FDC"/>
    <w:rsid w:val="00B47FA1"/>
    <w:rsid w:val="00B519D5"/>
    <w:rsid w:val="00B52040"/>
    <w:rsid w:val="00B534D6"/>
    <w:rsid w:val="00B53C08"/>
    <w:rsid w:val="00B55CE4"/>
    <w:rsid w:val="00B561CF"/>
    <w:rsid w:val="00B561DC"/>
    <w:rsid w:val="00B5646D"/>
    <w:rsid w:val="00B57B28"/>
    <w:rsid w:val="00B61C49"/>
    <w:rsid w:val="00B62887"/>
    <w:rsid w:val="00B635D7"/>
    <w:rsid w:val="00B643CA"/>
    <w:rsid w:val="00B6513F"/>
    <w:rsid w:val="00B65362"/>
    <w:rsid w:val="00B653E9"/>
    <w:rsid w:val="00B67231"/>
    <w:rsid w:val="00B7094A"/>
    <w:rsid w:val="00B72D13"/>
    <w:rsid w:val="00B72FA8"/>
    <w:rsid w:val="00B730ED"/>
    <w:rsid w:val="00B745F5"/>
    <w:rsid w:val="00B74BD6"/>
    <w:rsid w:val="00B75E78"/>
    <w:rsid w:val="00B75F80"/>
    <w:rsid w:val="00B76CA9"/>
    <w:rsid w:val="00B77361"/>
    <w:rsid w:val="00B800A4"/>
    <w:rsid w:val="00B80919"/>
    <w:rsid w:val="00B817F0"/>
    <w:rsid w:val="00B81E5B"/>
    <w:rsid w:val="00B83865"/>
    <w:rsid w:val="00B84B2E"/>
    <w:rsid w:val="00B87D46"/>
    <w:rsid w:val="00B90347"/>
    <w:rsid w:val="00B92ECF"/>
    <w:rsid w:val="00B951A0"/>
    <w:rsid w:val="00B95FFD"/>
    <w:rsid w:val="00B96E09"/>
    <w:rsid w:val="00B974B9"/>
    <w:rsid w:val="00BA25C3"/>
    <w:rsid w:val="00BA2865"/>
    <w:rsid w:val="00BA3186"/>
    <w:rsid w:val="00BA695D"/>
    <w:rsid w:val="00BA7596"/>
    <w:rsid w:val="00BB11E0"/>
    <w:rsid w:val="00BB23DF"/>
    <w:rsid w:val="00BB361D"/>
    <w:rsid w:val="00BB3FD6"/>
    <w:rsid w:val="00BB56F8"/>
    <w:rsid w:val="00BB70A7"/>
    <w:rsid w:val="00BB7B9D"/>
    <w:rsid w:val="00BC0D4F"/>
    <w:rsid w:val="00BC2EB0"/>
    <w:rsid w:val="00BC62AE"/>
    <w:rsid w:val="00BD0EBE"/>
    <w:rsid w:val="00BD103A"/>
    <w:rsid w:val="00BD1D6A"/>
    <w:rsid w:val="00BD28E8"/>
    <w:rsid w:val="00BD5939"/>
    <w:rsid w:val="00BD5F37"/>
    <w:rsid w:val="00BD6FFF"/>
    <w:rsid w:val="00BD7144"/>
    <w:rsid w:val="00BD7FD6"/>
    <w:rsid w:val="00BE0351"/>
    <w:rsid w:val="00BE0DAB"/>
    <w:rsid w:val="00BE2F15"/>
    <w:rsid w:val="00BE35BC"/>
    <w:rsid w:val="00BE4806"/>
    <w:rsid w:val="00BE51C0"/>
    <w:rsid w:val="00BE5805"/>
    <w:rsid w:val="00BE5D51"/>
    <w:rsid w:val="00BF1454"/>
    <w:rsid w:val="00BF15F6"/>
    <w:rsid w:val="00BF29B5"/>
    <w:rsid w:val="00BF5702"/>
    <w:rsid w:val="00BF5E32"/>
    <w:rsid w:val="00BF76F1"/>
    <w:rsid w:val="00C03039"/>
    <w:rsid w:val="00C05479"/>
    <w:rsid w:val="00C05585"/>
    <w:rsid w:val="00C079EB"/>
    <w:rsid w:val="00C125B0"/>
    <w:rsid w:val="00C1322B"/>
    <w:rsid w:val="00C142B7"/>
    <w:rsid w:val="00C163FB"/>
    <w:rsid w:val="00C16A59"/>
    <w:rsid w:val="00C16A73"/>
    <w:rsid w:val="00C205AB"/>
    <w:rsid w:val="00C21285"/>
    <w:rsid w:val="00C22834"/>
    <w:rsid w:val="00C23B04"/>
    <w:rsid w:val="00C244D4"/>
    <w:rsid w:val="00C24A6E"/>
    <w:rsid w:val="00C312D1"/>
    <w:rsid w:val="00C3183D"/>
    <w:rsid w:val="00C358EF"/>
    <w:rsid w:val="00C35C59"/>
    <w:rsid w:val="00C36395"/>
    <w:rsid w:val="00C369CB"/>
    <w:rsid w:val="00C37AFF"/>
    <w:rsid w:val="00C37B7C"/>
    <w:rsid w:val="00C4124C"/>
    <w:rsid w:val="00C414C5"/>
    <w:rsid w:val="00C41EC3"/>
    <w:rsid w:val="00C42C72"/>
    <w:rsid w:val="00C45930"/>
    <w:rsid w:val="00C463B8"/>
    <w:rsid w:val="00C469AD"/>
    <w:rsid w:val="00C47D6B"/>
    <w:rsid w:val="00C5337D"/>
    <w:rsid w:val="00C54C59"/>
    <w:rsid w:val="00C6006D"/>
    <w:rsid w:val="00C605C7"/>
    <w:rsid w:val="00C6171F"/>
    <w:rsid w:val="00C61FB5"/>
    <w:rsid w:val="00C63204"/>
    <w:rsid w:val="00C641C5"/>
    <w:rsid w:val="00C64294"/>
    <w:rsid w:val="00C64EF2"/>
    <w:rsid w:val="00C7371A"/>
    <w:rsid w:val="00C73B10"/>
    <w:rsid w:val="00C73FDF"/>
    <w:rsid w:val="00C75371"/>
    <w:rsid w:val="00C767BE"/>
    <w:rsid w:val="00C77B20"/>
    <w:rsid w:val="00C80434"/>
    <w:rsid w:val="00C81388"/>
    <w:rsid w:val="00C81729"/>
    <w:rsid w:val="00C833D6"/>
    <w:rsid w:val="00C904D9"/>
    <w:rsid w:val="00C90802"/>
    <w:rsid w:val="00C90811"/>
    <w:rsid w:val="00C90DC2"/>
    <w:rsid w:val="00C91192"/>
    <w:rsid w:val="00C91328"/>
    <w:rsid w:val="00C92221"/>
    <w:rsid w:val="00C93010"/>
    <w:rsid w:val="00C9372A"/>
    <w:rsid w:val="00C93D14"/>
    <w:rsid w:val="00C945DE"/>
    <w:rsid w:val="00C948F6"/>
    <w:rsid w:val="00CA1BDD"/>
    <w:rsid w:val="00CA23CA"/>
    <w:rsid w:val="00CA3656"/>
    <w:rsid w:val="00CA3A8F"/>
    <w:rsid w:val="00CA42A4"/>
    <w:rsid w:val="00CA4D65"/>
    <w:rsid w:val="00CA69E3"/>
    <w:rsid w:val="00CA7501"/>
    <w:rsid w:val="00CB2C48"/>
    <w:rsid w:val="00CB5A3D"/>
    <w:rsid w:val="00CB5AE2"/>
    <w:rsid w:val="00CB5D4A"/>
    <w:rsid w:val="00CB5F34"/>
    <w:rsid w:val="00CB7646"/>
    <w:rsid w:val="00CB793C"/>
    <w:rsid w:val="00CB7D96"/>
    <w:rsid w:val="00CC0009"/>
    <w:rsid w:val="00CC00EF"/>
    <w:rsid w:val="00CC115C"/>
    <w:rsid w:val="00CC17FA"/>
    <w:rsid w:val="00CC1E02"/>
    <w:rsid w:val="00CC2CE6"/>
    <w:rsid w:val="00CC36D3"/>
    <w:rsid w:val="00CC3A15"/>
    <w:rsid w:val="00CC4218"/>
    <w:rsid w:val="00CC540B"/>
    <w:rsid w:val="00CD0174"/>
    <w:rsid w:val="00CD0B8D"/>
    <w:rsid w:val="00CD0C01"/>
    <w:rsid w:val="00CD0E55"/>
    <w:rsid w:val="00CD1B9C"/>
    <w:rsid w:val="00CD1BD5"/>
    <w:rsid w:val="00CD3E43"/>
    <w:rsid w:val="00CD4AF0"/>
    <w:rsid w:val="00CD6E3F"/>
    <w:rsid w:val="00CD7EC8"/>
    <w:rsid w:val="00CE24CF"/>
    <w:rsid w:val="00CE2899"/>
    <w:rsid w:val="00CE2BA8"/>
    <w:rsid w:val="00CE2E26"/>
    <w:rsid w:val="00CE497C"/>
    <w:rsid w:val="00CE75FD"/>
    <w:rsid w:val="00CF05CA"/>
    <w:rsid w:val="00CF1119"/>
    <w:rsid w:val="00CF1707"/>
    <w:rsid w:val="00CF293F"/>
    <w:rsid w:val="00CF29FC"/>
    <w:rsid w:val="00CF2BDA"/>
    <w:rsid w:val="00CF2C2E"/>
    <w:rsid w:val="00CF3D47"/>
    <w:rsid w:val="00CF55BC"/>
    <w:rsid w:val="00CF5ACD"/>
    <w:rsid w:val="00CF64E2"/>
    <w:rsid w:val="00CF6685"/>
    <w:rsid w:val="00CF763B"/>
    <w:rsid w:val="00CF7873"/>
    <w:rsid w:val="00CF7A69"/>
    <w:rsid w:val="00D001E4"/>
    <w:rsid w:val="00D00E47"/>
    <w:rsid w:val="00D0157D"/>
    <w:rsid w:val="00D03018"/>
    <w:rsid w:val="00D10E3A"/>
    <w:rsid w:val="00D1187E"/>
    <w:rsid w:val="00D123AD"/>
    <w:rsid w:val="00D123F9"/>
    <w:rsid w:val="00D131E8"/>
    <w:rsid w:val="00D1338C"/>
    <w:rsid w:val="00D136A9"/>
    <w:rsid w:val="00D144F2"/>
    <w:rsid w:val="00D16101"/>
    <w:rsid w:val="00D165A1"/>
    <w:rsid w:val="00D1765C"/>
    <w:rsid w:val="00D17868"/>
    <w:rsid w:val="00D20711"/>
    <w:rsid w:val="00D223F5"/>
    <w:rsid w:val="00D22764"/>
    <w:rsid w:val="00D23E4B"/>
    <w:rsid w:val="00D24D49"/>
    <w:rsid w:val="00D263A1"/>
    <w:rsid w:val="00D303FC"/>
    <w:rsid w:val="00D32381"/>
    <w:rsid w:val="00D33978"/>
    <w:rsid w:val="00D3414E"/>
    <w:rsid w:val="00D3432B"/>
    <w:rsid w:val="00D34C84"/>
    <w:rsid w:val="00D35D04"/>
    <w:rsid w:val="00D36768"/>
    <w:rsid w:val="00D37B8E"/>
    <w:rsid w:val="00D37C07"/>
    <w:rsid w:val="00D40417"/>
    <w:rsid w:val="00D418FB"/>
    <w:rsid w:val="00D44442"/>
    <w:rsid w:val="00D45E23"/>
    <w:rsid w:val="00D50741"/>
    <w:rsid w:val="00D52BAD"/>
    <w:rsid w:val="00D53FFD"/>
    <w:rsid w:val="00D55057"/>
    <w:rsid w:val="00D57825"/>
    <w:rsid w:val="00D61579"/>
    <w:rsid w:val="00D62517"/>
    <w:rsid w:val="00D62B73"/>
    <w:rsid w:val="00D62D17"/>
    <w:rsid w:val="00D636BE"/>
    <w:rsid w:val="00D63B96"/>
    <w:rsid w:val="00D6464E"/>
    <w:rsid w:val="00D65AA5"/>
    <w:rsid w:val="00D66F7E"/>
    <w:rsid w:val="00D71AB5"/>
    <w:rsid w:val="00D76A06"/>
    <w:rsid w:val="00D806F7"/>
    <w:rsid w:val="00D821A3"/>
    <w:rsid w:val="00D83874"/>
    <w:rsid w:val="00D843FA"/>
    <w:rsid w:val="00D8551A"/>
    <w:rsid w:val="00D855BB"/>
    <w:rsid w:val="00D85B96"/>
    <w:rsid w:val="00D85BEB"/>
    <w:rsid w:val="00D85EDD"/>
    <w:rsid w:val="00D86DBF"/>
    <w:rsid w:val="00D9061B"/>
    <w:rsid w:val="00D90A49"/>
    <w:rsid w:val="00D90AD3"/>
    <w:rsid w:val="00D916EE"/>
    <w:rsid w:val="00D91EE3"/>
    <w:rsid w:val="00D9205B"/>
    <w:rsid w:val="00D935B5"/>
    <w:rsid w:val="00D93782"/>
    <w:rsid w:val="00D9399B"/>
    <w:rsid w:val="00D9728F"/>
    <w:rsid w:val="00DA0066"/>
    <w:rsid w:val="00DA08ED"/>
    <w:rsid w:val="00DA132B"/>
    <w:rsid w:val="00DA16E6"/>
    <w:rsid w:val="00DA1964"/>
    <w:rsid w:val="00DA1E97"/>
    <w:rsid w:val="00DA214D"/>
    <w:rsid w:val="00DA21CB"/>
    <w:rsid w:val="00DA312B"/>
    <w:rsid w:val="00DA36CB"/>
    <w:rsid w:val="00DA3920"/>
    <w:rsid w:val="00DA4AC2"/>
    <w:rsid w:val="00DA762B"/>
    <w:rsid w:val="00DB2123"/>
    <w:rsid w:val="00DB2ED4"/>
    <w:rsid w:val="00DB3474"/>
    <w:rsid w:val="00DB433D"/>
    <w:rsid w:val="00DB4E7E"/>
    <w:rsid w:val="00DB5C0E"/>
    <w:rsid w:val="00DC0075"/>
    <w:rsid w:val="00DC16F7"/>
    <w:rsid w:val="00DC1B78"/>
    <w:rsid w:val="00DC1DCB"/>
    <w:rsid w:val="00DC414E"/>
    <w:rsid w:val="00DC4377"/>
    <w:rsid w:val="00DC45C0"/>
    <w:rsid w:val="00DC4693"/>
    <w:rsid w:val="00DC7486"/>
    <w:rsid w:val="00DD02DB"/>
    <w:rsid w:val="00DD0486"/>
    <w:rsid w:val="00DD368E"/>
    <w:rsid w:val="00DD4B55"/>
    <w:rsid w:val="00DD4F03"/>
    <w:rsid w:val="00DD5E8D"/>
    <w:rsid w:val="00DD5FB0"/>
    <w:rsid w:val="00DD65A7"/>
    <w:rsid w:val="00DD6EDB"/>
    <w:rsid w:val="00DD770A"/>
    <w:rsid w:val="00DD7EEC"/>
    <w:rsid w:val="00DE1C45"/>
    <w:rsid w:val="00DE2BD8"/>
    <w:rsid w:val="00DE5DE0"/>
    <w:rsid w:val="00DE5FAC"/>
    <w:rsid w:val="00DE7C39"/>
    <w:rsid w:val="00DE7C82"/>
    <w:rsid w:val="00DF1277"/>
    <w:rsid w:val="00DF207C"/>
    <w:rsid w:val="00DF3291"/>
    <w:rsid w:val="00DF3297"/>
    <w:rsid w:val="00DF666E"/>
    <w:rsid w:val="00DF6F54"/>
    <w:rsid w:val="00E0077B"/>
    <w:rsid w:val="00E02005"/>
    <w:rsid w:val="00E040A7"/>
    <w:rsid w:val="00E052C5"/>
    <w:rsid w:val="00E05A34"/>
    <w:rsid w:val="00E06729"/>
    <w:rsid w:val="00E0694C"/>
    <w:rsid w:val="00E06ECD"/>
    <w:rsid w:val="00E06FB4"/>
    <w:rsid w:val="00E11EEC"/>
    <w:rsid w:val="00E13FD9"/>
    <w:rsid w:val="00E15029"/>
    <w:rsid w:val="00E156E0"/>
    <w:rsid w:val="00E20B59"/>
    <w:rsid w:val="00E22CC0"/>
    <w:rsid w:val="00E25293"/>
    <w:rsid w:val="00E25326"/>
    <w:rsid w:val="00E253D4"/>
    <w:rsid w:val="00E25561"/>
    <w:rsid w:val="00E30E56"/>
    <w:rsid w:val="00E33541"/>
    <w:rsid w:val="00E34FE3"/>
    <w:rsid w:val="00E365CE"/>
    <w:rsid w:val="00E37CE2"/>
    <w:rsid w:val="00E37F39"/>
    <w:rsid w:val="00E401F7"/>
    <w:rsid w:val="00E402D7"/>
    <w:rsid w:val="00E40D6A"/>
    <w:rsid w:val="00E426BA"/>
    <w:rsid w:val="00E44201"/>
    <w:rsid w:val="00E447BB"/>
    <w:rsid w:val="00E44848"/>
    <w:rsid w:val="00E449AB"/>
    <w:rsid w:val="00E455F8"/>
    <w:rsid w:val="00E4793A"/>
    <w:rsid w:val="00E50ECD"/>
    <w:rsid w:val="00E520E0"/>
    <w:rsid w:val="00E5280C"/>
    <w:rsid w:val="00E52D71"/>
    <w:rsid w:val="00E530BA"/>
    <w:rsid w:val="00E54A80"/>
    <w:rsid w:val="00E56B9C"/>
    <w:rsid w:val="00E56E08"/>
    <w:rsid w:val="00E57A01"/>
    <w:rsid w:val="00E60800"/>
    <w:rsid w:val="00E61992"/>
    <w:rsid w:val="00E6448C"/>
    <w:rsid w:val="00E6526E"/>
    <w:rsid w:val="00E66329"/>
    <w:rsid w:val="00E667A9"/>
    <w:rsid w:val="00E71B36"/>
    <w:rsid w:val="00E722A2"/>
    <w:rsid w:val="00E74FFF"/>
    <w:rsid w:val="00E75287"/>
    <w:rsid w:val="00E81B38"/>
    <w:rsid w:val="00E81CB1"/>
    <w:rsid w:val="00E84682"/>
    <w:rsid w:val="00E925FB"/>
    <w:rsid w:val="00E92D5D"/>
    <w:rsid w:val="00E94195"/>
    <w:rsid w:val="00E94D6F"/>
    <w:rsid w:val="00E96283"/>
    <w:rsid w:val="00E97978"/>
    <w:rsid w:val="00EA022C"/>
    <w:rsid w:val="00EA0240"/>
    <w:rsid w:val="00EA0EA1"/>
    <w:rsid w:val="00EA15F1"/>
    <w:rsid w:val="00EA3175"/>
    <w:rsid w:val="00EA38BA"/>
    <w:rsid w:val="00EA41B9"/>
    <w:rsid w:val="00EA4355"/>
    <w:rsid w:val="00EA5850"/>
    <w:rsid w:val="00EA79B8"/>
    <w:rsid w:val="00EB787C"/>
    <w:rsid w:val="00EC0F34"/>
    <w:rsid w:val="00EC2023"/>
    <w:rsid w:val="00EC45C4"/>
    <w:rsid w:val="00EC52EE"/>
    <w:rsid w:val="00EC56E3"/>
    <w:rsid w:val="00EC57B0"/>
    <w:rsid w:val="00EC73A9"/>
    <w:rsid w:val="00EC7504"/>
    <w:rsid w:val="00EC7A3C"/>
    <w:rsid w:val="00EC7BD0"/>
    <w:rsid w:val="00ED1888"/>
    <w:rsid w:val="00ED2174"/>
    <w:rsid w:val="00ED46C8"/>
    <w:rsid w:val="00ED61EA"/>
    <w:rsid w:val="00ED68CB"/>
    <w:rsid w:val="00ED70E7"/>
    <w:rsid w:val="00EE0A17"/>
    <w:rsid w:val="00EE498E"/>
    <w:rsid w:val="00EE56AD"/>
    <w:rsid w:val="00EE6BF0"/>
    <w:rsid w:val="00EE6D5E"/>
    <w:rsid w:val="00EE7378"/>
    <w:rsid w:val="00EF12A3"/>
    <w:rsid w:val="00EF187D"/>
    <w:rsid w:val="00EF263B"/>
    <w:rsid w:val="00EF293A"/>
    <w:rsid w:val="00EF5F07"/>
    <w:rsid w:val="00EF79B9"/>
    <w:rsid w:val="00EF7B44"/>
    <w:rsid w:val="00F03E22"/>
    <w:rsid w:val="00F04892"/>
    <w:rsid w:val="00F05023"/>
    <w:rsid w:val="00F05E45"/>
    <w:rsid w:val="00F073E0"/>
    <w:rsid w:val="00F07CF4"/>
    <w:rsid w:val="00F1069C"/>
    <w:rsid w:val="00F12381"/>
    <w:rsid w:val="00F12E9E"/>
    <w:rsid w:val="00F1356A"/>
    <w:rsid w:val="00F140D4"/>
    <w:rsid w:val="00F1538A"/>
    <w:rsid w:val="00F15AEB"/>
    <w:rsid w:val="00F16347"/>
    <w:rsid w:val="00F163A1"/>
    <w:rsid w:val="00F170B1"/>
    <w:rsid w:val="00F17512"/>
    <w:rsid w:val="00F2257D"/>
    <w:rsid w:val="00F2382B"/>
    <w:rsid w:val="00F24FE1"/>
    <w:rsid w:val="00F26B57"/>
    <w:rsid w:val="00F275A1"/>
    <w:rsid w:val="00F3086B"/>
    <w:rsid w:val="00F30E4C"/>
    <w:rsid w:val="00F3103F"/>
    <w:rsid w:val="00F31AD2"/>
    <w:rsid w:val="00F31AEE"/>
    <w:rsid w:val="00F345BE"/>
    <w:rsid w:val="00F34903"/>
    <w:rsid w:val="00F34957"/>
    <w:rsid w:val="00F34A3B"/>
    <w:rsid w:val="00F352B8"/>
    <w:rsid w:val="00F3689F"/>
    <w:rsid w:val="00F410B4"/>
    <w:rsid w:val="00F42F59"/>
    <w:rsid w:val="00F4469C"/>
    <w:rsid w:val="00F44C12"/>
    <w:rsid w:val="00F452D5"/>
    <w:rsid w:val="00F4679C"/>
    <w:rsid w:val="00F47071"/>
    <w:rsid w:val="00F476F5"/>
    <w:rsid w:val="00F5047C"/>
    <w:rsid w:val="00F52561"/>
    <w:rsid w:val="00F54568"/>
    <w:rsid w:val="00F57BE3"/>
    <w:rsid w:val="00F61C05"/>
    <w:rsid w:val="00F623DC"/>
    <w:rsid w:val="00F636B5"/>
    <w:rsid w:val="00F643FB"/>
    <w:rsid w:val="00F64C1A"/>
    <w:rsid w:val="00F66CB9"/>
    <w:rsid w:val="00F67573"/>
    <w:rsid w:val="00F71C8D"/>
    <w:rsid w:val="00F73107"/>
    <w:rsid w:val="00F75C9B"/>
    <w:rsid w:val="00F777BE"/>
    <w:rsid w:val="00F77E02"/>
    <w:rsid w:val="00F8000B"/>
    <w:rsid w:val="00F82A46"/>
    <w:rsid w:val="00F86F42"/>
    <w:rsid w:val="00F90C92"/>
    <w:rsid w:val="00F90DD1"/>
    <w:rsid w:val="00F90E67"/>
    <w:rsid w:val="00F92A44"/>
    <w:rsid w:val="00F9522C"/>
    <w:rsid w:val="00FA0398"/>
    <w:rsid w:val="00FA28B7"/>
    <w:rsid w:val="00FA3016"/>
    <w:rsid w:val="00FA4519"/>
    <w:rsid w:val="00FA4E22"/>
    <w:rsid w:val="00FA76C1"/>
    <w:rsid w:val="00FA7BB4"/>
    <w:rsid w:val="00FA7E4A"/>
    <w:rsid w:val="00FB0F00"/>
    <w:rsid w:val="00FB17CD"/>
    <w:rsid w:val="00FB196B"/>
    <w:rsid w:val="00FB3DB0"/>
    <w:rsid w:val="00FB6566"/>
    <w:rsid w:val="00FC0F7B"/>
    <w:rsid w:val="00FC104F"/>
    <w:rsid w:val="00FC317A"/>
    <w:rsid w:val="00FC4C18"/>
    <w:rsid w:val="00FC51C8"/>
    <w:rsid w:val="00FC51F9"/>
    <w:rsid w:val="00FC54B6"/>
    <w:rsid w:val="00FC6D69"/>
    <w:rsid w:val="00FD09F8"/>
    <w:rsid w:val="00FD0D51"/>
    <w:rsid w:val="00FD3E88"/>
    <w:rsid w:val="00FD4714"/>
    <w:rsid w:val="00FD5EB3"/>
    <w:rsid w:val="00FD697D"/>
    <w:rsid w:val="00FD73B5"/>
    <w:rsid w:val="00FE167A"/>
    <w:rsid w:val="00FE21EE"/>
    <w:rsid w:val="00FE29D7"/>
    <w:rsid w:val="00FE32CA"/>
    <w:rsid w:val="00FE3D5E"/>
    <w:rsid w:val="00FE3F99"/>
    <w:rsid w:val="00FE7F3E"/>
    <w:rsid w:val="00FE7FA3"/>
    <w:rsid w:val="00FF05B8"/>
    <w:rsid w:val="00FF05FA"/>
    <w:rsid w:val="00FF170F"/>
    <w:rsid w:val="00FF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7D744E"/>
  <w15:chartTrackingRefBased/>
  <w15:docId w15:val="{50B2705D-106F-432B-9C21-9E0F6796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258E"/>
    <w:rPr>
      <w:rFonts w:ascii="Times" w:hAnsi="Times"/>
      <w:sz w:val="24"/>
    </w:rPr>
  </w:style>
  <w:style w:type="paragraph" w:styleId="Ttulo1">
    <w:name w:val="heading 1"/>
    <w:basedOn w:val="Normal"/>
    <w:next w:val="Normal"/>
    <w:link w:val="Ttulo1Char"/>
    <w:qFormat/>
    <w:rsid w:val="00747094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747094"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747094"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747094"/>
    <w:pPr>
      <w:keepNext/>
      <w:keepLines/>
      <w:spacing w:before="80" w:after="40"/>
      <w:outlineLvl w:val="3"/>
    </w:pPr>
    <w:rPr>
      <w:rFonts w:ascii="Aptos" w:hAnsi="Aptos"/>
      <w:i/>
      <w:iCs/>
      <w:color w:val="0F4761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747094"/>
    <w:pPr>
      <w:keepNext/>
      <w:keepLines/>
      <w:spacing w:before="80" w:after="40"/>
      <w:outlineLvl w:val="4"/>
    </w:pPr>
    <w:rPr>
      <w:rFonts w:ascii="Aptos" w:hAnsi="Aptos"/>
      <w:color w:val="0F4761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747094"/>
    <w:pPr>
      <w:keepNext/>
      <w:keepLines/>
      <w:spacing w:before="40"/>
      <w:outlineLvl w:val="5"/>
    </w:pPr>
    <w:rPr>
      <w:rFonts w:ascii="Aptos" w:hAnsi="Aptos"/>
      <w:i/>
      <w:iCs/>
      <w:color w:val="595959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747094"/>
    <w:pPr>
      <w:keepNext/>
      <w:keepLines/>
      <w:spacing w:before="40"/>
      <w:outlineLvl w:val="6"/>
    </w:pPr>
    <w:rPr>
      <w:rFonts w:ascii="Aptos" w:hAnsi="Aptos"/>
      <w:color w:val="595959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747094"/>
    <w:pPr>
      <w:keepNext/>
      <w:keepLines/>
      <w:outlineLvl w:val="7"/>
    </w:pPr>
    <w:rPr>
      <w:rFonts w:ascii="Aptos" w:hAnsi="Aptos"/>
      <w:i/>
      <w:iCs/>
      <w:color w:val="272727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747094"/>
    <w:pPr>
      <w:keepNext/>
      <w:keepLines/>
      <w:outlineLvl w:val="8"/>
    </w:pPr>
    <w:rPr>
      <w:rFonts w:ascii="Aptos" w:hAnsi="Aptos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46258E"/>
    <w:pPr>
      <w:spacing w:line="160" w:lineRule="exact"/>
    </w:pPr>
    <w:rPr>
      <w:rFonts w:ascii="Frutiger 45 Light" w:hAnsi="Frutiger 45 Light"/>
      <w:sz w:val="14"/>
    </w:rPr>
  </w:style>
  <w:style w:type="character" w:styleId="Hyperlink">
    <w:name w:val="Hyperlink"/>
    <w:rsid w:val="0046258E"/>
    <w:rPr>
      <w:rFonts w:cs="Times New Roman"/>
      <w:color w:val="0000FF"/>
      <w:u w:val="single"/>
    </w:rPr>
  </w:style>
  <w:style w:type="paragraph" w:styleId="Cabealho">
    <w:name w:val="header"/>
    <w:basedOn w:val="Normal"/>
    <w:rsid w:val="0046258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rsid w:val="0046258E"/>
    <w:pPr>
      <w:tabs>
        <w:tab w:val="center" w:pos="4320"/>
        <w:tab w:val="right" w:pos="8640"/>
      </w:tabs>
    </w:pPr>
  </w:style>
  <w:style w:type="character" w:styleId="Nmerodepgina">
    <w:name w:val="page number"/>
    <w:rsid w:val="0046258E"/>
    <w:rPr>
      <w:rFonts w:cs="Times New Roman"/>
    </w:rPr>
  </w:style>
  <w:style w:type="character" w:styleId="HiperlinkVisitado">
    <w:name w:val="FollowedHyperlink"/>
    <w:rsid w:val="0046258E"/>
    <w:rPr>
      <w:rFonts w:cs="Times New Roman"/>
      <w:color w:val="800080"/>
      <w:u w:val="single"/>
    </w:rPr>
  </w:style>
  <w:style w:type="paragraph" w:styleId="Recuodecorpodetexto">
    <w:name w:val="Body Text Indent"/>
    <w:basedOn w:val="Normal"/>
    <w:rsid w:val="0046258E"/>
    <w:pPr>
      <w:ind w:left="851"/>
      <w:jc w:val="both"/>
    </w:pPr>
  </w:style>
  <w:style w:type="paragraph" w:styleId="Corpodetexto2">
    <w:name w:val="Body Text 2"/>
    <w:basedOn w:val="Normal"/>
    <w:rsid w:val="0046258E"/>
    <w:rPr>
      <w:rFonts w:ascii="Carleton" w:hAnsi="Carleton"/>
      <w:spacing w:val="28"/>
      <w:position w:val="2"/>
      <w:sz w:val="12"/>
    </w:rPr>
  </w:style>
  <w:style w:type="paragraph" w:styleId="Textodebalo">
    <w:name w:val="Balloon Text"/>
    <w:basedOn w:val="Normal"/>
    <w:semiHidden/>
    <w:rsid w:val="00641CF4"/>
    <w:rPr>
      <w:rFonts w:ascii="Tahoma" w:hAnsi="Tahoma" w:cs="Tahoma"/>
      <w:sz w:val="16"/>
      <w:szCs w:val="16"/>
    </w:rPr>
  </w:style>
  <w:style w:type="paragraph" w:customStyle="1" w:styleId="Nromal">
    <w:name w:val="Nromal"/>
    <w:basedOn w:val="Normal"/>
    <w:rsid w:val="0083750E"/>
    <w:rPr>
      <w:rFonts w:ascii="Carleton" w:hAnsi="Carleton"/>
      <w:sz w:val="9"/>
      <w:szCs w:val="9"/>
    </w:rPr>
  </w:style>
  <w:style w:type="character" w:customStyle="1" w:styleId="RodapChar">
    <w:name w:val="Rodapé Char"/>
    <w:link w:val="Rodap"/>
    <w:uiPriority w:val="99"/>
    <w:rsid w:val="004D122D"/>
    <w:rPr>
      <w:rFonts w:ascii="Times" w:hAnsi="Times"/>
      <w:sz w:val="24"/>
    </w:rPr>
  </w:style>
  <w:style w:type="character" w:customStyle="1" w:styleId="Ttulo1Char">
    <w:name w:val="Título 1 Char"/>
    <w:link w:val="Ttulo1"/>
    <w:rsid w:val="0074709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link w:val="Ttulo2"/>
    <w:semiHidden/>
    <w:rsid w:val="00747094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link w:val="Ttulo3"/>
    <w:semiHidden/>
    <w:rsid w:val="00747094"/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Ttulo4Char">
    <w:name w:val="Título 4 Char"/>
    <w:link w:val="Ttulo4"/>
    <w:semiHidden/>
    <w:rsid w:val="00747094"/>
    <w:rPr>
      <w:rFonts w:ascii="Aptos" w:eastAsia="Times New Roman" w:hAnsi="Aptos" w:cs="Times New Roman"/>
      <w:i/>
      <w:iCs/>
      <w:color w:val="0F4761"/>
      <w:sz w:val="24"/>
    </w:rPr>
  </w:style>
  <w:style w:type="character" w:customStyle="1" w:styleId="Ttulo5Char">
    <w:name w:val="Título 5 Char"/>
    <w:link w:val="Ttulo5"/>
    <w:semiHidden/>
    <w:rsid w:val="00747094"/>
    <w:rPr>
      <w:rFonts w:ascii="Aptos" w:eastAsia="Times New Roman" w:hAnsi="Aptos" w:cs="Times New Roman"/>
      <w:color w:val="0F4761"/>
      <w:sz w:val="24"/>
    </w:rPr>
  </w:style>
  <w:style w:type="character" w:customStyle="1" w:styleId="Ttulo6Char">
    <w:name w:val="Título 6 Char"/>
    <w:link w:val="Ttulo6"/>
    <w:semiHidden/>
    <w:rsid w:val="00747094"/>
    <w:rPr>
      <w:rFonts w:ascii="Aptos" w:eastAsia="Times New Roman" w:hAnsi="Aptos" w:cs="Times New Roman"/>
      <w:i/>
      <w:iCs/>
      <w:color w:val="595959"/>
      <w:sz w:val="24"/>
    </w:rPr>
  </w:style>
  <w:style w:type="character" w:customStyle="1" w:styleId="Ttulo7Char">
    <w:name w:val="Título 7 Char"/>
    <w:link w:val="Ttulo7"/>
    <w:semiHidden/>
    <w:rsid w:val="00747094"/>
    <w:rPr>
      <w:rFonts w:ascii="Aptos" w:eastAsia="Times New Roman" w:hAnsi="Aptos" w:cs="Times New Roman"/>
      <w:color w:val="595959"/>
      <w:sz w:val="24"/>
    </w:rPr>
  </w:style>
  <w:style w:type="character" w:customStyle="1" w:styleId="Ttulo8Char">
    <w:name w:val="Título 8 Char"/>
    <w:link w:val="Ttulo8"/>
    <w:semiHidden/>
    <w:rsid w:val="00747094"/>
    <w:rPr>
      <w:rFonts w:ascii="Aptos" w:eastAsia="Times New Roman" w:hAnsi="Aptos" w:cs="Times New Roman"/>
      <w:i/>
      <w:iCs/>
      <w:color w:val="272727"/>
      <w:sz w:val="24"/>
    </w:rPr>
  </w:style>
  <w:style w:type="character" w:customStyle="1" w:styleId="Ttulo9Char">
    <w:name w:val="Título 9 Char"/>
    <w:link w:val="Ttulo9"/>
    <w:semiHidden/>
    <w:rsid w:val="00747094"/>
    <w:rPr>
      <w:rFonts w:ascii="Aptos" w:eastAsia="Times New Roman" w:hAnsi="Aptos" w:cs="Times New Roman"/>
      <w:color w:val="272727"/>
      <w:sz w:val="24"/>
    </w:rPr>
  </w:style>
  <w:style w:type="paragraph" w:styleId="Ttulo">
    <w:name w:val="Title"/>
    <w:basedOn w:val="Normal"/>
    <w:next w:val="Normal"/>
    <w:link w:val="TtuloChar"/>
    <w:qFormat/>
    <w:rsid w:val="00747094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rsid w:val="0074709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747094"/>
    <w:pPr>
      <w:numPr>
        <w:ilvl w:val="1"/>
      </w:numPr>
      <w:spacing w:after="160"/>
    </w:pPr>
    <w:rPr>
      <w:rFonts w:ascii="Aptos" w:hAnsi="Aptos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rsid w:val="00747094"/>
    <w:rPr>
      <w:rFonts w:ascii="Aptos" w:eastAsia="Times New Roman" w:hAnsi="Aptos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7094"/>
    <w:pPr>
      <w:spacing w:before="160" w:after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747094"/>
    <w:rPr>
      <w:rFonts w:ascii="Times" w:hAnsi="Times"/>
      <w:i/>
      <w:iCs/>
      <w:color w:val="404040"/>
      <w:sz w:val="24"/>
    </w:rPr>
  </w:style>
  <w:style w:type="paragraph" w:styleId="PargrafodaLista">
    <w:name w:val="List Paragraph"/>
    <w:basedOn w:val="Normal"/>
    <w:uiPriority w:val="34"/>
    <w:qFormat/>
    <w:rsid w:val="00747094"/>
    <w:pPr>
      <w:ind w:left="720"/>
      <w:contextualSpacing/>
    </w:pPr>
  </w:style>
  <w:style w:type="character" w:styleId="nfaseIntensa">
    <w:name w:val="Intense Emphasis"/>
    <w:uiPriority w:val="21"/>
    <w:qFormat/>
    <w:rsid w:val="00747094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709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747094"/>
    <w:rPr>
      <w:rFonts w:ascii="Times" w:hAnsi="Times"/>
      <w:i/>
      <w:iCs/>
      <w:color w:val="0F4761"/>
      <w:sz w:val="24"/>
    </w:rPr>
  </w:style>
  <w:style w:type="character" w:styleId="RefernciaIntensa">
    <w:name w:val="Intense Reference"/>
    <w:uiPriority w:val="32"/>
    <w:qFormat/>
    <w:rsid w:val="00747094"/>
    <w:rPr>
      <w:b/>
      <w:bCs/>
      <w:smallCaps/>
      <w:color w:val="0F4761"/>
      <w:spacing w:val="5"/>
    </w:rPr>
  </w:style>
  <w:style w:type="character" w:styleId="MenoPendente">
    <w:name w:val="Unresolved Mention"/>
    <w:uiPriority w:val="99"/>
    <w:semiHidden/>
    <w:unhideWhenUsed/>
    <w:rsid w:val="00747094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semiHidden/>
    <w:unhideWhenUsed/>
    <w:rsid w:val="00B4028A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4028A"/>
    <w:rPr>
      <w:rFonts w:ascii="Times" w:hAnsi="Times"/>
    </w:rPr>
  </w:style>
  <w:style w:type="character" w:styleId="Refdenotaderodap">
    <w:name w:val="footnote reference"/>
    <w:basedOn w:val="Fontepargpadro"/>
    <w:semiHidden/>
    <w:unhideWhenUsed/>
    <w:rsid w:val="00B4028A"/>
    <w:rPr>
      <w:vertAlign w:val="superscript"/>
    </w:rPr>
  </w:style>
  <w:style w:type="table" w:styleId="Tabelacomgrade">
    <w:name w:val="Table Grid"/>
    <w:basedOn w:val="Tabelanormal"/>
    <w:rsid w:val="00A30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753C25"/>
    <w:rPr>
      <w:rFonts w:ascii="Times" w:hAnsi="Times"/>
      <w:sz w:val="24"/>
    </w:rPr>
  </w:style>
  <w:style w:type="character" w:styleId="Refdecomentrio">
    <w:name w:val="annotation reference"/>
    <w:basedOn w:val="Fontepargpadro"/>
    <w:semiHidden/>
    <w:unhideWhenUsed/>
    <w:rsid w:val="009B2570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9B2570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9B2570"/>
    <w:rPr>
      <w:rFonts w:ascii="Times" w:hAnsi="Times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9B257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9B2570"/>
    <w:rPr>
      <w:rFonts w:ascii="Times" w:hAnsi="Time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customXml" Target="/customXML/item4.xml" Id="imanage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acazmartin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.xml" Id="iManageProps" /></Relationships>
</file>

<file path=customXML/item4.xml><?xml version="1.0" encoding="utf-8"?>
<properties xmlns="http://www.imanage.com/work/xmlschema">
  <documentid>DOCS!3940161.1</documentid>
  <senderid>GABRIELAPALHUCA</senderid>
  <senderemail>GABRIELAPALHUCA@LACAZMARTINS.COM.BR</senderemail>
  <lastmodified>2026-08-14T16:05:00.0000000-03:00</lastmodified>
  <database>DOCS</database>
</properties>
</file>

<file path=customXML/itemProps4.xml><?xml version="1.0" encoding="utf-8"?>
<ds:datastoreItem xmlns:ds="http://schemas.openxmlformats.org/officeDocument/2006/customXml" ds:itemID="{D288A7BE-49E8-40A7-85F9-E8CDA0B7E29A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F7DB01B225424292D6D1DABA3D464A" ma:contentTypeVersion="14" ma:contentTypeDescription="Create a new document." ma:contentTypeScope="" ma:versionID="10c51fc31823fd7e537b2f729473fd24">
  <xsd:schema xmlns:xsd="http://www.w3.org/2001/XMLSchema" xmlns:xs="http://www.w3.org/2001/XMLSchema" xmlns:p="http://schemas.microsoft.com/office/2006/metadata/properties" xmlns:ns3="c3853c0c-0a4e-4d50-bb0d-273faf396103" xmlns:ns4="87476af7-cab6-4ad9-a802-0a2390a2155c" targetNamespace="http://schemas.microsoft.com/office/2006/metadata/properties" ma:root="true" ma:fieldsID="7def207685eb8ded62b1e04b1785aeed" ns3:_="" ns4:_="">
    <xsd:import namespace="c3853c0c-0a4e-4d50-bb0d-273faf396103"/>
    <xsd:import namespace="87476af7-cab6-4ad9-a802-0a2390a215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53c0c-0a4e-4d50-bb0d-273faf3961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76af7-cab6-4ad9-a802-0a2390a2155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FA1682-2C49-4F21-B291-86D59EFEC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853c0c-0a4e-4d50-bb0d-273faf396103"/>
    <ds:schemaRef ds:uri="87476af7-cab6-4ad9-a802-0a2390a21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E826B2-06A0-449A-93C4-6CE616201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7C4B63-47DC-4794-BF74-81B96EEA1B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2856</Words>
  <Characters>15426</Characters>
  <Application>Microsoft Office Word</Application>
  <DocSecurity>4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LACAZ MARTINS</vt:lpstr>
    </vt:vector>
  </TitlesOfParts>
  <Company/>
  <LinksUpToDate>false</LinksUpToDate>
  <CharactersWithSpaces>18246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LACAZ MARTINS</dc:title>
  <dc:subject/>
  <dc:creator>DSE - Debora Silva Sena</dc:creator>
  <cp:keywords/>
  <dc:description/>
  <cp:lastModifiedBy>GSL - Gabriela Silvério Palhuca</cp:lastModifiedBy>
  <cp:revision>2</cp:revision>
  <cp:lastPrinted>2015-11-25T10:42:00Z</cp:lastPrinted>
  <dcterms:created xsi:type="dcterms:W3CDTF">2026-08-14T19:05:00Z</dcterms:created>
  <dcterms:modified xsi:type="dcterms:W3CDTF">2026-08-14T19:05:00Z</dcterms:modified>
</cp:coreProperties>
</file>