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f81d0dc4ec2bec1c2758258c58929536de3b913"/>
    <w:p>
      <w:pPr>
        <w:pStyle w:val="Heading1"/>
      </w:pPr>
      <w:r>
        <w:t xml:space="preserve">[USO INTERNO] Consórcio AMSA (Maciço de Baturité/CE) — posição consolidada e estrutura jurídica do modelo de destinação final regional</w:t>
      </w:r>
    </w:p>
    <w:p>
      <w:pPr>
        <w:pStyle w:val="FirstParagraph"/>
      </w:pPr>
      <w:r>
        <w:rPr>
          <w:bCs/>
          <w:b/>
        </w:rPr>
        <w:t xml:space="preserve">Memo interno</w:t>
      </w:r>
      <w:r>
        <w:t xml:space="preserve"> </w:t>
      </w:r>
      <w:r>
        <w:t xml:space="preserve">· 9 de setembro de 2026</w:t>
      </w:r>
    </w:p>
    <w:p>
      <w:pPr>
        <w:pStyle w:val="BodyText"/>
      </w:pPr>
      <w:r>
        <w:rPr>
          <w:bCs/>
          <w:b/>
        </w:rPr>
        <w:t xml:space="preserve">Assunto:</w:t>
      </w:r>
      <w:r>
        <w:t xml:space="preserve"> </w:t>
      </w:r>
      <w:r>
        <w:t xml:space="preserve">consolidação das discussões de 4 a 8 de setembro de 2026 sobre a contratação única, pela AMSA, de uma unidade de destinação final para os consorciados, custeada pela cota mensal do rateio com franquia igual para todos e por cota extra do município que exceder a franquia. O memo adota uma posição, descreve a estrutura jurídica completa dessa posição e fecha as alternativas em blocos separados, para que os fundamentos de uma não sejam usados na outra.</w:t>
      </w:r>
    </w:p>
    <w:p>
      <w:pPr>
        <w:pStyle w:val="BodyText"/>
      </w:pPr>
      <w:r>
        <w:rPr>
          <w:bCs/>
          <w:b/>
        </w:rPr>
        <w:t xml:space="preserve">Escopo:</w:t>
      </w:r>
      <w:r>
        <w:t xml:space="preserve"> </w:t>
      </w:r>
      <w:r>
        <w:t xml:space="preserve">estrutura jurídica. Sem valores, sem contra-argumentos, sem regime de inadimplência e sem contabilidade. A unidade de destinação é referida como</w:t>
      </w:r>
      <w:r>
        <w:t xml:space="preserve"> </w:t>
      </w:r>
      <w:r>
        <w:t xml:space="preserve">“</w:t>
      </w:r>
      <w:r>
        <w:t xml:space="preserve">a unidade contratada</w:t>
      </w:r>
      <w:r>
        <w:t xml:space="preserve">”</w:t>
      </w:r>
      <w:r>
        <w:t xml:space="preserve">.</w:t>
      </w:r>
    </w:p>
    <w:p>
      <w:r>
        <w:pict>
          <v:rect style="width:0;height:1.5pt" o:hralign="center" o:hrstd="t" o:hr="t"/>
        </w:pict>
      </w:r>
    </w:p>
    <w:bookmarkStart w:id="20" w:name="síntese-da-posição-consolidada"/>
    <w:p>
      <w:pPr>
        <w:pStyle w:val="Heading2"/>
      </w:pPr>
      <w:r>
        <w:t xml:space="preserve">1. Síntese da posição consolidada</w:t>
      </w:r>
    </w:p>
    <w:p>
      <w:pPr>
        <w:pStyle w:val="FirstParagraph"/>
      </w:pPr>
      <w:r>
        <w:t xml:space="preserve">A AMSA presta diretamente aos consorciados a atividade de destinação final, na condição de autarquia intermunicipal que integra a administração indireta de cada município. A unidade contratada é terceira contratada pela AMSA para executar essa atividade, não delegatária do serviço. Os municípios custeiam a AMSA por contrato de rateio com três parcelas: cota administrativa igual, franquia de destinação igual e parcela variável, que é a cota extra de quem ultrapassar a franquia. Não há contrato de programa nem contrato de prestação de serviço entre município e AMSA. Essa escolha decorre do texto vigente: o art. 8.º, § 1.º, inciso I, da Lei n.º 11.445/2007 admite que o consórcio exclusivamente municipal preste o serviço</w:t>
      </w:r>
      <w:r>
        <w:t xml:space="preserve"> </w:t>
      </w:r>
      <w:r>
        <w:t xml:space="preserve">“</w:t>
      </w:r>
      <w:r>
        <w:t xml:space="preserve">aos seus consorciados diretamente, pela instituição de autarquia intermunicipal</w:t>
      </w:r>
      <w:r>
        <w:t xml:space="preserve">”</w:t>
      </w:r>
      <w:r>
        <w:t xml:space="preserve">, e o art. 13, § 8.º, da Lei n.º 11.107/2005 veda</w:t>
      </w:r>
      <w:r>
        <w:t xml:space="preserve"> </w:t>
      </w:r>
      <w:r>
        <w:t xml:space="preserve">“</w:t>
      </w:r>
      <w:r>
        <w:t xml:space="preserve">a formalização de novos contratos de programa</w:t>
      </w:r>
      <w:r>
        <w:t xml:space="preserve">”</w:t>
      </w:r>
      <w:r>
        <w:t xml:space="preserve"> </w:t>
      </w:r>
      <w:r>
        <w:t xml:space="preserve">para serviços de saneamento básico. A posição exige uma alteração do Contrato de Consórcio, ratificada por lei pela maioria dos municípios (art. 12-A da Lei n.º 11.107/2005).</w:t>
      </w:r>
    </w:p>
    <w:bookmarkEnd w:id="20"/>
    <w:bookmarkStart w:id="21" w:name="premissas-de-desenho-já-decididas"/>
    <w:p>
      <w:pPr>
        <w:pStyle w:val="Heading2"/>
      </w:pPr>
      <w:r>
        <w:t xml:space="preserve">2. Premissas de desenho já decididas</w:t>
      </w:r>
    </w:p>
    <w:p>
      <w:pPr>
        <w:numPr>
          <w:ilvl w:val="0"/>
          <w:numId w:val="1001"/>
        </w:numPr>
        <w:pStyle w:val="Compact"/>
      </w:pPr>
      <w:r>
        <w:t xml:space="preserve">Um único contrato de destinação final, celebrado pela AMSA, aberto a todos os consorciados.</w:t>
      </w:r>
    </w:p>
    <w:p>
      <w:pPr>
        <w:numPr>
          <w:ilvl w:val="0"/>
          <w:numId w:val="1001"/>
        </w:numPr>
        <w:pStyle w:val="Compact"/>
      </w:pPr>
      <w:r>
        <w:t xml:space="preserve">A cota mensal atual do rateio é mantida e passa a compreender uma franquia de destinação igual para todos.</w:t>
      </w:r>
    </w:p>
    <w:p>
      <w:pPr>
        <w:numPr>
          <w:ilvl w:val="0"/>
          <w:numId w:val="1001"/>
        </w:numPr>
        <w:pStyle w:val="Compact"/>
      </w:pPr>
      <w:r>
        <w:t xml:space="preserve">O município que destinar acima da franquia paga a diferença. Nenhum município custeia a tonelada de outro.</w:t>
      </w:r>
    </w:p>
    <w:p>
      <w:pPr>
        <w:numPr>
          <w:ilvl w:val="0"/>
          <w:numId w:val="1001"/>
        </w:numPr>
        <w:pStyle w:val="Compact"/>
      </w:pPr>
      <w:r>
        <w:t xml:space="preserve">A forma de contratação da unidade é definida pelo estudo técnico preliminar: licitação, credenciamento ou inexigibilidade.</w:t>
      </w:r>
    </w:p>
    <w:p>
      <w:pPr>
        <w:numPr>
          <w:ilvl w:val="0"/>
          <w:numId w:val="1001"/>
        </w:numPr>
        <w:pStyle w:val="Compact"/>
      </w:pPr>
      <w:r>
        <w:t xml:space="preserve">Não se adotam mecanismos de pagamento direto do município à unidade, como cessão de crédito ou conta vinculada com pagamento por ordem do município. A unidade tem a AMSA como única devedora.</w:t>
      </w:r>
    </w:p>
    <w:p>
      <w:pPr>
        <w:numPr>
          <w:ilvl w:val="0"/>
          <w:numId w:val="1001"/>
        </w:numPr>
        <w:pStyle w:val="Compact"/>
      </w:pPr>
      <w:r>
        <w:t xml:space="preserve">Valores, quantidades e percentuais ficam para a precificação.</w:t>
      </w:r>
    </w:p>
    <w:bookmarkEnd w:id="21"/>
    <w:bookmarkStart w:id="22" w:name="a-questão-que-define-a-estrutura"/>
    <w:p>
      <w:pPr>
        <w:pStyle w:val="Heading2"/>
      </w:pPr>
      <w:r>
        <w:t xml:space="preserve">3. A questão que define a estrutura</w:t>
      </w:r>
    </w:p>
    <w:p>
      <w:pPr>
        <w:pStyle w:val="FirstParagraph"/>
      </w:pPr>
      <w:r>
        <w:t xml:space="preserve">3.1. Em todas as versões anteriores, a relação entre cada município e a AMSA foi desenhada por contrato de programa, com base no art. 13, caput, da Lei n.º 11.107/2005, no art. 30 do Decreto n.º 6.017/2007 e nas cláusulas 7.ª, inciso II, e 50.ª, inciso I, do Contrato de Consórcio.</w:t>
      </w:r>
    </w:p>
    <w:p>
      <w:pPr>
        <w:pStyle w:val="BodyText"/>
      </w:pPr>
      <w:r>
        <w:t xml:space="preserve">3.2. A Lei n.º 14.026/2020 alterou esse quadro. O art. 13, § 8.º, da Lei n.º 11.107/2005 dispõe que</w:t>
      </w:r>
      <w:r>
        <w:t xml:space="preserve"> </w:t>
      </w:r>
      <w:r>
        <w:t xml:space="preserve">“</w:t>
      </w:r>
      <w:r>
        <w:t xml:space="preserve">os contratos de prestação de serviços públicos de saneamento básico deverão observar o art. 175 da Constituição Federal, vedada a formalização de novos contratos de programa para esse fim</w:t>
      </w:r>
      <w:r>
        <w:t xml:space="preserve">”</w:t>
      </w:r>
      <w:r>
        <w:t xml:space="preserve">. O art. 10 da Lei n.º 11.445/2007 exige concessão licitada para a prestação</w:t>
      </w:r>
      <w:r>
        <w:t xml:space="preserve"> </w:t>
      </w:r>
      <w:r>
        <w:t xml:space="preserve">“</w:t>
      </w:r>
      <w:r>
        <w:t xml:space="preserve">por entidade que não integre a administração do titular</w:t>
      </w:r>
      <w:r>
        <w:t xml:space="preserve">”</w:t>
      </w:r>
      <w:r>
        <w:t xml:space="preserve">, vedada a disciplina</w:t>
      </w:r>
      <w:r>
        <w:t xml:space="preserve"> </w:t>
      </w:r>
      <w:r>
        <w:t xml:space="preserve">“</w:t>
      </w:r>
      <w:r>
        <w:t xml:space="preserve">mediante contrato de programa</w:t>
      </w:r>
      <w:r>
        <w:t xml:space="preserve">”</w:t>
      </w:r>
      <w:r>
        <w:t xml:space="preserve">, e o § 3.º preserva apenas os contratos de programa vigentes. O art. 2.º do Decreto n.º 11.467/2023 repete a regra e, no § 1.º, admite que o prestador direto contrate terceiros pela Lei n.º 14.133/2021</w:t>
      </w:r>
      <w:r>
        <w:t xml:space="preserve"> </w:t>
      </w:r>
      <w:r>
        <w:t xml:space="preserve">“</w:t>
      </w:r>
      <w:r>
        <w:t xml:space="preserve">para determinadas atividades</w:t>
      </w:r>
      <w:r>
        <w:t xml:space="preserve">”</w:t>
      </w:r>
      <w:r>
        <w:t xml:space="preserve">. O Supremo Tribunal Federal manteve a validade dessa modelagem na ADI 6492, Tribunal Pleno, Rel. Min. Luiz Fux, j. 02/12/2021</w:t>
      </w:r>
      <w:r>
        <w:t xml:space="preserve"> </w:t>
      </w:r>
      <w:r>
        <w:rPr>
          <w:rStyle w:val="VerbatimChar"/>
        </w:rPr>
        <w:t xml:space="preserve">[VIT]</w:t>
      </w:r>
      <w:r>
        <w:t xml:space="preserve">. Resíduos sólidos são saneamento básico, art. 3.º, inciso I, alínea</w:t>
      </w:r>
      <w:r>
        <w:t xml:space="preserve"> </w:t>
      </w:r>
      <w:r>
        <w:t xml:space="preserve">“</w:t>
      </w:r>
      <w:r>
        <w:t xml:space="preserve">c</w:t>
      </w:r>
      <w:r>
        <w:t xml:space="preserve">”</w:t>
      </w:r>
      <w:r>
        <w:t xml:space="preserve">, da Lei n.º 11.445/2007.</w:t>
      </w:r>
    </w:p>
    <w:p>
      <w:pPr>
        <w:pStyle w:val="BodyText"/>
      </w:pPr>
      <w:r>
        <w:t xml:space="preserve">3.3. Há duas leituras do § 8.º. A literal alcança qualquer contrato de programa novo, inclusive entre município e consórcio. A sistemática restringe a vedação à delegação a entidade estranha à administração do titular, como o art. 10 qualifica, e preserva o contrato de programa dentro da gestão associada, porque o consórcio integra a administração indireta dos consorciados (art. 6.º, § 1.º, da Lei n.º 11.107/2005) e a Lei n.º 14.133/2021, posterior, ainda prevê dispensa para contrato de programa em prestação associada (art. 75, inciso XI). Não localizei precedente de Tribunal de Contas nem decisão judicial que enfrente a hipótese de consórcio de resíduos prestando aos consorciados após a Lei n.º 14.026/2020.</w:t>
      </w:r>
    </w:p>
    <w:p>
      <w:pPr>
        <w:pStyle w:val="BodyText"/>
      </w:pPr>
      <w:r>
        <w:t xml:space="preserve">3.4. A posição consolidada não depende de vencer essa disputa. Ela usa o caminho que a própria lei nova designa para o consórcio municipal, a prestação direta por autarquia intermunicipal, e mantém a relação com os municípios no instrumento que a Lei n.º 11.107/2005 reserva ao custeio do consórcio, o contrato de rateio. A leitura sistemática do § 8.º fica reservada à Posição II, descrita no item 5.1, e não é invocada na estrutura consolidada.</w:t>
      </w:r>
    </w:p>
    <w:bookmarkEnd w:id="22"/>
    <w:bookmarkStart w:id="33" w:name="X4d7f066947354d8bde94b24d44fa0fcd7cee807"/>
    <w:p>
      <w:pPr>
        <w:pStyle w:val="Heading2"/>
      </w:pPr>
      <w:r>
        <w:t xml:space="preserve">4. Estrutura jurídica da posição consolidada</w:t>
      </w:r>
    </w:p>
    <w:bookmarkStart w:id="23" w:name="fundamento"/>
    <w:p>
      <w:pPr>
        <w:pStyle w:val="Heading3"/>
      </w:pPr>
      <w:r>
        <w:t xml:space="preserve">4.1. Fundamento</w:t>
      </w:r>
    </w:p>
    <w:p>
      <w:pPr>
        <w:numPr>
          <w:ilvl w:val="0"/>
          <w:numId w:val="1002"/>
        </w:numPr>
        <w:pStyle w:val="Compact"/>
      </w:pPr>
      <w:r>
        <w:t xml:space="preserve">Gestão associada autorizada pelos municípios (art. 241 da Constituição Federal; cláusula 8.ª), com titularidade mantida em cada um (art. 8.º, inciso I, da Lei n.º 11.445/2007; art. 10 da Lei n.º 12.305/2010).</w:t>
      </w:r>
    </w:p>
    <w:p>
      <w:pPr>
        <w:numPr>
          <w:ilvl w:val="0"/>
          <w:numId w:val="1002"/>
        </w:numPr>
        <w:pStyle w:val="Compact"/>
      </w:pPr>
      <w:r>
        <w:t xml:space="preserve">A AMSA é</w:t>
      </w:r>
      <w:r>
        <w:t xml:space="preserve"> </w:t>
      </w:r>
      <w:r>
        <w:t xml:space="preserve">“</w:t>
      </w:r>
      <w:r>
        <w:t xml:space="preserve">autarquia, do tipo associação pública</w:t>
      </w:r>
      <w:r>
        <w:t xml:space="preserve">”</w:t>
      </w:r>
      <w:r>
        <w:t xml:space="preserve"> </w:t>
      </w:r>
      <w:r>
        <w:t xml:space="preserve">(cláusula 4.ª; art. 1.º, § 1.º, da Lei n.º 11.107/2005) e integra a administração indireta de todos os consorciados (art. 6.º, § 1.º). É a</w:t>
      </w:r>
      <w:r>
        <w:t xml:space="preserve"> </w:t>
      </w:r>
      <w:r>
        <w:t xml:space="preserve">“</w:t>
      </w:r>
      <w:r>
        <w:t xml:space="preserve">autarquia intermunicipal</w:t>
      </w:r>
      <w:r>
        <w:t xml:space="preserve">”</w:t>
      </w:r>
      <w:r>
        <w:t xml:space="preserve"> </w:t>
      </w:r>
      <w:r>
        <w:t xml:space="preserve">pela qual o consórcio exclusivamente municipal pode prestar o serviço diretamente aos consorciados (art. 8.º, § 1.º, inciso I, da Lei n.º 11.445/2007). A prestação por autarquia da administração indireta do titular é prestação direta (art. 2.º, inciso I, do Decreto n.º 11.467/2023).</w:t>
      </w:r>
    </w:p>
    <w:p>
      <w:pPr>
        <w:numPr>
          <w:ilvl w:val="0"/>
          <w:numId w:val="1002"/>
        </w:numPr>
        <w:pStyle w:val="Compact"/>
      </w:pPr>
      <w:r>
        <w:t xml:space="preserve">A prestação direta não impede a contratação de terceiros, pela Lei n.º 14.133/2021, para determinadas atividades (art. 2.º, § 1.º, do Decreto n.º 11.467/2023). A destinação final é atividade integrante do serviço (art. 3.º, inciso I, alínea</w:t>
      </w:r>
      <w:r>
        <w:t xml:space="preserve"> </w:t>
      </w:r>
      <w:r>
        <w:t xml:space="preserve">“</w:t>
      </w:r>
      <w:r>
        <w:t xml:space="preserve">c</w:t>
      </w:r>
      <w:r>
        <w:t xml:space="preserve">”</w:t>
      </w:r>
      <w:r>
        <w:t xml:space="preserve">, da Lei n.º 11.445/2007), e o contrato com a unidade é contrato de terceirização de atividade (art. 4.º, inciso IX, da Norma de Referência n.º 7/2024 da ANA), não subdelegação do serviço.</w:t>
      </w:r>
    </w:p>
    <w:p>
      <w:pPr>
        <w:numPr>
          <w:ilvl w:val="0"/>
          <w:numId w:val="1002"/>
        </w:numPr>
        <w:pStyle w:val="Compact"/>
      </w:pPr>
      <w:r>
        <w:t xml:space="preserve">O custeio da AMSA pelos consorciados se faz por contrato de rateio (art. 8.º da Lei n.º 11.107/2005; cláusula 53.ª, inciso II), que pode cobrir qualquer despesa vinculada à atuação do consórcio, vedadas as genéricas (art. 8.º, § 2.º; art. 15 do Decreto n.º 6.017/2007). A parcela variável por município atende à diretriz de que o serviço prestado a um ente determinado não seja custeado pelos demais (art. 18, parágrafo único, do Decreto n.º 6.017/2007).</w:t>
      </w:r>
    </w:p>
    <w:p>
      <w:pPr>
        <w:numPr>
          <w:ilvl w:val="0"/>
          <w:numId w:val="1002"/>
        </w:numPr>
        <w:pStyle w:val="Compact"/>
      </w:pPr>
      <w:r>
        <w:t xml:space="preserve">O plano regional integrado, homologado pelo Consórcio, vincula os consorciados quanto a instalações, tecnologia e modalidades de prestação (cláusula 8.ª, § 1.º; Anexo II, arts. 3.º e 4.º).</w:t>
      </w:r>
    </w:p>
    <w:bookmarkEnd w:id="23"/>
    <w:bookmarkStart w:id="24" w:name="alteração-do-contrato-de-consórcio"/>
    <w:p>
      <w:pPr>
        <w:pStyle w:val="Heading3"/>
      </w:pPr>
      <w:r>
        <w:t xml:space="preserve">4.2. Alteração do Contrato de Consórcio</w:t>
      </w:r>
    </w:p>
    <w:p>
      <w:pPr>
        <w:pStyle w:val="FirstParagraph"/>
      </w:pPr>
      <w:r>
        <w:t xml:space="preserve">Instrumento de alteração aprovado pela Assembleia Geral e ratificado por lei pela maioria dos consorciados (art. 12-A da Lei n.º 11.107/2005), com o seguinte conteúdo mínimo:</w:t>
      </w:r>
    </w:p>
    <w:p>
      <w:pPr>
        <w:numPr>
          <w:ilvl w:val="0"/>
          <w:numId w:val="1003"/>
        </w:numPr>
        <w:pStyle w:val="Compact"/>
      </w:pPr>
      <w:r>
        <w:t xml:space="preserve">Objetivo de prestar diretamente aos consorciados, como autarquia intermunicipal, a destinação final dos resíduos sólidos urbanos e as demais atividades que a Assembleia definir, com execução por meios próprios ou por terceiros contratados (art. 8.º, § 1.º, inciso I, da Lei n.º 11.445/2007; art. 4.º, inciso XI, alíneas</w:t>
      </w:r>
      <w:r>
        <w:t xml:space="preserve"> </w:t>
      </w:r>
      <w:r>
        <w:t xml:space="preserve">“</w:t>
      </w:r>
      <w:r>
        <w:t xml:space="preserve">a</w:t>
      </w:r>
      <w:r>
        <w:t xml:space="preserve">”</w:t>
      </w:r>
      <w:r>
        <w:t xml:space="preserve"> </w:t>
      </w:r>
      <w:r>
        <w:t xml:space="preserve">e</w:t>
      </w:r>
      <w:r>
        <w:t xml:space="preserve"> </w:t>
      </w:r>
      <w:r>
        <w:t xml:space="preserve">“</w:t>
      </w:r>
      <w:r>
        <w:t xml:space="preserve">b</w:t>
      </w:r>
      <w:r>
        <w:t xml:space="preserve">”</w:t>
      </w:r>
      <w:r>
        <w:t xml:space="preserve">, da Lei n.º 11.107/2005). Substitui, nesse ponto, a cláusula 7.ª, inciso II, e a modalidade da cláusula 8.ª, § 3.º, alínea</w:t>
      </w:r>
      <w:r>
        <w:t xml:space="preserve"> </w:t>
      </w:r>
      <w:r>
        <w:t xml:space="preserve">“</w:t>
      </w:r>
      <w:r>
        <w:t xml:space="preserve">b</w:t>
      </w:r>
      <w:r>
        <w:t xml:space="preserve">”</w:t>
      </w:r>
      <w:r>
        <w:t xml:space="preserve">.</w:t>
      </w:r>
    </w:p>
    <w:p>
      <w:pPr>
        <w:numPr>
          <w:ilvl w:val="0"/>
          <w:numId w:val="1003"/>
        </w:numPr>
        <w:pStyle w:val="Compact"/>
      </w:pPr>
      <w:r>
        <w:t xml:space="preserve">Estrutura do contrato de rateio com três parcelas: cota administrativa igual; franquia de destinação igual, expressa em toneladas mensais; parcela variável correspondente às toneladas acima da franquia, calculada pelo preço por tonelada do contrato com a unidade, homologado pela entidade reguladora. Critérios de cálculo, reajuste e revisão inseridos no contrato de consórcio (art. 4.º, inciso XI, alínea</w:t>
      </w:r>
      <w:r>
        <w:t xml:space="preserve"> </w:t>
      </w:r>
      <w:r>
        <w:t xml:space="preserve">“</w:t>
      </w:r>
      <w:r>
        <w:t xml:space="preserve">e</w:t>
      </w:r>
      <w:r>
        <w:t xml:space="preserve">”</w:t>
      </w:r>
      <w:r>
        <w:t xml:space="preserve">, da Lei n.º 11.107/2005).</w:t>
      </w:r>
    </w:p>
    <w:p>
      <w:pPr>
        <w:numPr>
          <w:ilvl w:val="0"/>
          <w:numId w:val="1003"/>
        </w:numPr>
        <w:pStyle w:val="Compact"/>
      </w:pPr>
      <w:r>
        <w:t xml:space="preserve">Cláusula 50.ª, inciso I, limitada aos contratos de programa que a lei ainda admita, sem aplicação à prestação direta.</w:t>
      </w:r>
    </w:p>
    <w:p>
      <w:pPr>
        <w:numPr>
          <w:ilvl w:val="0"/>
          <w:numId w:val="1003"/>
        </w:numPr>
        <w:pStyle w:val="Compact"/>
      </w:pPr>
      <w:r>
        <w:t xml:space="preserve">Regulamento do Fundo Regional com as contas por município, a ordem dos débitos mensais e o tratamento dos saldos (cláusula 7.ª, § 11; Anexo III, art. 10).</w:t>
      </w:r>
    </w:p>
    <w:p>
      <w:pPr>
        <w:numPr>
          <w:ilvl w:val="0"/>
          <w:numId w:val="1003"/>
        </w:numPr>
        <w:pStyle w:val="Compact"/>
      </w:pPr>
      <w:r>
        <w:t xml:space="preserve">Adequação do Estatuto, art. 49, alínea</w:t>
      </w:r>
      <w:r>
        <w:t xml:space="preserve"> </w:t>
      </w:r>
      <w:r>
        <w:t xml:space="preserve">“</w:t>
      </w:r>
      <w:r>
        <w:t xml:space="preserve">b</w:t>
      </w:r>
      <w:r>
        <w:t xml:space="preserve">”</w:t>
      </w:r>
      <w:r>
        <w:t xml:space="preserve">, à nova estrutura de receitas.</w:t>
      </w:r>
    </w:p>
    <w:bookmarkEnd w:id="24"/>
    <w:bookmarkStart w:id="25" w:name="X53da658c013d3875ec82d6a2e6500271be763b0"/>
    <w:p>
      <w:pPr>
        <w:pStyle w:val="Heading3"/>
      </w:pPr>
      <w:r>
        <w:t xml:space="preserve">4.3. Contrato entre a AMSA e a unidade contratada</w:t>
      </w:r>
    </w:p>
    <w:p>
      <w:pPr>
        <w:numPr>
          <w:ilvl w:val="0"/>
          <w:numId w:val="1004"/>
        </w:numPr>
        <w:pStyle w:val="Compact"/>
      </w:pPr>
      <w:r>
        <w:rPr>
          <w:bCs/>
          <w:b/>
        </w:rPr>
        <w:t xml:space="preserve">Partes e objeto.</w:t>
      </w:r>
      <w:r>
        <w:t xml:space="preserve"> </w:t>
      </w:r>
      <w:r>
        <w:t xml:space="preserve">A AMSA, em nome próprio e como prestadora direta, contrata unidade licenciada para o recebimento, o tratamento e a destinação final dos resíduos sólidos urbanos dos consorciados, transportados por eles até a unidade. O contrato é de execução de atividade; a responsabilidade pela prestação permanece com a AMSA.</w:t>
      </w:r>
    </w:p>
    <w:p>
      <w:pPr>
        <w:numPr>
          <w:ilvl w:val="0"/>
          <w:numId w:val="1004"/>
        </w:numPr>
        <w:pStyle w:val="Compact"/>
      </w:pPr>
      <w:r>
        <w:rPr>
          <w:bCs/>
          <w:b/>
        </w:rPr>
        <w:t xml:space="preserve">Forma de contratação.</w:t>
      </w:r>
      <w:r>
        <w:t xml:space="preserve"> </w:t>
      </w:r>
      <w:r>
        <w:t xml:space="preserve">Lei n.º 14.133/2021, a partir do estudo técnico preliminar (art. 18). Havendo pluralidade de unidades aptas na área de viabilidade definida pelo plano regional, licitação ou credenciamento em condições padronizadas e preço fixado pelo Consórcio (art. 74, inciso IV, e art. 79, inciso I). Havendo uma só, inexigibilidade por inviabilidade de competição (art. 74, caput e § 1.º), com a instrução do art. 72 e a justificativa de preço do art. 23, § 4.º.</w:t>
      </w:r>
    </w:p>
    <w:p>
      <w:pPr>
        <w:numPr>
          <w:ilvl w:val="0"/>
          <w:numId w:val="1004"/>
        </w:numPr>
        <w:pStyle w:val="Compact"/>
      </w:pPr>
      <w:r>
        <w:rPr>
          <w:bCs/>
          <w:b/>
        </w:rPr>
        <w:t xml:space="preserve">Regime.</w:t>
      </w:r>
      <w:r>
        <w:t xml:space="preserve"> </w:t>
      </w:r>
      <w:r>
        <w:t xml:space="preserve">Preço unitário por tonelada efetivamente recebida (art. 6.º, inciso XXVIII). Quantidade estimada igual à soma das franquias mais o excedente previsto</w:t>
      </w:r>
      <w:r>
        <w:t xml:space="preserve"> </w:t>
      </w:r>
      <w:r>
        <w:rPr>
          <w:rStyle w:val="VerbatimChar"/>
        </w:rPr>
        <w:t xml:space="preserve">[VALIDAÇÃO TÉCNICA]</w:t>
      </w:r>
      <w:r>
        <w:t xml:space="preserve">. Critérios e periodicidade da medição, prazo de pagamento, data-base e periodicidade do reajuste (art. 92, incisos V e VI). Acréscimos e supressões nos limites do art. 125. Serviço contínuo, prorrogável até o limite decenal (arts. 106 e 107). Divulgação no Portal Nacional de Contratações Públicas (art. 94).</w:t>
      </w:r>
    </w:p>
    <w:p>
      <w:pPr>
        <w:numPr>
          <w:ilvl w:val="0"/>
          <w:numId w:val="1004"/>
        </w:numPr>
        <w:pStyle w:val="Compact"/>
      </w:pPr>
      <w:r>
        <w:rPr>
          <w:bCs/>
          <w:b/>
        </w:rPr>
        <w:t xml:space="preserve">Medição.</w:t>
      </w:r>
      <w:r>
        <w:t xml:space="preserve"> </w:t>
      </w:r>
      <w:r>
        <w:t xml:space="preserve">Pesagem e registro de cada carga com município de origem, data, hora e peso; relatório mensal por município (parâmetros: art. 28 da Norma de Referência n.º 7/2024 da ANA; art. 23, inciso V, da Lei n.º 11.445/2007).</w:t>
      </w:r>
    </w:p>
    <w:p>
      <w:pPr>
        <w:numPr>
          <w:ilvl w:val="0"/>
          <w:numId w:val="1004"/>
        </w:numPr>
        <w:pStyle w:val="Compact"/>
      </w:pPr>
      <w:r>
        <w:rPr>
          <w:bCs/>
          <w:b/>
        </w:rPr>
        <w:t xml:space="preserve">Garantias.</w:t>
      </w:r>
      <w:r>
        <w:t xml:space="preserve"> </w:t>
      </w:r>
      <w:r>
        <w:t xml:space="preserve">Garantia contratual da unidade (art. 96) e conta garantidora do item 4.6.</w:t>
      </w:r>
    </w:p>
    <w:p>
      <w:pPr>
        <w:numPr>
          <w:ilvl w:val="0"/>
          <w:numId w:val="1004"/>
        </w:numPr>
        <w:pStyle w:val="Compact"/>
      </w:pPr>
      <w:r>
        <w:rPr>
          <w:bCs/>
          <w:b/>
        </w:rPr>
        <w:t xml:space="preserve">Vínculo.</w:t>
      </w:r>
      <w:r>
        <w:t xml:space="preserve"> </w:t>
      </w:r>
      <w:r>
        <w:t xml:space="preserve">A unidade tem um único credor pelo serviço e um único devedor pelo preço, a AMSA. Não há relação contratual entre a unidade e os municípios.</w:t>
      </w:r>
    </w:p>
    <w:bookmarkEnd w:id="25"/>
    <w:bookmarkStart w:id="26" w:name="contrato-de-rateio-com-três-parcelas"/>
    <w:p>
      <w:pPr>
        <w:pStyle w:val="Heading3"/>
      </w:pPr>
      <w:r>
        <w:t xml:space="preserve">4.4. Contrato de rateio com três parcelas</w:t>
      </w:r>
    </w:p>
    <w:p>
      <w:pPr>
        <w:numPr>
          <w:ilvl w:val="0"/>
          <w:numId w:val="1005"/>
        </w:numPr>
        <w:pStyle w:val="Compact"/>
      </w:pPr>
      <w:r>
        <w:rPr>
          <w:bCs/>
          <w:b/>
        </w:rPr>
        <w:t xml:space="preserve">Natureza.</w:t>
      </w:r>
      <w:r>
        <w:t xml:space="preserve"> </w:t>
      </w:r>
      <w:r>
        <w:t xml:space="preserve">Instrumento anual, limitado às dotações que o suportam (art. 8.º, caput e § 1.º, da Lei n.º 11.107/2005; art. 13 do Decreto n.º 6.017/2007), aprovado pela Assembleia Geral com previsão dos aportes no orçamento do Consórcio (cláusula 18.ª, inciso VII). É o único instrumento pelo qual os municípios entregam recursos à AMSA nesta posição.</w:t>
      </w:r>
    </w:p>
    <w:p>
      <w:pPr>
        <w:numPr>
          <w:ilvl w:val="0"/>
          <w:numId w:val="1005"/>
        </w:numPr>
        <w:pStyle w:val="Compact"/>
      </w:pPr>
      <w:r>
        <w:rPr>
          <w:bCs/>
          <w:b/>
        </w:rPr>
        <w:t xml:space="preserve">Parcela 1, cota administrativa.</w:t>
      </w:r>
      <w:r>
        <w:t xml:space="preserve"> </w:t>
      </w:r>
      <w:r>
        <w:t xml:space="preserve">Igual para todos. Custeia a organização e o funcionamento do Consórcio e os programas regionais que a Assembleia mantiver.</w:t>
      </w:r>
    </w:p>
    <w:p>
      <w:pPr>
        <w:numPr>
          <w:ilvl w:val="0"/>
          <w:numId w:val="1005"/>
        </w:numPr>
        <w:pStyle w:val="Compact"/>
      </w:pPr>
      <w:r>
        <w:rPr>
          <w:bCs/>
          <w:b/>
        </w:rPr>
        <w:t xml:space="preserve">Parcela 2, franquia.</w:t>
      </w:r>
      <w:r>
        <w:t xml:space="preserve"> </w:t>
      </w:r>
      <w:r>
        <w:t xml:space="preserve">Igual para todos. Custeia o contrato do item 4.3 até a quantidade mensal de toneladas por município que resultar da divisão dessa parcela pelo preço por tonelada. A franquia não utilizada não se transfere a outro município; o tratamento do saldo é fixado no próprio rateio.</w:t>
      </w:r>
    </w:p>
    <w:p>
      <w:pPr>
        <w:numPr>
          <w:ilvl w:val="0"/>
          <w:numId w:val="1005"/>
        </w:numPr>
        <w:pStyle w:val="Compact"/>
      </w:pPr>
      <w:r>
        <w:rPr>
          <w:bCs/>
          <w:b/>
        </w:rPr>
        <w:t xml:space="preserve">Parcela 3, cota extra.</w:t>
      </w:r>
      <w:r>
        <w:t xml:space="preserve"> </w:t>
      </w:r>
      <w:r>
        <w:t xml:space="preserve">Variável por município. Corresponde às toneladas acima da franquia, apuradas mensalmente, multiplicadas pelo preço homologado. O rateio fixa a fórmula, o valor estimado para o exercício e o prazo de pagamento mensal. O ajuste ao efetivamente executado é compatível com o regime do rateio anual; nesse sentido, Acórdão 357/26, TCE-PR, Tribunal Pleno, Rel. Cons. Fernando Augusto Mello Guimarães, Processo 607910/25</w:t>
      </w:r>
      <w:r>
        <w:t xml:space="preserve"> </w:t>
      </w:r>
      <w:r>
        <w:rPr>
          <w:rStyle w:val="VerbatimChar"/>
        </w:rPr>
        <w:t xml:space="preserve">[VIT]</w:t>
      </w:r>
      <w:r>
        <w:t xml:space="preserve">, e consulta respondida pelo TCE-MT em 04/08/2026, Rel. Cons. Alisson Alencar, sobre o alcance das despesas custeáveis por rateio</w:t>
      </w:r>
      <w:r>
        <w:t xml:space="preserve"> </w:t>
      </w:r>
      <w:r>
        <w:rPr>
          <w:rStyle w:val="VerbatimChar"/>
        </w:rPr>
        <w:t xml:space="preserve">[VIT]</w:t>
      </w:r>
      <w:r>
        <w:t xml:space="preserve">.</w:t>
      </w:r>
    </w:p>
    <w:p>
      <w:pPr>
        <w:numPr>
          <w:ilvl w:val="0"/>
          <w:numId w:val="1005"/>
        </w:numPr>
        <w:pStyle w:val="Compact"/>
      </w:pPr>
      <w:r>
        <w:rPr>
          <w:bCs/>
          <w:b/>
        </w:rPr>
        <w:t xml:space="preserve">Dotações.</w:t>
      </w:r>
      <w:r>
        <w:t xml:space="preserve"> </w:t>
      </w:r>
      <w:r>
        <w:t xml:space="preserve">Cada município consigna na lei orçamentária as três parcelas, a terceira por estimativa (art. 8.º, § 1.º, e § 5.º, da Lei n.º 11.107/2005; art. 60, § 2.º, da Lei n.º 4.320/1964; cláusula 59.ª, inciso I).</w:t>
      </w:r>
    </w:p>
    <w:bookmarkEnd w:id="26"/>
    <w:bookmarkStart w:id="27" w:name="mecânica-da-cota-extra"/>
    <w:p>
      <w:pPr>
        <w:pStyle w:val="Heading3"/>
      </w:pPr>
      <w:r>
        <w:t xml:space="preserve">4.5. Mecânica da cota extra</w:t>
      </w:r>
    </w:p>
    <w:p>
      <w:pPr>
        <w:numPr>
          <w:ilvl w:val="0"/>
          <w:numId w:val="1006"/>
        </w:numPr>
        <w:pStyle w:val="Compact"/>
      </w:pPr>
      <w:r>
        <w:t xml:space="preserve">O município coleta e transporta os resíduos com meios próprios e os descarrega na unidade contratada.</w:t>
      </w:r>
    </w:p>
    <w:p>
      <w:pPr>
        <w:numPr>
          <w:ilvl w:val="0"/>
          <w:numId w:val="1006"/>
        </w:numPr>
        <w:pStyle w:val="Compact"/>
      </w:pPr>
      <w:r>
        <w:t xml:space="preserve">A unidade pesa e registra cada carga por município e emite o relatório mensal.</w:t>
      </w:r>
    </w:p>
    <w:p>
      <w:pPr>
        <w:numPr>
          <w:ilvl w:val="0"/>
          <w:numId w:val="1006"/>
        </w:numPr>
        <w:pStyle w:val="Compact"/>
      </w:pPr>
      <w:r>
        <w:t xml:space="preserve">O fiscal do contrato designado pela AMSA atesta o relatório (art. 117 da Lei n.º 14.133/2021).</w:t>
      </w:r>
    </w:p>
    <w:p>
      <w:pPr>
        <w:numPr>
          <w:ilvl w:val="0"/>
          <w:numId w:val="1006"/>
        </w:numPr>
        <w:pStyle w:val="Compact"/>
      </w:pPr>
      <w:r>
        <w:t xml:space="preserve">A AMSA apura, para cada município, o volume até a franquia e o volume excedente, sem compensação entre municípios.</w:t>
      </w:r>
    </w:p>
    <w:p>
      <w:pPr>
        <w:numPr>
          <w:ilvl w:val="0"/>
          <w:numId w:val="1006"/>
        </w:numPr>
        <w:pStyle w:val="Compact"/>
      </w:pPr>
      <w:r>
        <w:t xml:space="preserve">A AMSA emite o extrato mensal do rateio com as três parcelas e o relatório anexo.</w:t>
      </w:r>
    </w:p>
    <w:p>
      <w:pPr>
        <w:numPr>
          <w:ilvl w:val="0"/>
          <w:numId w:val="1006"/>
        </w:numPr>
        <w:pStyle w:val="Compact"/>
      </w:pPr>
      <w:r>
        <w:t xml:space="preserve">O município liquida com base no contrato de rateio, na nota de empenho e no relatório (arts. 62 e 63 da Lei n.º 4.320/1964) e paga no prazo do rateio.</w:t>
      </w:r>
    </w:p>
    <w:p>
      <w:pPr>
        <w:numPr>
          <w:ilvl w:val="0"/>
          <w:numId w:val="1006"/>
        </w:numPr>
        <w:pStyle w:val="Compact"/>
      </w:pPr>
      <w:r>
        <w:t xml:space="preserve">A AMSA paga à unidade uma única fatura mensal pelo total pesado.</w:t>
      </w:r>
    </w:p>
    <w:p>
      <w:pPr>
        <w:numPr>
          <w:ilvl w:val="0"/>
          <w:numId w:val="1006"/>
        </w:numPr>
        <w:pStyle w:val="Compact"/>
      </w:pPr>
      <w:r>
        <w:t xml:space="preserve">A regra vale para qualquer consorciado que ultrapasse a franquia, sem instrumento adicional. A quantidade contratada com a unidade deve comportar os excedentes, dentro do art. 125 ou por aditivo</w:t>
      </w:r>
      <w:r>
        <w:t xml:space="preserve"> </w:t>
      </w:r>
      <w:r>
        <w:rPr>
          <w:rStyle w:val="VerbatimChar"/>
        </w:rPr>
        <w:t xml:space="preserve">[VALIDAÇÃO TÉCNICA]</w:t>
      </w:r>
      <w:r>
        <w:t xml:space="preserve">.</w:t>
      </w:r>
    </w:p>
    <w:bookmarkEnd w:id="27"/>
    <w:bookmarkStart w:id="28" w:name="X9ebeea23a97e96189ceb60e3f5032959c33cff9"/>
    <w:p>
      <w:pPr>
        <w:pStyle w:val="Heading3"/>
      </w:pPr>
      <w:r>
        <w:t xml:space="preserve">4.6. Fundo Regional, contas por município e conta garantidora</w:t>
      </w:r>
    </w:p>
    <w:p>
      <w:pPr>
        <w:numPr>
          <w:ilvl w:val="0"/>
          <w:numId w:val="1007"/>
        </w:numPr>
        <w:pStyle w:val="Compact"/>
      </w:pPr>
      <w:r>
        <w:t xml:space="preserve">A cota de cada município é depositada em conta em nome do Consórcio, específica para o município e à disposição dele, movimentada pelo Consórcio mediante determinação do município, inclusive para efetivar pagamento ao próprio Consórcio (Anexo III, art. 10, §§ 2.º e 3.º; art. 49 do Estatuto). A autorização anual de movimentação passa a contemplar as três parcelas do rateio.</w:t>
      </w:r>
    </w:p>
    <w:p>
      <w:pPr>
        <w:numPr>
          <w:ilvl w:val="0"/>
          <w:numId w:val="1007"/>
        </w:numPr>
        <w:pStyle w:val="Compact"/>
      </w:pPr>
      <w:r>
        <w:t xml:space="preserve">O saldo de cada conta pertence ao município que o formou e não se comunica com as contas dos demais.</w:t>
      </w:r>
    </w:p>
    <w:p>
      <w:pPr>
        <w:numPr>
          <w:ilvl w:val="0"/>
          <w:numId w:val="1007"/>
        </w:numPr>
        <w:pStyle w:val="Compact"/>
      </w:pPr>
      <w:r>
        <w:t xml:space="preserve">A AMSA constitui conta garantidora vinculada ao contrato do item 4.3, administrada por instituição financeira com poderes exclusivos de movimentação, provisionada com recursos do Consórcio em percentual a definir na precificação e liberada à unidade na hipótese prevista no contrato. Não se confunde com as contas por município.</w:t>
      </w:r>
    </w:p>
    <w:bookmarkEnd w:id="28"/>
    <w:bookmarkStart w:id="29" w:name="regulação-e-fiscalização"/>
    <w:p>
      <w:pPr>
        <w:pStyle w:val="Heading3"/>
      </w:pPr>
      <w:r>
        <w:t xml:space="preserve">4.7. Regulação e fiscalização</w:t>
      </w:r>
    </w:p>
    <w:p>
      <w:pPr>
        <w:numPr>
          <w:ilvl w:val="0"/>
          <w:numId w:val="1008"/>
        </w:numPr>
        <w:pStyle w:val="Compact"/>
      </w:pPr>
      <w:r>
        <w:t xml:space="preserve">Entidade reguladora designada pelo Consórcio ou delegada à Agência Reguladora do Estado do Ceará (cláusula 8.ª, § 2.º; cláusula 11.ª).</w:t>
      </w:r>
    </w:p>
    <w:p>
      <w:pPr>
        <w:numPr>
          <w:ilvl w:val="0"/>
          <w:numId w:val="1008"/>
        </w:numPr>
        <w:pStyle w:val="Compact"/>
      </w:pPr>
      <w:r>
        <w:t xml:space="preserve">Homologa o estudo de custos, o preço por tonelada e os reajustes (cláusula 11.ª, inciso III; art. 22, inciso IV, e art. 23, incisos IV e V, da Lei n.º 11.445/2007) e fiscaliza a prestação, sem se confundir com a gestão do contrato, que cabe à AMSA (art. 69, § 1.º, da Norma de Referência n.º 7/2024 da ANA). O serviço observa o princípio da continuidade (art. 70 da mesma norma).</w:t>
      </w:r>
    </w:p>
    <w:p>
      <w:pPr>
        <w:numPr>
          <w:ilvl w:val="0"/>
          <w:numId w:val="1008"/>
        </w:numPr>
        <w:pStyle w:val="Compact"/>
      </w:pPr>
      <w:r>
        <w:t xml:space="preserve">Como não há contrato de programa, não se aplicam as condições de validade do art. 11 da Lei n.º 11.445/2007 e da cláusula 49.ª, § 3.º, à relação município–AMSA. Aplicam-se ao contrato com a unidade os procedimentos da Lei n.º 14.133/2021.</w:t>
      </w:r>
    </w:p>
    <w:bookmarkEnd w:id="29"/>
    <w:bookmarkStart w:id="30" w:name="fluxo-obrigacional"/>
    <w:p>
      <w:pPr>
        <w:pStyle w:val="Heading3"/>
      </w:pPr>
      <w:r>
        <w:t xml:space="preserve">4.8. Fluxo obrigacional</w:t>
      </w:r>
    </w:p>
    <w:p>
      <w:pPr>
        <w:pStyle w:val="FirstParagraph"/>
      </w:pPr>
      <w:r>
        <w:t xml:space="preserve">A unidade contratada deve o serviço à AMSA e é credora apenas dela. A AMSA presta diretamente a destinação final a cada município e é credora de cada um pelas três parcelas do rateio. Cada município deve à AMSA o rateio e é titular do saldo da própria conta no Fundo Regional. O regulador não é parte, mas homologa o preço. O Tribunal de Contas do Estado fiscaliza o Consórcio e cada contrato de rateio (art. 9.º, parágrafo único, da Lei n.º 11.107/2005; cláusula 54.ª).</w:t>
      </w:r>
    </w:p>
    <w:bookmarkEnd w:id="30"/>
    <w:bookmarkStart w:id="31" w:name="X41f1f84bb8a54580b1771112d791bde9c33d15e"/>
    <w:p>
      <w:pPr>
        <w:pStyle w:val="Heading3"/>
      </w:pPr>
      <w:r>
        <w:t xml:space="preserve">4.9. Retirada de consorciado e extinção do Consórcio</w:t>
      </w:r>
    </w:p>
    <w:p>
      <w:pPr>
        <w:numPr>
          <w:ilvl w:val="0"/>
          <w:numId w:val="1009"/>
        </w:numPr>
        <w:pStyle w:val="Compact"/>
      </w:pPr>
      <w:r>
        <w:t xml:space="preserve">A retirada não prejudica as obrigações já constituídas entre o município e o Consórcio (cláusula 58.ª, § 1.º).</w:t>
      </w:r>
    </w:p>
    <w:p>
      <w:pPr>
        <w:numPr>
          <w:ilvl w:val="0"/>
          <w:numId w:val="1009"/>
        </w:numPr>
        <w:pStyle w:val="Compact"/>
      </w:pPr>
      <w:r>
        <w:t xml:space="preserve">Na extinção, os consorciados respondem solidariamente pelas obrigações remanescentes até a decisão que indique os responsáveis, com direito de regresso (art. 12, § 2.º, da Lei n.º 11.107/2005). O contrato com a unidade deve prever a sucessão da AMSA pelos municípios usuários, na proporção das quantidades, para preservar a continuidade.</w:t>
      </w:r>
    </w:p>
    <w:p>
      <w:pPr>
        <w:numPr>
          <w:ilvl w:val="0"/>
          <w:numId w:val="1009"/>
        </w:numPr>
        <w:pStyle w:val="Compact"/>
      </w:pPr>
      <w:r>
        <w:t xml:space="preserve">Nesta posição não existe a sobrevivência automática do art. 13, § 4.º, da Lei n.º 11.107/2005, própria do contrato de programa. A continuidade é assegurada pelo contrato com a unidade e pela solidariedade legal.</w:t>
      </w:r>
    </w:p>
    <w:bookmarkEnd w:id="31"/>
    <w:bookmarkStart w:id="32" w:name="atos-de-implementação-por-ente"/>
    <w:p>
      <w:pPr>
        <w:pStyle w:val="Heading3"/>
      </w:pPr>
      <w:r>
        <w:t xml:space="preserve">4.10. Atos de implementação, por ente</w:t>
      </w:r>
    </w:p>
    <w:p>
      <w:pPr>
        <w:numPr>
          <w:ilvl w:val="0"/>
          <w:numId w:val="1010"/>
        </w:numPr>
        <w:pStyle w:val="Compact"/>
      </w:pPr>
      <w:r>
        <w:rPr>
          <w:bCs/>
          <w:b/>
        </w:rPr>
        <w:t xml:space="preserve">Assembleia Geral.</w:t>
      </w:r>
      <w:r>
        <w:t xml:space="preserve"> </w:t>
      </w:r>
      <w:r>
        <w:t xml:space="preserve">Convocação com a antecedência da cláusula 15.ª, § 1.º. Aprovação do instrumento de alteração do Contrato de Consórcio (item 4.2), do plano regional integrado com a solução de destinação, do regulamento do Fundo Regional, do contrato de rateio com três parcelas e do orçamento com os aportes (cláusula 18.ª, incisos VII e VIII). Designação ou confirmação da entidade reguladora.</w:t>
      </w:r>
    </w:p>
    <w:p>
      <w:pPr>
        <w:numPr>
          <w:ilvl w:val="0"/>
          <w:numId w:val="1010"/>
        </w:numPr>
        <w:pStyle w:val="Compact"/>
      </w:pPr>
      <w:r>
        <w:rPr>
          <w:bCs/>
          <w:b/>
        </w:rPr>
        <w:t xml:space="preserve">Câmaras Municipais.</w:t>
      </w:r>
      <w:r>
        <w:t xml:space="preserve"> </w:t>
      </w:r>
      <w:r>
        <w:t xml:space="preserve">Leis de ratificação do instrumento de alteração na maioria dos consorciados (art. 12-A da Lei n.º 11.107/2005).</w:t>
      </w:r>
    </w:p>
    <w:p>
      <w:pPr>
        <w:numPr>
          <w:ilvl w:val="0"/>
          <w:numId w:val="1010"/>
        </w:numPr>
        <w:pStyle w:val="Compact"/>
      </w:pPr>
      <w:r>
        <w:rPr>
          <w:bCs/>
          <w:b/>
        </w:rPr>
        <w:t xml:space="preserve">Entidade reguladora.</w:t>
      </w:r>
      <w:r>
        <w:t xml:space="preserve"> </w:t>
      </w:r>
      <w:r>
        <w:t xml:space="preserve">Homologação do estudo de custos e do preço por tonelada; fiscalização.</w:t>
      </w:r>
    </w:p>
    <w:p>
      <w:pPr>
        <w:numPr>
          <w:ilvl w:val="0"/>
          <w:numId w:val="1010"/>
        </w:numPr>
        <w:pStyle w:val="Compact"/>
      </w:pPr>
      <w:r>
        <w:rPr>
          <w:bCs/>
          <w:b/>
        </w:rPr>
        <w:t xml:space="preserve">AMSA.</w:t>
      </w:r>
      <w:r>
        <w:t xml:space="preserve"> </w:t>
      </w:r>
      <w:r>
        <w:t xml:space="preserve">Estudo técnico preliminar com quantidades apuradas por pesagem</w:t>
      </w:r>
      <w:r>
        <w:t xml:space="preserve"> </w:t>
      </w:r>
      <w:r>
        <w:rPr>
          <w:rStyle w:val="VerbatimChar"/>
        </w:rPr>
        <w:t xml:space="preserve">[VALIDAÇÃO TÉCNICA]</w:t>
      </w:r>
      <w:r>
        <w:t xml:space="preserve">; definição da forma de contratação e do preço de referência; contratação da unidade e divulgação no Portal Nacional de Contratações Públicas; designação do fiscal do contrato; contratação do agente garantidor; extratos mensais e cobrança da cota extra dentro do rateio.</w:t>
      </w:r>
    </w:p>
    <w:p>
      <w:pPr>
        <w:numPr>
          <w:ilvl w:val="0"/>
          <w:numId w:val="1010"/>
        </w:numPr>
        <w:pStyle w:val="Compact"/>
      </w:pPr>
      <w:r>
        <w:rPr>
          <w:bCs/>
          <w:b/>
        </w:rPr>
        <w:t xml:space="preserve">Municípios.</w:t>
      </w:r>
      <w:r>
        <w:t xml:space="preserve"> </w:t>
      </w:r>
      <w:r>
        <w:t xml:space="preserve">Lei orçamentária com as três parcelas; assinatura do contrato de rateio; renovação anual da autorização de movimentação da conta específica; coleta e transporte até a unidade; pagamento mensal.</w:t>
      </w:r>
    </w:p>
    <w:p>
      <w:pPr>
        <w:numPr>
          <w:ilvl w:val="0"/>
          <w:numId w:val="1010"/>
        </w:numPr>
        <w:pStyle w:val="Compact"/>
      </w:pPr>
      <w:r>
        <w:rPr>
          <w:bCs/>
          <w:b/>
        </w:rPr>
        <w:t xml:space="preserve">Unidade contratada.</w:t>
      </w:r>
      <w:r>
        <w:t xml:space="preserve"> </w:t>
      </w:r>
      <w:r>
        <w:t xml:space="preserve">Pesagem e registro por município, relatório mensal, fatura única à AMSA, garantia contratual.</w:t>
      </w:r>
    </w:p>
    <w:bookmarkEnd w:id="32"/>
    <w:bookmarkEnd w:id="33"/>
    <w:bookmarkStart w:id="36" w:name="posições-alternativas-fechadas-em-si"/>
    <w:p>
      <w:pPr>
        <w:pStyle w:val="Heading2"/>
      </w:pPr>
      <w:r>
        <w:t xml:space="preserve">5. Posições alternativas, fechadas em si</w:t>
      </w:r>
    </w:p>
    <w:bookmarkStart w:id="34" w:name="posição-ii-contrato-de-programa"/>
    <w:p>
      <w:pPr>
        <w:pStyle w:val="Heading3"/>
      </w:pPr>
      <w:r>
        <w:t xml:space="preserve">5.1. Posição II — contrato de programa</w:t>
      </w:r>
    </w:p>
    <w:p>
      <w:pPr>
        <w:numPr>
          <w:ilvl w:val="0"/>
          <w:numId w:val="1011"/>
        </w:numPr>
        <w:pStyle w:val="Compact"/>
      </w:pPr>
      <w:r>
        <w:rPr>
          <w:bCs/>
          <w:b/>
        </w:rPr>
        <w:t xml:space="preserve">Pressuposto interpretativo.</w:t>
      </w:r>
      <w:r>
        <w:t xml:space="preserve"> </w:t>
      </w:r>
      <w:r>
        <w:t xml:space="preserve">Leitura sistemática do art. 13, § 8.º, da Lei n.º 11.107/2005: a vedação alcança a delegação a entidade estranha à administração do titular; dentro da gestão associada, o contrato de programa continua sendo o instrumento do art. 13, caput.</w:t>
      </w:r>
    </w:p>
    <w:p>
      <w:pPr>
        <w:numPr>
          <w:ilvl w:val="0"/>
          <w:numId w:val="1011"/>
        </w:numPr>
        <w:pStyle w:val="Compact"/>
      </w:pPr>
      <w:r>
        <w:rPr>
          <w:bCs/>
          <w:b/>
        </w:rPr>
        <w:t xml:space="preserve">Instrumento com o município.</w:t>
      </w:r>
      <w:r>
        <w:t xml:space="preserve"> </w:t>
      </w:r>
      <w:r>
        <w:t xml:space="preserve">Contrato de programa, com dispensa de licitação (art. 75, inciso XI, da Lei n.º 14.133/2021; art. 2.º, § 1.º, inciso III, da Lei n.º 11.107/2005), minuta única aprovada pela Assembleia (cláusula 18.ª, inciso VIII, alínea</w:t>
      </w:r>
      <w:r>
        <w:t xml:space="preserve"> </w:t>
      </w:r>
      <w:r>
        <w:t xml:space="preserve">“</w:t>
      </w:r>
      <w:r>
        <w:t xml:space="preserve">b</w:t>
      </w:r>
      <w:r>
        <w:t xml:space="preserve">”</w:t>
      </w:r>
      <w:r>
        <w:t xml:space="preserve">), parecer do regulador (cláusula 11.ª, § 1.º, alínea</w:t>
      </w:r>
      <w:r>
        <w:t xml:space="preserve"> </w:t>
      </w:r>
      <w:r>
        <w:t xml:space="preserve">“</w:t>
      </w:r>
      <w:r>
        <w:t xml:space="preserve">b</w:t>
      </w:r>
      <w:r>
        <w:t xml:space="preserve">”</w:t>
      </w:r>
      <w:r>
        <w:t xml:space="preserve">), condições de validade do art. 11 da Lei n.º 11.445/2007 e da cláusula 49.ª, § 3.º, inclusive consulta pública, cláusulas do art. 33 do Decreto n.º 6.017/2007 e da cláusula 49.ª, § 4.º.</w:t>
      </w:r>
    </w:p>
    <w:p>
      <w:pPr>
        <w:numPr>
          <w:ilvl w:val="0"/>
          <w:numId w:val="1011"/>
        </w:numPr>
        <w:pStyle w:val="Compact"/>
      </w:pPr>
      <w:r>
        <w:rPr>
          <w:bCs/>
          <w:b/>
        </w:rPr>
        <w:t xml:space="preserve">Rateio.</w:t>
      </w:r>
      <w:r>
        <w:t xml:space="preserve"> </w:t>
      </w:r>
      <w:r>
        <w:t xml:space="preserve">Duas parcelas: cota administrativa e franquia. A cota extra não é rateio; é remuneração do contrato de programa, paga pelo município com dotação própria.</w:t>
      </w:r>
    </w:p>
    <w:p>
      <w:pPr>
        <w:numPr>
          <w:ilvl w:val="0"/>
          <w:numId w:val="1011"/>
        </w:numPr>
        <w:pStyle w:val="Compact"/>
      </w:pPr>
      <w:r>
        <w:rPr>
          <w:bCs/>
          <w:b/>
        </w:rPr>
        <w:t xml:space="preserve">Contrato de Consórcio.</w:t>
      </w:r>
      <w:r>
        <w:t xml:space="preserve"> </w:t>
      </w:r>
      <w:r>
        <w:t xml:space="preserve">Sem alteração: as cláusulas 7.ª, inciso II, 8.ª, § 3.º, alínea</w:t>
      </w:r>
      <w:r>
        <w:t xml:space="preserve"> </w:t>
      </w:r>
      <w:r>
        <w:t xml:space="preserve">“</w:t>
      </w:r>
      <w:r>
        <w:t xml:space="preserve">b</w:t>
      </w:r>
      <w:r>
        <w:t xml:space="preserve">”</w:t>
      </w:r>
      <w:r>
        <w:t xml:space="preserve">, 50.ª, inciso I, e 53.ª, inciso I, já contemplam a estrutura.</w:t>
      </w:r>
    </w:p>
    <w:p>
      <w:pPr>
        <w:numPr>
          <w:ilvl w:val="0"/>
          <w:numId w:val="1011"/>
        </w:numPr>
        <w:pStyle w:val="Compact"/>
      </w:pPr>
      <w:r>
        <w:rPr>
          <w:bCs/>
          <w:b/>
        </w:rPr>
        <w:t xml:space="preserve">Sobrevivência.</w:t>
      </w:r>
      <w:r>
        <w:t xml:space="preserve"> </w:t>
      </w:r>
      <w:r>
        <w:t xml:space="preserve">O contrato de programa continua vigente na retirada do município e na extinção do Consórcio (art. 13, § 4.º; cláusula 50.ª, § 6.º).</w:t>
      </w:r>
    </w:p>
    <w:p>
      <w:pPr>
        <w:numPr>
          <w:ilvl w:val="0"/>
          <w:numId w:val="1011"/>
        </w:numPr>
        <w:pStyle w:val="Compact"/>
      </w:pPr>
      <w:r>
        <w:rPr>
          <w:bCs/>
          <w:b/>
        </w:rPr>
        <w:t xml:space="preserve">Contrato com a unidade, regulação, medição, contas por município e conta garantidora.</w:t>
      </w:r>
      <w:r>
        <w:t xml:space="preserve"> </w:t>
      </w:r>
      <w:r>
        <w:t xml:space="preserve">Iguais aos itens 4.3, 4.6 e 4.7.</w:t>
      </w:r>
    </w:p>
    <w:p>
      <w:pPr>
        <w:numPr>
          <w:ilvl w:val="0"/>
          <w:numId w:val="1011"/>
        </w:numPr>
        <w:pStyle w:val="Compact"/>
      </w:pPr>
      <w:r>
        <w:rPr>
          <w:bCs/>
          <w:b/>
        </w:rPr>
        <w:t xml:space="preserve">Variantes de pagamento que só existem nesta posição.</w:t>
      </w:r>
      <w:r>
        <w:t xml:space="preserve"> </w:t>
      </w:r>
      <w:r>
        <w:t xml:space="preserve">Conta vinculada por município com pagamento à unidade por ordem do município (Anexo III, art. 10) e cessão dos créditos do contrato de programa à unidade (arts. 286 a 298 e 356 a 358 do Código Civil). Ambas pressupõem o contrato de programa como título do crédito e não se transportam para a Posição I.</w:t>
      </w:r>
    </w:p>
    <w:bookmarkEnd w:id="34"/>
    <w:bookmarkStart w:id="35" w:name="X6e023140d73af9fa9ed4ac92189a2f1724e09ce"/>
    <w:p>
      <w:pPr>
        <w:pStyle w:val="Heading3"/>
      </w:pPr>
      <w:r>
        <w:t xml:space="preserve">5.2. Posição III — contratação da unidade pelos municípios</w:t>
      </w:r>
    </w:p>
    <w:p>
      <w:pPr>
        <w:numPr>
          <w:ilvl w:val="0"/>
          <w:numId w:val="1012"/>
        </w:numPr>
        <w:pStyle w:val="Compact"/>
      </w:pPr>
      <w:r>
        <w:rPr>
          <w:bCs/>
          <w:b/>
        </w:rPr>
        <w:t xml:space="preserve">Pressuposto.</w:t>
      </w:r>
      <w:r>
        <w:t xml:space="preserve"> </w:t>
      </w:r>
      <w:r>
        <w:t xml:space="preserve">A AMSA não presta a destinação final. Mantém planejamento, regulação e fiscalização (cláusulas 10.ª e 11.ª). Cada município organiza a prestação por contrato próprio (cláusula 8.ª, § 3.º, alínea</w:t>
      </w:r>
      <w:r>
        <w:t xml:space="preserve"> </w:t>
      </w:r>
      <w:r>
        <w:t xml:space="preserve">“</w:t>
      </w:r>
      <w:r>
        <w:t xml:space="preserve">a</w:t>
      </w:r>
      <w:r>
        <w:t xml:space="preserve">”</w:t>
      </w:r>
      <w:r>
        <w:t xml:space="preserve">).</w:t>
      </w:r>
    </w:p>
    <w:p>
      <w:pPr>
        <w:numPr>
          <w:ilvl w:val="0"/>
          <w:numId w:val="1012"/>
        </w:numPr>
        <w:pStyle w:val="Compact"/>
      </w:pPr>
      <w:r>
        <w:rPr>
          <w:bCs/>
          <w:b/>
        </w:rPr>
        <w:t xml:space="preserve">Instrumentos.</w:t>
      </w:r>
      <w:r>
        <w:t xml:space="preserve"> </w:t>
      </w:r>
      <w:r>
        <w:t xml:space="preserve">Contrato de cada município com a unidade, por procedimento próprio da Lei n.º 14.133/2021, ou licitação compartilhada realizada pela AMSA da qual decorram contratos assinados por cada município (cláusula 7.ª, inciso XIII; art. 19 do Decreto n.º 6.017/2007), ou registro de preços gerenciado pela AMSA (arts. 82 a 86 da Lei n.º 14.133/2021).</w:t>
      </w:r>
    </w:p>
    <w:p>
      <w:pPr>
        <w:numPr>
          <w:ilvl w:val="0"/>
          <w:numId w:val="1012"/>
        </w:numPr>
        <w:pStyle w:val="Compact"/>
      </w:pPr>
      <w:r>
        <w:rPr>
          <w:bCs/>
          <w:b/>
        </w:rPr>
        <w:t xml:space="preserve">Rateio.</w:t>
      </w:r>
      <w:r>
        <w:t xml:space="preserve"> </w:t>
      </w:r>
      <w:r>
        <w:t xml:space="preserve">Apenas cota administrativa e programas regionais. Não há franquia. O rateio não custeia a destinação final de nenhum município.</w:t>
      </w:r>
    </w:p>
    <w:p>
      <w:pPr>
        <w:numPr>
          <w:ilvl w:val="0"/>
          <w:numId w:val="1012"/>
        </w:numPr>
        <w:pStyle w:val="Compact"/>
      </w:pPr>
      <w:r>
        <w:rPr>
          <w:bCs/>
          <w:b/>
        </w:rPr>
        <w:t xml:space="preserve">Cota extra.</w:t>
      </w:r>
      <w:r>
        <w:t xml:space="preserve"> </w:t>
      </w:r>
      <w:r>
        <w:t xml:space="preserve">Não existe como categoria; o volume de cada município é o objeto do seu próprio contrato.</w:t>
      </w:r>
    </w:p>
    <w:p>
      <w:pPr>
        <w:numPr>
          <w:ilvl w:val="0"/>
          <w:numId w:val="1012"/>
        </w:numPr>
        <w:pStyle w:val="Compact"/>
      </w:pPr>
      <w:r>
        <w:rPr>
          <w:bCs/>
          <w:b/>
        </w:rPr>
        <w:t xml:space="preserve">Contrato de programa.</w:t>
      </w:r>
      <w:r>
        <w:t xml:space="preserve"> </w:t>
      </w:r>
      <w:r>
        <w:t xml:space="preserve">Inexistente. O art. 13, § 8.º, da Lei n.º 11.107/2005 não é tocado.</w:t>
      </w:r>
    </w:p>
    <w:p>
      <w:pPr>
        <w:numPr>
          <w:ilvl w:val="0"/>
          <w:numId w:val="1012"/>
        </w:numPr>
        <w:pStyle w:val="Compact"/>
      </w:pPr>
      <w:r>
        <w:rPr>
          <w:bCs/>
          <w:b/>
        </w:rPr>
        <w:t xml:space="preserve">Vínculo.</w:t>
      </w:r>
      <w:r>
        <w:t xml:space="preserve"> </w:t>
      </w:r>
      <w:r>
        <w:t xml:space="preserve">A unidade tem tantos credores e devedores quantos forem os municípios contratantes.</w:t>
      </w:r>
    </w:p>
    <w:p>
      <w:pPr>
        <w:numPr>
          <w:ilvl w:val="0"/>
          <w:numId w:val="1012"/>
        </w:numPr>
        <w:pStyle w:val="Compact"/>
      </w:pPr>
      <w:r>
        <w:t xml:space="preserve">É a estrutura examinada no memo de 4 de setembro de 2026 sobre a possibilidade de dois contratos.</w:t>
      </w:r>
    </w:p>
    <w:bookmarkEnd w:id="35"/>
    <w:bookmarkEnd w:id="36"/>
    <w:bookmarkStart w:id="37" w:name="matriz-de-confronto"/>
    <w:p>
      <w:pPr>
        <w:pStyle w:val="Heading2"/>
      </w:pPr>
      <w:r>
        <w:t xml:space="preserve">6. Matriz de confronto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Elemento</w:t>
            </w:r>
          </w:p>
        </w:tc>
        <w:tc>
          <w:tcPr/>
          <w:p>
            <w:pPr>
              <w:pStyle w:val="Compact"/>
              <w:jc w:val="left"/>
            </w:pPr>
            <w:r>
              <w:t xml:space="preserve">Posição I (consolidada)</w:t>
            </w:r>
          </w:p>
        </w:tc>
        <w:tc>
          <w:tcPr/>
          <w:p>
            <w:pPr>
              <w:pStyle w:val="Compact"/>
              <w:jc w:val="left"/>
            </w:pPr>
            <w:r>
              <w:t xml:space="preserve">Posição II</w:t>
            </w:r>
          </w:p>
        </w:tc>
        <w:tc>
          <w:tcPr/>
          <w:p>
            <w:pPr>
              <w:pStyle w:val="Compact"/>
              <w:jc w:val="left"/>
            </w:pPr>
            <w:r>
              <w:t xml:space="preserve">Posição III</w:t>
            </w:r>
          </w:p>
        </w:tc>
      </w:tr>
      <w:tr>
        <w:tc>
          <w:tcPr/>
          <w:p>
            <w:pPr>
              <w:pStyle w:val="Compact"/>
              <w:jc w:val="left"/>
            </w:pPr>
            <w:r>
              <w:t xml:space="preserve">Quem presta a destinação final</w:t>
            </w:r>
          </w:p>
        </w:tc>
        <w:tc>
          <w:tcPr/>
          <w:p>
            <w:pPr>
              <w:pStyle w:val="Compact"/>
              <w:jc w:val="left"/>
            </w:pPr>
            <w:r>
              <w:t xml:space="preserve">AMSA, diretamente, como autarquia intermunicipal</w:t>
            </w:r>
          </w:p>
        </w:tc>
        <w:tc>
          <w:tcPr/>
          <w:p>
            <w:pPr>
              <w:pStyle w:val="Compact"/>
              <w:jc w:val="left"/>
            </w:pPr>
            <w:r>
              <w:t xml:space="preserve">AMSA, como contratada em contrato de programa</w:t>
            </w:r>
          </w:p>
        </w:tc>
        <w:tc>
          <w:tcPr/>
          <w:p>
            <w:pPr>
              <w:pStyle w:val="Compact"/>
              <w:jc w:val="left"/>
            </w:pPr>
            <w:r>
              <w:t xml:space="preserve">Cada município, por contrato próprio</w:t>
            </w:r>
          </w:p>
        </w:tc>
      </w:tr>
      <w:tr>
        <w:tc>
          <w:tcPr/>
          <w:p>
            <w:pPr>
              <w:pStyle w:val="Compact"/>
              <w:jc w:val="left"/>
            </w:pPr>
            <w:r>
              <w:t xml:space="preserve">Instrumento município–AMSA</w:t>
            </w:r>
          </w:p>
        </w:tc>
        <w:tc>
          <w:tcPr/>
          <w:p>
            <w:pPr>
              <w:pStyle w:val="Compact"/>
              <w:jc w:val="left"/>
            </w:pPr>
            <w:r>
              <w:t xml:space="preserve">Contrato de rateio com três parcelas</w:t>
            </w:r>
          </w:p>
        </w:tc>
        <w:tc>
          <w:tcPr/>
          <w:p>
            <w:pPr>
              <w:pStyle w:val="Compact"/>
              <w:jc w:val="left"/>
            </w:pPr>
            <w:r>
              <w:t xml:space="preserve">Contrato de programa mais rateio com duas parcelas</w:t>
            </w:r>
          </w:p>
        </w:tc>
        <w:tc>
          <w:tcPr/>
          <w:p>
            <w:pPr>
              <w:pStyle w:val="Compact"/>
              <w:jc w:val="left"/>
            </w:pPr>
            <w:r>
              <w:t xml:space="preserve">Rateio administrativo apenas</w:t>
            </w:r>
          </w:p>
        </w:tc>
      </w:tr>
      <w:tr>
        <w:tc>
          <w:tcPr/>
          <w:p>
            <w:pPr>
              <w:pStyle w:val="Compact"/>
              <w:jc w:val="left"/>
            </w:pPr>
            <w:r>
              <w:t xml:space="preserve">Natureza da cota extra</w:t>
            </w:r>
          </w:p>
        </w:tc>
        <w:tc>
          <w:tcPr/>
          <w:p>
            <w:pPr>
              <w:pStyle w:val="Compact"/>
              <w:jc w:val="left"/>
            </w:pPr>
            <w:r>
              <w:t xml:space="preserve">Parcela variável do rateio</w:t>
            </w:r>
          </w:p>
        </w:tc>
        <w:tc>
          <w:tcPr/>
          <w:p>
            <w:pPr>
              <w:pStyle w:val="Compact"/>
              <w:jc w:val="left"/>
            </w:pPr>
            <w:r>
              <w:t xml:space="preserve">Remuneração contratual, fora do rateio</w:t>
            </w:r>
          </w:p>
        </w:tc>
        <w:tc>
          <w:tcPr/>
          <w:p>
            <w:pPr>
              <w:pStyle w:val="Compact"/>
              <w:jc w:val="left"/>
            </w:pPr>
            <w:r>
              <w:t xml:space="preserve">Não existe</w:t>
            </w:r>
          </w:p>
        </w:tc>
      </w:tr>
      <w:tr>
        <w:tc>
          <w:tcPr/>
          <w:p>
            <w:pPr>
              <w:pStyle w:val="Compact"/>
              <w:jc w:val="left"/>
            </w:pPr>
            <w:r>
              <w:t xml:space="preserve">Base da dispensa de licitação</w:t>
            </w:r>
          </w:p>
        </w:tc>
        <w:tc>
          <w:tcPr/>
          <w:p>
            <w:pPr>
              <w:pStyle w:val="Compact"/>
              <w:jc w:val="left"/>
            </w:pPr>
            <w:r>
              <w:t xml:space="preserve">Não há contrato a dispensar</w:t>
            </w:r>
          </w:p>
        </w:tc>
        <w:tc>
          <w:tcPr/>
          <w:p>
            <w:pPr>
              <w:pStyle w:val="Compact"/>
              <w:jc w:val="left"/>
            </w:pPr>
            <w:r>
              <w:t xml:space="preserve">Art. 75, inciso XI, da Lei n.º 14.133/2021</w:t>
            </w:r>
          </w:p>
        </w:tc>
        <w:tc>
          <w:tcPr/>
          <w:p>
            <w:pPr>
              <w:pStyle w:val="Compact"/>
              <w:jc w:val="left"/>
            </w:pPr>
            <w:r>
              <w:t xml:space="preserve">Não há</w:t>
            </w:r>
          </w:p>
        </w:tc>
      </w:tr>
      <w:tr>
        <w:tc>
          <w:tcPr/>
          <w:p>
            <w:pPr>
              <w:pStyle w:val="Compact"/>
              <w:jc w:val="left"/>
            </w:pPr>
            <w:r>
              <w:t xml:space="preserve">Lei n.º 14.026/2020</w:t>
            </w:r>
          </w:p>
        </w:tc>
        <w:tc>
          <w:tcPr/>
          <w:p>
            <w:pPr>
              <w:pStyle w:val="Compact"/>
              <w:jc w:val="left"/>
            </w:pPr>
            <w:r>
              <w:t xml:space="preserve">Não incide na relação município–AMSA</w:t>
            </w:r>
          </w:p>
        </w:tc>
        <w:tc>
          <w:tcPr/>
          <w:p>
            <w:pPr>
              <w:pStyle w:val="Compact"/>
              <w:jc w:val="left"/>
            </w:pPr>
            <w:r>
              <w:t xml:space="preserve">Depende da leitura sistemática do art. 13, § 8.º</w:t>
            </w:r>
          </w:p>
        </w:tc>
        <w:tc>
          <w:tcPr/>
          <w:p>
            <w:pPr>
              <w:pStyle w:val="Compact"/>
              <w:jc w:val="left"/>
            </w:pPr>
            <w:r>
              <w:t xml:space="preserve">Não incide</w:t>
            </w:r>
          </w:p>
        </w:tc>
      </w:tr>
      <w:tr>
        <w:tc>
          <w:tcPr/>
          <w:p>
            <w:pPr>
              <w:pStyle w:val="Compact"/>
              <w:jc w:val="left"/>
            </w:pPr>
            <w:r>
              <w:t xml:space="preserve">Condições do art. 11 da Lei n.º 11.445/2007 e consulta pública</w:t>
            </w:r>
          </w:p>
        </w:tc>
        <w:tc>
          <w:tcPr/>
          <w:p>
            <w:pPr>
              <w:pStyle w:val="Compact"/>
              <w:jc w:val="left"/>
            </w:pPr>
            <w:r>
              <w:t xml:space="preserve">Não se aplicam à relação município–AMSA</w:t>
            </w:r>
          </w:p>
        </w:tc>
        <w:tc>
          <w:tcPr/>
          <w:p>
            <w:pPr>
              <w:pStyle w:val="Compact"/>
              <w:jc w:val="left"/>
            </w:pPr>
            <w:r>
              <w:t xml:space="preserve">Aplicam-se ao contrato de programa</w:t>
            </w:r>
          </w:p>
        </w:tc>
        <w:tc>
          <w:tcPr/>
          <w:p>
            <w:pPr>
              <w:pStyle w:val="Compact"/>
              <w:jc w:val="left"/>
            </w:pPr>
            <w:r>
              <w:t xml:space="preserve">Aplicam-se conforme o contrato de cada município</w:t>
            </w:r>
          </w:p>
        </w:tc>
      </w:tr>
      <w:tr>
        <w:tc>
          <w:tcPr/>
          <w:p>
            <w:pPr>
              <w:pStyle w:val="Compact"/>
              <w:jc w:val="left"/>
            </w:pPr>
            <w:r>
              <w:t xml:space="preserve">Alteração do Contrato de Consórcio</w:t>
            </w:r>
          </w:p>
        </w:tc>
        <w:tc>
          <w:tcPr/>
          <w:p>
            <w:pPr>
              <w:pStyle w:val="Compact"/>
              <w:jc w:val="left"/>
            </w:pPr>
            <w:r>
              <w:t xml:space="preserve">Exigida, ratificada pela maioria</w:t>
            </w:r>
          </w:p>
        </w:tc>
        <w:tc>
          <w:tcPr/>
          <w:p>
            <w:pPr>
              <w:pStyle w:val="Compact"/>
              <w:jc w:val="left"/>
            </w:pPr>
            <w:r>
              <w:t xml:space="preserve">Não exigida</w:t>
            </w:r>
          </w:p>
        </w:tc>
        <w:tc>
          <w:tcPr/>
          <w:p>
            <w:pPr>
              <w:pStyle w:val="Compact"/>
              <w:jc w:val="left"/>
            </w:pPr>
            <w:r>
              <w:t xml:space="preserve">Não exigida</w:t>
            </w:r>
          </w:p>
        </w:tc>
      </w:tr>
      <w:tr>
        <w:tc>
          <w:tcPr/>
          <w:p>
            <w:pPr>
              <w:pStyle w:val="Compact"/>
              <w:jc w:val="left"/>
            </w:pPr>
            <w:r>
              <w:t xml:space="preserve">Sobrevivência à extinção</w:t>
            </w:r>
          </w:p>
        </w:tc>
        <w:tc>
          <w:tcPr/>
          <w:p>
            <w:pPr>
              <w:pStyle w:val="Compact"/>
              <w:jc w:val="left"/>
            </w:pPr>
            <w:r>
              <w:t xml:space="preserve">Art. 12, § 2.º; sucessão prevista no contrato com a unidade</w:t>
            </w:r>
          </w:p>
        </w:tc>
        <w:tc>
          <w:tcPr/>
          <w:p>
            <w:pPr>
              <w:pStyle w:val="Compact"/>
              <w:jc w:val="left"/>
            </w:pPr>
            <w:r>
              <w:t xml:space="preserve">Art. 13, § 4.º</w:t>
            </w:r>
          </w:p>
        </w:tc>
        <w:tc>
          <w:tcPr/>
          <w:p>
            <w:pPr>
              <w:pStyle w:val="Compact"/>
              <w:jc w:val="left"/>
            </w:pPr>
            <w:r>
              <w:t xml:space="preserve">Indiferente</w:t>
            </w:r>
          </w:p>
        </w:tc>
      </w:tr>
      <w:tr>
        <w:tc>
          <w:tcPr/>
          <w:p>
            <w:pPr>
              <w:pStyle w:val="Compact"/>
              <w:jc w:val="left"/>
            </w:pPr>
            <w:r>
              <w:t xml:space="preserve">Credor da unidade</w:t>
            </w:r>
          </w:p>
        </w:tc>
        <w:tc>
          <w:tcPr/>
          <w:p>
            <w:pPr>
              <w:pStyle w:val="Compact"/>
              <w:jc w:val="left"/>
            </w:pPr>
            <w:r>
              <w:t xml:space="preserve">AMSA</w:t>
            </w:r>
          </w:p>
        </w:tc>
        <w:tc>
          <w:tcPr/>
          <w:p>
            <w:pPr>
              <w:pStyle w:val="Compact"/>
              <w:jc w:val="left"/>
            </w:pPr>
            <w:r>
              <w:t xml:space="preserve">AMSA</w:t>
            </w:r>
          </w:p>
        </w:tc>
        <w:tc>
          <w:tcPr/>
          <w:p>
            <w:pPr>
              <w:pStyle w:val="Compact"/>
              <w:jc w:val="left"/>
            </w:pPr>
            <w:r>
              <w:t xml:space="preserve">Cada município</w:t>
            </w:r>
          </w:p>
        </w:tc>
      </w:tr>
      <w:tr>
        <w:tc>
          <w:tcPr/>
          <w:p>
            <w:pPr>
              <w:pStyle w:val="Compact"/>
              <w:jc w:val="left"/>
            </w:pPr>
            <w:r>
              <w:t xml:space="preserve">Franquia dentro da cota mensal</w:t>
            </w:r>
          </w:p>
        </w:tc>
        <w:tc>
          <w:tcPr/>
          <w:p>
            <w:pPr>
              <w:pStyle w:val="Compact"/>
              <w:jc w:val="left"/>
            </w:pPr>
            <w:r>
              <w:t xml:space="preserve">Sim</w:t>
            </w:r>
          </w:p>
        </w:tc>
        <w:tc>
          <w:tcPr/>
          <w:p>
            <w:pPr>
              <w:pStyle w:val="Compact"/>
              <w:jc w:val="left"/>
            </w:pPr>
            <w:r>
              <w:t xml:space="preserve">Sim</w:t>
            </w:r>
          </w:p>
        </w:tc>
        <w:tc>
          <w:tcPr/>
          <w:p>
            <w:pPr>
              <w:pStyle w:val="Compact"/>
              <w:jc w:val="left"/>
            </w:pPr>
            <w:r>
              <w:t xml:space="preserve">Não</w:t>
            </w:r>
          </w:p>
        </w:tc>
      </w:tr>
      <w:tr>
        <w:tc>
          <w:tcPr/>
          <w:p>
            <w:pPr>
              <w:pStyle w:val="Compact"/>
              <w:jc w:val="left"/>
            </w:pPr>
            <w:r>
              <w:t xml:space="preserve">Cessão de crédito ou conta vinculada com pagamento por ordem do município</w:t>
            </w:r>
          </w:p>
        </w:tc>
        <w:tc>
          <w:tcPr/>
          <w:p>
            <w:pPr>
              <w:pStyle w:val="Compact"/>
              <w:jc w:val="left"/>
            </w:pPr>
            <w:r>
              <w:t xml:space="preserve">Não cabe</w:t>
            </w:r>
          </w:p>
        </w:tc>
        <w:tc>
          <w:tcPr/>
          <w:p>
            <w:pPr>
              <w:pStyle w:val="Compact"/>
              <w:jc w:val="left"/>
            </w:pPr>
            <w:r>
              <w:t xml:space="preserve">Variante possível</w:t>
            </w:r>
          </w:p>
        </w:tc>
        <w:tc>
          <w:tcPr/>
          <w:p>
            <w:pPr>
              <w:pStyle w:val="Compact"/>
              <w:jc w:val="left"/>
            </w:pPr>
            <w:r>
              <w:t xml:space="preserve">Não cabe</w:t>
            </w:r>
          </w:p>
        </w:tc>
      </w:tr>
      <w:tr>
        <w:tc>
          <w:tcPr/>
          <w:p>
            <w:pPr>
              <w:pStyle w:val="Compact"/>
              <w:jc w:val="left"/>
            </w:pPr>
            <w:r>
              <w:t xml:space="preserve">Registro de preços ou licitação compartilhada</w:t>
            </w:r>
          </w:p>
        </w:tc>
        <w:tc>
          <w:tcPr/>
          <w:p>
            <w:pPr>
              <w:pStyle w:val="Compact"/>
              <w:jc w:val="left"/>
            </w:pPr>
            <w:r>
              <w:t xml:space="preserve">Não cabe</w:t>
            </w:r>
          </w:p>
        </w:tc>
        <w:tc>
          <w:tcPr/>
          <w:p>
            <w:pPr>
              <w:pStyle w:val="Compact"/>
              <w:jc w:val="left"/>
            </w:pPr>
            <w:r>
              <w:t xml:space="preserve">Não cabe</w:t>
            </w:r>
          </w:p>
        </w:tc>
        <w:tc>
          <w:tcPr/>
          <w:p>
            <w:pPr>
              <w:pStyle w:val="Compact"/>
              <w:jc w:val="left"/>
            </w:pPr>
            <w:r>
              <w:t xml:space="preserve">Cabe</w:t>
            </w:r>
          </w:p>
        </w:tc>
      </w:tr>
    </w:tbl>
    <w:bookmarkEnd w:id="37"/>
    <w:bookmarkStart w:id="38" w:name="regras-de-não-contaminação"/>
    <w:p>
      <w:pPr>
        <w:pStyle w:val="Heading2"/>
      </w:pPr>
      <w:r>
        <w:t xml:space="preserve">7. Regras de não contaminação</w:t>
      </w:r>
    </w:p>
    <w:p>
      <w:pPr>
        <w:numPr>
          <w:ilvl w:val="0"/>
          <w:numId w:val="1013"/>
        </w:numPr>
        <w:pStyle w:val="Compact"/>
      </w:pPr>
      <w:r>
        <w:rPr>
          <w:bCs/>
          <w:b/>
        </w:rPr>
        <w:t xml:space="preserve">Contrato de programa</w:t>
      </w:r>
      <w:r>
        <w:t xml:space="preserve"> </w:t>
      </w:r>
      <w:r>
        <w:t xml:space="preserve">é vocabulário exclusivo da Posição II. Na Posição I nenhum instrumento com o município pode ter esse nome nem esse conteúdo: preço por serviço, medição e pagamento ficam no contrato de rateio. Um</w:t>
      </w:r>
      <w:r>
        <w:t xml:space="preserve"> </w:t>
      </w:r>
      <w:r>
        <w:t xml:space="preserve">“</w:t>
      </w:r>
      <w:r>
        <w:t xml:space="preserve">contrato de prestação de serviços</w:t>
      </w:r>
      <w:r>
        <w:t xml:space="preserve">”</w:t>
      </w:r>
      <w:r>
        <w:t xml:space="preserve"> </w:t>
      </w:r>
      <w:r>
        <w:t xml:space="preserve">entre município e AMSA não pertence a nenhuma posição: na I é rateio, na II é contrato de programa (art. 30, § 1.º, do Decreto n.º 6.017/2007,</w:t>
      </w:r>
      <w:r>
        <w:t xml:space="preserve"> </w:t>
      </w:r>
      <w:r>
        <w:t xml:space="preserve">“</w:t>
      </w:r>
      <w:r>
        <w:t xml:space="preserve">independentemente da denominação</w:t>
      </w:r>
      <w:r>
        <w:t xml:space="preserve">”</w:t>
      </w:r>
      <w:r>
        <w:t xml:space="preserve">).</w:t>
      </w:r>
    </w:p>
    <w:p>
      <w:pPr>
        <w:numPr>
          <w:ilvl w:val="0"/>
          <w:numId w:val="1013"/>
        </w:numPr>
        <w:pStyle w:val="Compact"/>
      </w:pPr>
      <w:r>
        <w:rPr>
          <w:bCs/>
          <w:b/>
        </w:rPr>
        <w:t xml:space="preserve">A regra</w:t>
      </w:r>
      <w:r>
        <w:rPr>
          <w:bCs/>
          <w:b/>
        </w:rPr>
        <w:t xml:space="preserve"> </w:t>
      </w:r>
      <w:r>
        <w:rPr>
          <w:bCs/>
          <w:b/>
        </w:rPr>
        <w:t xml:space="preserve">“</w:t>
      </w:r>
      <w:r>
        <w:rPr>
          <w:bCs/>
          <w:b/>
        </w:rPr>
        <w:t xml:space="preserve">cota extra não é rateio</w:t>
      </w:r>
      <w:r>
        <w:rPr>
          <w:bCs/>
          <w:b/>
        </w:rPr>
        <w:t xml:space="preserve">”</w:t>
      </w:r>
      <w:r>
        <w:t xml:space="preserve"> </w:t>
      </w:r>
      <w:r>
        <w:t xml:space="preserve">pertence à Posição II. Na Posição I a cota extra é rateio por definição, com parcela variável individual, e é assim que atende ao art. 18, parágrafo único, do Decreto n.º 6.017/2007.</w:t>
      </w:r>
    </w:p>
    <w:p>
      <w:pPr>
        <w:numPr>
          <w:ilvl w:val="0"/>
          <w:numId w:val="1013"/>
        </w:numPr>
        <w:pStyle w:val="Compact"/>
      </w:pPr>
      <w:r>
        <w:rPr>
          <w:bCs/>
          <w:b/>
        </w:rPr>
        <w:t xml:space="preserve">A leitura sistemática do art. 13, § 8.º</w:t>
      </w:r>
      <w:r>
        <w:t xml:space="preserve"> </w:t>
      </w:r>
      <w:r>
        <w:t xml:space="preserve">é fundamento da Posição II. Não deve ser invocada na Posição I, que se apoia no art. 8.º, § 1.º, inciso I, da Lei n.º 11.445/2007 e no art. 2.º do Decreto n.º 11.467/2023.</w:t>
      </w:r>
    </w:p>
    <w:p>
      <w:pPr>
        <w:numPr>
          <w:ilvl w:val="0"/>
          <w:numId w:val="1013"/>
        </w:numPr>
        <w:pStyle w:val="Compact"/>
      </w:pPr>
      <w:r>
        <w:rPr>
          <w:bCs/>
          <w:b/>
        </w:rPr>
        <w:t xml:space="preserve">A sobrevivência do art. 13, § 4.º</w:t>
      </w:r>
      <w:r>
        <w:t xml:space="preserve"> </w:t>
      </w:r>
      <w:r>
        <w:t xml:space="preserve">existe apenas na Posição II. Na Posição I a continuidade vem do contrato com a unidade e do art. 12, § 2.º, da Lei n.º 11.107/2005.</w:t>
      </w:r>
    </w:p>
    <w:p>
      <w:pPr>
        <w:numPr>
          <w:ilvl w:val="0"/>
          <w:numId w:val="1013"/>
        </w:numPr>
        <w:pStyle w:val="Compact"/>
      </w:pPr>
      <w:r>
        <w:rPr>
          <w:bCs/>
          <w:b/>
        </w:rPr>
        <w:t xml:space="preserve">Cessão de crédito e conta vinculada com pagamento por ordem do município</w:t>
      </w:r>
      <w:r>
        <w:t xml:space="preserve"> </w:t>
      </w:r>
      <w:r>
        <w:t xml:space="preserve">pressupõem contrato de programa e pertencem à Posição II. Na Posição I a conta específica por município serve apenas ao depósito e ao débito do rateio.</w:t>
      </w:r>
    </w:p>
    <w:p>
      <w:pPr>
        <w:numPr>
          <w:ilvl w:val="0"/>
          <w:numId w:val="1013"/>
        </w:numPr>
        <w:pStyle w:val="Compact"/>
      </w:pPr>
      <w:r>
        <w:rPr>
          <w:bCs/>
          <w:b/>
        </w:rPr>
        <w:t xml:space="preserve">Registro de preços, licitação compartilhada e contrato direto</w:t>
      </w:r>
      <w:r>
        <w:t xml:space="preserve"> </w:t>
      </w:r>
      <w:r>
        <w:t xml:space="preserve">pertencem à Posição III. Na Posição I e na Posição II a AMSA é a única contratante da unidade.</w:t>
      </w:r>
    </w:p>
    <w:p>
      <w:pPr>
        <w:numPr>
          <w:ilvl w:val="0"/>
          <w:numId w:val="1013"/>
        </w:numPr>
        <w:pStyle w:val="Compact"/>
      </w:pPr>
      <w:r>
        <w:rPr>
          <w:bCs/>
          <w:b/>
        </w:rPr>
        <w:t xml:space="preserve">Em qualquer posição</w:t>
      </w:r>
      <w:r>
        <w:t xml:space="preserve"> </w:t>
      </w:r>
      <w:r>
        <w:t xml:space="preserve">a unidade é terceira contratada para executar atividade, não delegatária nem prestadora do serviço. A responsabilidade pela prestação é da AMSA nas Posições I e II e do município na Posição III. Essa caracterização é a mesma para licitação, credenciamento e inexigibilidade e não deve variar entre documentos.</w:t>
      </w:r>
    </w:p>
    <w:p>
      <w:pPr>
        <w:numPr>
          <w:ilvl w:val="0"/>
          <w:numId w:val="1013"/>
        </w:numPr>
        <w:pStyle w:val="Compact"/>
      </w:pPr>
      <w:r>
        <w:rPr>
          <w:bCs/>
          <w:b/>
        </w:rPr>
        <w:t xml:space="preserve">Em qualquer posição</w:t>
      </w:r>
      <w:r>
        <w:t xml:space="preserve"> </w:t>
      </w:r>
      <w:r>
        <w:t xml:space="preserve">o rateio não custeia tonelada de outro município e não custeia despesa genérica. Na Posição I isso se garante pela parcela variável; na II, pelo contrato de programa; na III, porque o rateio não custeia destinação.</w:t>
      </w:r>
    </w:p>
    <w:p>
      <w:pPr>
        <w:numPr>
          <w:ilvl w:val="0"/>
          <w:numId w:val="1013"/>
        </w:numPr>
        <w:pStyle w:val="Compact"/>
      </w:pPr>
      <w:r>
        <w:rPr>
          <w:bCs/>
          <w:b/>
        </w:rPr>
        <w:t xml:space="preserve">A tarifa por tonelada prevista em protocolo, do modelo de Curitiba,</w:t>
      </w:r>
      <w:r>
        <w:t xml:space="preserve"> </w:t>
      </w:r>
      <w:r>
        <w:t xml:space="preserve">só é compatível com a Posição I e exige a alteração do item 4.2. Não se transporta para a Posição II sem alterar a cláusula 53.ª.</w:t>
      </w:r>
    </w:p>
    <w:p>
      <w:pPr>
        <w:numPr>
          <w:ilvl w:val="0"/>
          <w:numId w:val="1013"/>
        </w:numPr>
        <w:pStyle w:val="Compact"/>
      </w:pPr>
      <w:r>
        <w:rPr>
          <w:bCs/>
          <w:b/>
        </w:rPr>
        <w:t xml:space="preserve">A calibragem do rateio por cotas desiguais</w:t>
      </w:r>
      <w:r>
        <w:t xml:space="preserve"> </w:t>
      </w:r>
      <w:r>
        <w:t xml:space="preserve">é variante das Posições I e II e depende de decisão da Assembleia sobre o critério (cláusula 18.ª, inciso VII, alínea</w:t>
      </w:r>
      <w:r>
        <w:t xml:space="preserve"> </w:t>
      </w:r>
      <w:r>
        <w:t xml:space="preserve">“</w:t>
      </w:r>
      <w:r>
        <w:t xml:space="preserve">c</w:t>
      </w:r>
      <w:r>
        <w:t xml:space="preserve">”</w:t>
      </w:r>
      <w:r>
        <w:t xml:space="preserve">). Não altera a estrutura.</w:t>
      </w:r>
    </w:p>
    <w:bookmarkEnd w:id="38"/>
    <w:bookmarkStart w:id="39" w:name="elementos-discutidos-e-não-incorporados"/>
    <w:p>
      <w:pPr>
        <w:pStyle w:val="Heading2"/>
      </w:pPr>
      <w:r>
        <w:t xml:space="preserve">8. Elementos discutidos e não incorporados</w:t>
      </w:r>
    </w:p>
    <w:p>
      <w:pPr>
        <w:numPr>
          <w:ilvl w:val="0"/>
          <w:numId w:val="1014"/>
        </w:numPr>
        <w:pStyle w:val="Compact"/>
      </w:pPr>
      <w:r>
        <w:t xml:space="preserve">Desenho B (conta vinculada com pagamento à unidade por ordem do município) e Desenho C (contrato de programa com cessão de crédito): variantes de pagamento da Posição II.</w:t>
      </w:r>
    </w:p>
    <w:p>
      <w:pPr>
        <w:numPr>
          <w:ilvl w:val="0"/>
          <w:numId w:val="1014"/>
        </w:numPr>
        <w:pStyle w:val="Compact"/>
      </w:pPr>
      <w:r>
        <w:t xml:space="preserve">Registro de preços gerenciado pela AMSA e contrato direto de um município com a unidade: Posição III.</w:t>
      </w:r>
    </w:p>
    <w:p>
      <w:pPr>
        <w:numPr>
          <w:ilvl w:val="0"/>
          <w:numId w:val="1014"/>
        </w:numPr>
        <w:pStyle w:val="Compact"/>
      </w:pPr>
      <w:r>
        <w:t xml:space="preserve">Calibragem do rateio por cotas proporcionais à geração de cada município: variante das Posições I e II, reservada à decisão da Assembleia.</w:t>
      </w:r>
    </w:p>
    <w:p>
      <w:pPr>
        <w:numPr>
          <w:ilvl w:val="0"/>
          <w:numId w:val="1014"/>
        </w:numPr>
        <w:pStyle w:val="Compact"/>
      </w:pPr>
      <w:r>
        <w:t xml:space="preserve">Volume mínimo garantido no contrato com a unidade: incompatível com o rateio em qualquer posição, porque transfere aos demais municípios custo de volume não gerado.</w:t>
      </w:r>
    </w:p>
    <w:p>
      <w:pPr>
        <w:numPr>
          <w:ilvl w:val="0"/>
          <w:numId w:val="1014"/>
        </w:numPr>
        <w:pStyle w:val="Compact"/>
      </w:pPr>
      <w:r>
        <w:t xml:space="preserve">Origem dos recursos da cota mensal: matéria independente da estrutura; não integra este memo.</w:t>
      </w:r>
    </w:p>
    <w:bookmarkEnd w:id="39"/>
    <w:bookmarkStart w:id="40" w:name="matérias-reservadas-à-precificação"/>
    <w:p>
      <w:pPr>
        <w:pStyle w:val="Heading2"/>
      </w:pPr>
      <w:r>
        <w:t xml:space="preserve">9. Matérias reservadas à precificação</w:t>
      </w:r>
    </w:p>
    <w:p>
      <w:pPr>
        <w:pStyle w:val="FirstParagraph"/>
      </w:pPr>
      <w:r>
        <w:t xml:space="preserve">Cota administrativa. Preço por tonelada e índice de reajuste. Franquia resultante. Valor estimado da parcela variável por município. Prazo de pagamento mensal. Tratamento dos saldos das contas por município ao encerramento do exercício. Percentual da conta garantidora. Distância máxima da unidade ou exigência de transbordo. Capacidade mínima exigida.</w:t>
      </w:r>
    </w:p>
    <w:bookmarkEnd w:id="40"/>
    <w:bookmarkStart w:id="41" w:name="fundamentação-consolidada"/>
    <w:p>
      <w:pPr>
        <w:pStyle w:val="Heading2"/>
      </w:pPr>
      <w:r>
        <w:t xml:space="preserve">10. Fundamentação consolidada</w:t>
      </w:r>
    </w:p>
    <w:p>
      <w:pPr>
        <w:numPr>
          <w:ilvl w:val="0"/>
          <w:numId w:val="1015"/>
        </w:numPr>
        <w:pStyle w:val="Compact"/>
      </w:pPr>
      <w:r>
        <w:t xml:space="preserve">Constituição Federal: arts. 175 e 241.</w:t>
      </w:r>
    </w:p>
    <w:p>
      <w:pPr>
        <w:numPr>
          <w:ilvl w:val="0"/>
          <w:numId w:val="1015"/>
        </w:numPr>
        <w:pStyle w:val="Compact"/>
      </w:pPr>
      <w:r>
        <w:t xml:space="preserve">Lei n.º 11.107/2005: art. 1.º, § 1.º; art. 2.º, § 1.º, inciso III; art. 4.º, inciso XI; art. 6.º, §§ 1.º e 2.º; art. 8.º, caput e §§ 1.º, 2.º e 5.º; art. 9.º; art. 12, § 2.º; art. 12-A; art. 13, caput e §§ 4.º e 8.º.</w:t>
      </w:r>
    </w:p>
    <w:p>
      <w:pPr>
        <w:numPr>
          <w:ilvl w:val="0"/>
          <w:numId w:val="1015"/>
        </w:numPr>
        <w:pStyle w:val="Compact"/>
      </w:pPr>
      <w:r>
        <w:t xml:space="preserve">Decreto n.º 6.017/2007: arts. 13, 15, 18, 19, 30 e 33.</w:t>
      </w:r>
    </w:p>
    <w:p>
      <w:pPr>
        <w:numPr>
          <w:ilvl w:val="0"/>
          <w:numId w:val="1015"/>
        </w:numPr>
        <w:pStyle w:val="Compact"/>
      </w:pPr>
      <w:r>
        <w:t xml:space="preserve">Lei n.º 11.445/2007: art. 3.º, inciso I, alínea</w:t>
      </w:r>
      <w:r>
        <w:t xml:space="preserve"> </w:t>
      </w:r>
      <w:r>
        <w:t xml:space="preserve">“</w:t>
      </w:r>
      <w:r>
        <w:t xml:space="preserve">c</w:t>
      </w:r>
      <w:r>
        <w:t xml:space="preserve">”</w:t>
      </w:r>
      <w:r>
        <w:t xml:space="preserve">; art. 8.º, inciso I e § 1.º, incisos I e II; art. 10; art. 11; art. 22, inciso IV; art. 23, incisos IV e V.</w:t>
      </w:r>
    </w:p>
    <w:p>
      <w:pPr>
        <w:numPr>
          <w:ilvl w:val="0"/>
          <w:numId w:val="1015"/>
        </w:numPr>
        <w:pStyle w:val="Compact"/>
      </w:pPr>
      <w:r>
        <w:t xml:space="preserve">Decreto n.º 11.467/2023: art. 2.º, caput, incisos I e II, e §§ 1.º e 2.º.</w:t>
      </w:r>
    </w:p>
    <w:p>
      <w:pPr>
        <w:numPr>
          <w:ilvl w:val="0"/>
          <w:numId w:val="1015"/>
        </w:numPr>
        <w:pStyle w:val="Compact"/>
      </w:pPr>
      <w:r>
        <w:t xml:space="preserve">Lei n.º 12.305/2010: arts. 9.º, 10, 18, § 1.º, inciso I, e 54, inciso IV.</w:t>
      </w:r>
    </w:p>
    <w:p>
      <w:pPr>
        <w:numPr>
          <w:ilvl w:val="0"/>
          <w:numId w:val="1015"/>
        </w:numPr>
        <w:pStyle w:val="Compact"/>
      </w:pPr>
      <w:r>
        <w:t xml:space="preserve">Lei n.º 14.133/2021: art. 6.º, inciso XXVIII; arts. 18, 23, 72, 74, 75, inciso XI, 79, inciso I, 82 a 86, 92, incisos V e VI, 94, 96, 106, 107, 117 e 125.</w:t>
      </w:r>
    </w:p>
    <w:p>
      <w:pPr>
        <w:numPr>
          <w:ilvl w:val="0"/>
          <w:numId w:val="1015"/>
        </w:numPr>
        <w:pStyle w:val="Compact"/>
      </w:pPr>
      <w:r>
        <w:t xml:space="preserve">Lei n.º 4.320/1964: art. 60, § 2.º; arts. 62 e 63.</w:t>
      </w:r>
    </w:p>
    <w:p>
      <w:pPr>
        <w:numPr>
          <w:ilvl w:val="0"/>
          <w:numId w:val="1015"/>
        </w:numPr>
        <w:pStyle w:val="Compact"/>
      </w:pPr>
      <w:r>
        <w:t xml:space="preserve">Código Civil: arts. 286 a 298 e 356 a 358 (apenas na Posição II).</w:t>
      </w:r>
    </w:p>
    <w:p>
      <w:pPr>
        <w:numPr>
          <w:ilvl w:val="0"/>
          <w:numId w:val="1015"/>
        </w:numPr>
        <w:pStyle w:val="Compact"/>
      </w:pPr>
      <w:r>
        <w:t xml:space="preserve">Resolução ANA n.º 187/2024 (Norma de Referência n.º 7/2024): arts. 4.º, inciso IX, 28, 69 e 70.</w:t>
      </w:r>
    </w:p>
    <w:p>
      <w:pPr>
        <w:numPr>
          <w:ilvl w:val="0"/>
          <w:numId w:val="1015"/>
        </w:numPr>
        <w:pStyle w:val="Compact"/>
      </w:pPr>
      <w:r>
        <w:t xml:space="preserve">Contrato de Consórcio da AMSA (versão de 5/04/2018): cláusulas 4.ª, 7.ª, 8.ª, 10.ª, 11.ª, 15.ª, 18.ª, 49.ª, 50.ª, 53.ª, 54.ª, 58.ª e 59.ª; Anexo II, arts. 3.º e 4.º; Anexo III, art. 10.</w:t>
      </w:r>
    </w:p>
    <w:p>
      <w:pPr>
        <w:numPr>
          <w:ilvl w:val="0"/>
          <w:numId w:val="1015"/>
        </w:numPr>
        <w:pStyle w:val="Compact"/>
      </w:pPr>
      <w:r>
        <w:t xml:space="preserve">Estatuto da AMSA (2026): art. 49.</w:t>
      </w:r>
    </w:p>
    <w:p>
      <w:pPr>
        <w:numPr>
          <w:ilvl w:val="0"/>
          <w:numId w:val="1015"/>
        </w:numPr>
        <w:pStyle w:val="Compact"/>
      </w:pPr>
      <w:r>
        <w:t xml:space="preserve">STF, ADI 6492, Tribunal Pleno, Rel. Min. Luiz Fux, j. 02/12/2021</w:t>
      </w:r>
      <w:r>
        <w:t xml:space="preserve"> </w:t>
      </w:r>
      <w:r>
        <w:rPr>
          <w:rStyle w:val="VerbatimChar"/>
        </w:rPr>
        <w:t xml:space="preserve">[VIT]</w:t>
      </w:r>
      <w:r>
        <w:t xml:space="preserve">. TCE-PR, Acórdão 357/26, Tribunal Pleno, Processo 607910/25</w:t>
      </w:r>
      <w:r>
        <w:t xml:space="preserve"> </w:t>
      </w:r>
      <w:r>
        <w:rPr>
          <w:rStyle w:val="VerbatimChar"/>
        </w:rPr>
        <w:t xml:space="preserve">[VIT]</w:t>
      </w:r>
      <w:r>
        <w:t xml:space="preserve">. TCE-MT, consulta respondida em 04/08/2026, Rel. Cons. Alisson Alencar, número do processo não obtido</w:t>
      </w:r>
      <w:r>
        <w:t xml:space="preserve"> </w:t>
      </w:r>
      <w:r>
        <w:rPr>
          <w:rStyle w:val="VerbatimChar"/>
        </w:rPr>
        <w:t xml:space="preserve">[VIT]</w:t>
      </w:r>
      <w:r>
        <w:t xml:space="preserve">.</w:t>
      </w:r>
    </w:p>
    <w:p>
      <w:pPr>
        <w:pStyle w:val="FirstParagraph"/>
      </w:pPr>
      <w:r>
        <w:t xml:space="preserve">Flags:</w:t>
      </w:r>
      <w:r>
        <w:t xml:space="preserve"> </w:t>
      </w:r>
      <w:r>
        <w:rPr>
          <w:rStyle w:val="VerbatimChar"/>
        </w:rPr>
        <w:t xml:space="preserve">[VALIDAÇÃO TÉCNICA]</w:t>
      </w:r>
      <w:r>
        <w:t xml:space="preserve"> </w:t>
      </w:r>
      <w:r>
        <w:t xml:space="preserve">nas quantidades e na capacidade da unidade (itens 4.3, 4.5 e 4.10);</w:t>
      </w:r>
      <w:r>
        <w:t xml:space="preserve"> </w:t>
      </w:r>
      <w:r>
        <w:rPr>
          <w:rStyle w:val="VerbatimChar"/>
        </w:rPr>
        <w:t xml:space="preserve">[VIT]</w:t>
      </w:r>
      <w:r>
        <w:t xml:space="preserve"> </w:t>
      </w:r>
      <w:r>
        <w:t xml:space="preserve">nas três decisões citadas, nenhuma lida no inteiro teor;</w:t>
      </w:r>
      <w:r>
        <w:t xml:space="preserve"> </w:t>
      </w:r>
      <w:r>
        <w:rPr>
          <w:rStyle w:val="VerbatimChar"/>
        </w:rPr>
        <w:t xml:space="preserve">[PENDENTE]</w:t>
      </w:r>
      <w:r>
        <w:t xml:space="preserve"> </w:t>
      </w:r>
      <w:r>
        <w:t xml:space="preserve">a busca na API Lei na Mão, sem chave no ambiente.</w:t>
      </w:r>
    </w:p>
    <w:bookmarkEnd w:id="41"/>
    <w:bookmarkEnd w:id="42"/>
    <w:sectPr>
      <w:pgSz w:w="11906" w:h="16838"/>
      <w:pgMar w:top="1417" w:right="1417" w:bottom="1417" w:left="1417"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20" w:before="0" w:line="360" w:lineRule="auto"/>
        <w:jc w:val="both"/>
      </w:pPr>
    </w:pPrDefault>
  </w:docDefaults>
  <w:latentStyles w:count="276" w:defLockedState="0" w:defQFormat="0" w:defSemiHidden="0" w:defUIPriority="0" w:defUnhideWhenUsed="0"/>
  <w:style w:default="1" w:styleId="Normal" w:type="paragraph">
    <w:pPr>
      <w:spacing w:after="120" w:before="0" w:line="360" w:lineRule="auto"/>
      <w:jc w:val="both"/>
    </w:pPr>
    <w:name w:val="Normal"/>
    <w:qFormat/>
  </w:style>
  <w:style w:styleId="BodyText" w:type="paragraph">
    <w:name w:val="Body Text"/>
    <w:basedOn w:val="Normal"/>
    <w:link w:val="BodyTextChar"/>
    <w:pPr>
      <w:spacing w:after="120" w:before="0" w:line="360" w:lineRule="auto"/>
      <w:jc w:val="both"/>
    </w:pPr>
    <w:qFormat/>
  </w:style>
  <w:style w:customStyle="1" w:styleId="FirstParagraph" w:type="paragraph">
    <w:pPr>
      <w:spacing w:after="120" w:before="0" w:line="360" w:lineRule="auto"/>
      <w:jc w:val="both"/>
    </w:pPr>
    <w:name w:val="First Paragraph"/>
    <w:basedOn w:val="BodyText"/>
    <w:next w:val="BodyText"/>
    <w:qFormat/>
  </w:style>
  <w:style w:customStyle="1" w:styleId="Compact" w:type="paragraph">
    <w:name w:val="Compact"/>
    <w:basedOn w:val="BodyText"/>
    <w:qFormat/>
    <w:pPr>
      <w:spacing w:after="60" w:before="0" w:line="276" w:lineRule="auto"/>
      <w:jc w:val="both"/>
    </w:pPr>
  </w:style>
  <w:style w:styleId="Title" w:type="paragraph">
    <w:name w:val="Title"/>
    <w:basedOn w:val="Normal"/>
    <w:next w:val="BodyText"/>
    <w:qFormat/>
    <w:pPr>
      <w:spacing w:after="120" w:before="0" w:line="276" w:lineRule="auto"/>
      <w:jc w:val="left"/>
      <w:keepNext/>
      <w:keepLines/>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spacing w:after="120" w:before="240" w:line="276" w:lineRule="auto"/>
      <w:jc w:val="left"/>
      <w:keepNext/>
      <w:keepLines/>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uiPriority w:val="9"/>
    <w:unhideWhenUsed/>
    <w:qFormat/>
    <w:pPr>
      <w:spacing w:after="120" w:before="240" w:line="276" w:lineRule="auto"/>
      <w:jc w:val="left"/>
      <w:keepNext/>
      <w:keepLines/>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uiPriority w:val="9"/>
    <w:unhideWhenUsed/>
    <w:qFormat/>
    <w:pPr>
      <w:spacing w:after="120" w:before="200" w:line="276" w:lineRule="auto"/>
      <w:jc w:val="left"/>
      <w:keepNext/>
      <w:keepLines/>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spacing w:after="120" w:before="160" w:line="276" w:lineRule="auto"/>
      <w:jc w:val="left"/>
      <w:keepNext/>
      <w:keepLines/>
      <w:outlineLvl w:val="3"/>
    </w:pPr>
    <w:rPr>
      <w:b/>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2026-09-09T12:40:09Z</dcterms:created>
  <dcterms:modified xsi:type="dcterms:W3CDTF">2026-09-09T12:40:09Z</dcterms:modified>
</cp:coreProperties>
</file>

<file path=docProps/custom.xml><?xml version="1.0" encoding="utf-8"?>
<Properties xmlns="http://schemas.openxmlformats.org/officeDocument/2006/custom-properties" xmlns:vt="http://schemas.openxmlformats.org/officeDocument/2006/docPropsVTypes"/>
</file>