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9f1e33efccf640cf5de9382581406286b684eff"/>
    <w:p>
      <w:pPr>
        <w:pStyle w:val="Heading1"/>
      </w:pPr>
      <w:r>
        <w:t xml:space="preserve">[USO INTERNO] Consórcio AMSA (Maciço de Baturité/CE) — estrutura jurídica da cota extra na destinação final regional</w:t>
      </w:r>
    </w:p>
    <w:p>
      <w:pPr>
        <w:pStyle w:val="FirstParagraph"/>
      </w:pPr>
      <w:r>
        <w:rPr>
          <w:bCs/>
          <w:b/>
        </w:rPr>
        <w:t xml:space="preserve">Memo interno</w:t>
      </w:r>
      <w:r>
        <w:t xml:space="preserve"> </w:t>
      </w:r>
      <w:r>
        <w:t xml:space="preserve">· 8 de setembro de 2026</w:t>
      </w:r>
    </w:p>
    <w:p>
      <w:pPr>
        <w:pStyle w:val="BodyText"/>
      </w:pPr>
      <w:r>
        <w:rPr>
          <w:bCs/>
          <w:b/>
        </w:rPr>
        <w:t xml:space="preserve">Assunto:</w:t>
      </w:r>
      <w:r>
        <w:t xml:space="preserve"> </w:t>
      </w:r>
      <w:r>
        <w:t xml:space="preserve">estrutura jurídica do modelo em que o Consórcio AMSA contrata uma única unidade de destinação final para todos os consorciados, com franquia mensal igual custeada pelo contrato de rateio e cota extra custeada pelo município que a gera.</w:t>
      </w:r>
    </w:p>
    <w:p>
      <w:pPr>
        <w:pStyle w:val="BodyText"/>
      </w:pPr>
      <w:r>
        <w:rPr>
          <w:bCs/>
          <w:b/>
        </w:rPr>
        <w:t xml:space="preserve">Escopo:</w:t>
      </w:r>
      <w:r>
        <w:t xml:space="preserve"> </w:t>
      </w:r>
      <w:r>
        <w:t xml:space="preserve">somente a estrutura jurídica: instrumentos, partes, objeto de cada vínculo e mecânica da cota extra. Valores, quantidades e percentuais ficam para a precificação. A unidade de destinação é referida como</w:t>
      </w:r>
      <w:r>
        <w:t xml:space="preserve"> </w:t>
      </w:r>
      <w:r>
        <w:t xml:space="preserve">“</w:t>
      </w:r>
      <w:r>
        <w:t xml:space="preserve">a unidade contratada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Descrever o que é a cota extra, em que instrumento ela se disciplina, como é apurada, precificada, cobrada e paga, e como se relaciona com o contrato entre a AMSA e a unidade contratada.</w:t>
      </w:r>
    </w:p>
    <w:bookmarkEnd w:id="20"/>
    <w:bookmarkStart w:id="21" w:name="premissas"/>
    <w:p>
      <w:pPr>
        <w:pStyle w:val="Heading2"/>
      </w:pPr>
      <w:r>
        <w:t xml:space="preserve">2. Premissas</w:t>
      </w:r>
    </w:p>
    <w:p>
      <w:pPr>
        <w:numPr>
          <w:ilvl w:val="0"/>
          <w:numId w:val="1001"/>
        </w:numPr>
        <w:pStyle w:val="Compact"/>
      </w:pPr>
      <w:r>
        <w:t xml:space="preserve">Os municípios autorizaram a gestão associada dos serviços públicos de limpeza urbana e manejo de resíduos sólidos (art. 241 da Constituição Federal; cláusula 8.ª do Contrato de Consórcio). Entre as modalidades de organização da prestação está a</w:t>
      </w:r>
      <w:r>
        <w:t xml:space="preserve"> </w:t>
      </w:r>
      <w:r>
        <w:t xml:space="preserve">“</w:t>
      </w:r>
      <w:r>
        <w:t xml:space="preserve">prestação por meio de contrato de programa (…) pelo Consórcio</w:t>
      </w:r>
      <w:r>
        <w:t xml:space="preserve">”</w:t>
      </w:r>
      <w:r>
        <w:t xml:space="preserve"> </w:t>
      </w:r>
      <w:r>
        <w:t xml:space="preserve">(cláusula 8.ª, § 3.º, alínea</w:t>
      </w:r>
      <w:r>
        <w:t xml:space="preserve"> </w:t>
      </w:r>
      <w:r>
        <w:t xml:space="preserve">“</w:t>
      </w:r>
      <w:r>
        <w:t xml:space="preserve">b</w:t>
      </w:r>
      <w:r>
        <w:t xml:space="preserve">”</w:t>
      </w:r>
      <w:r>
        <w:t xml:space="preserve">), e o Consórcio pode ser contratado para</w:t>
      </w:r>
      <w:r>
        <w:t xml:space="preserve"> </w:t>
      </w:r>
      <w:r>
        <w:t xml:space="preserve">“</w:t>
      </w:r>
      <w:r>
        <w:t xml:space="preserve">prestar serviços públicos de limpeza urbana e manejo dos resíduos sólidos ou de atividade dele integrante, por meios próprios ou sob sua gestão administrativa ou contratual, tendo como contratante o Município consorciado</w:t>
      </w:r>
      <w:r>
        <w:t xml:space="preserve">”</w:t>
      </w:r>
      <w:r>
        <w:t xml:space="preserve"> </w:t>
      </w:r>
      <w:r>
        <w:t xml:space="preserve">(cláusula 50.ª, inciso I).</w:t>
      </w:r>
    </w:p>
    <w:p>
      <w:pPr>
        <w:numPr>
          <w:ilvl w:val="0"/>
          <w:numId w:val="1001"/>
        </w:numPr>
        <w:pStyle w:val="Compact"/>
      </w:pPr>
      <w:r>
        <w:t xml:space="preserve">As obrigações de um município para com o consórcio, em gestão associada em que há prestação de serviço, só valem se constituídas por contrato de programa (art. 13, caput, da Lei n.º 11.107/2005; art. 30 do Decreto n.º 6.017/2007).</w:t>
      </w:r>
    </w:p>
    <w:p>
      <w:pPr>
        <w:numPr>
          <w:ilvl w:val="0"/>
          <w:numId w:val="1001"/>
        </w:numPr>
        <w:pStyle w:val="Compact"/>
      </w:pPr>
      <w:r>
        <w:t xml:space="preserve">Os consorciados só entregam recursos ao Consórcio por contrato de rateio ou por contrato de prestação de serviços a valores de mercado (art. 8.º da Lei n.º 11.107/2005; cláusula 53.ª).</w:t>
      </w:r>
    </w:p>
    <w:p>
      <w:pPr>
        <w:numPr>
          <w:ilvl w:val="0"/>
          <w:numId w:val="1001"/>
        </w:numPr>
        <w:pStyle w:val="Compact"/>
      </w:pPr>
      <w:r>
        <w:t xml:space="preserve">Serviço prestado pelo Consórcio a um ente determinado é contratado e custeado por esse ente,</w:t>
      </w:r>
      <w:r>
        <w:t xml:space="preserve"> </w:t>
      </w:r>
      <w:r>
        <w:t xml:space="preserve">“</w:t>
      </w:r>
      <w:r>
        <w:t xml:space="preserve">de forma a impedir que sejam eles custeados pelos demais</w:t>
      </w:r>
      <w:r>
        <w:t xml:space="preserve">”</w:t>
      </w:r>
      <w:r>
        <w:t xml:space="preserve"> </w:t>
      </w:r>
      <w:r>
        <w:t xml:space="preserve">(art. 18, parágrafo único, do Decreto n.º 6.017/2007). A contratação do Consórcio pelo consorciado dispensa licitação (art. 2.º, § 1.º, inciso III, da Lei n.º 11.107/2005; art. 18, caput, do Decreto n.º 6.017/2007).</w:t>
      </w:r>
    </w:p>
    <w:p>
      <w:pPr>
        <w:numPr>
          <w:ilvl w:val="0"/>
          <w:numId w:val="1001"/>
        </w:numPr>
        <w:pStyle w:val="Compact"/>
      </w:pPr>
      <w:r>
        <w:t xml:space="preserve">O município permanece titular do serviço e responsável pela gestão integrada dos resíduos gerados no seu território (art. 10 da Lei n.º 12.305/2010), inclusive pela coleta e pelo transporte até a unidade contratada.</w:t>
      </w:r>
    </w:p>
    <w:bookmarkEnd w:id="21"/>
    <w:bookmarkStart w:id="25" w:name="os-três-instrumentos"/>
    <w:p>
      <w:pPr>
        <w:pStyle w:val="Heading2"/>
      </w:pPr>
      <w:r>
        <w:t xml:space="preserve">3. Os três instrumentos</w:t>
      </w:r>
    </w:p>
    <w:bookmarkStart w:id="22" w:name="X53da658c013d3875ec82d6a2e6500271be763b0"/>
    <w:p>
      <w:pPr>
        <w:pStyle w:val="Heading3"/>
      </w:pPr>
      <w:r>
        <w:t xml:space="preserve">3.1. Contrato entre a AMSA e a unidade contratada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Partes.</w:t>
      </w:r>
      <w:r>
        <w:t xml:space="preserve"> </w:t>
      </w:r>
      <w:r>
        <w:t xml:space="preserve">A AMSA, em nome próprio, na condição de prestadora dos contratos de programa (cláusula 50.ª, inciso I), e a unidade contratada. Contratação pelo procedimento da Lei n.º 14.133/2021 que couber.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Objeto.</w:t>
      </w:r>
      <w:r>
        <w:t xml:space="preserve"> </w:t>
      </w:r>
      <w:r>
        <w:t xml:space="preserve">Recebimento, tratamento e destinação final dos resíduos sólidos urbanos dos municípios consorciados, transportados por eles até a unidade.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Regime.</w:t>
      </w:r>
      <w:r>
        <w:t xml:space="preserve"> </w:t>
      </w:r>
      <w:r>
        <w:t xml:space="preserve">Preço unitário por tonelada (art. 6.º, inciso XXVIII, da Lei n.º 14.133/2021). Quantidade estimada igual à soma das franquias mensais mais o excedente previsto</w:t>
      </w:r>
      <w:r>
        <w:t xml:space="preserve"> </w:t>
      </w:r>
      <w:r>
        <w:rPr>
          <w:rStyle w:val="VerbatimChar"/>
        </w:rPr>
        <w:t xml:space="preserve">[VALIDAÇÃO TÉCNICA]</w:t>
      </w:r>
      <w:r>
        <w:t xml:space="preserve">. Critérios e periodicidade da medição, prazo de liquidação e pagamento, data-base e periodicidade do reajuste (art. 92, incisos V e VI). Acréscimos e supressões de quantidades nos limites do art. 125.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Medição.</w:t>
      </w:r>
      <w:r>
        <w:t xml:space="preserve"> </w:t>
      </w:r>
      <w:r>
        <w:t xml:space="preserve">Obrigação de pesar e registrar cada carga com município de origem, data, hora e peso, e de emitir relatório mensal por município. Parâmetros: art. 28 da Norma de Referência n.º 7/2024 da ANA (Resolução ANA n.º 187/2024), que impõe esse registro nas unidades de transbordo, e art. 23, inciso V, da Lei n.º 11.445/2007, que atribui à entidade reguladora as normas de medição, faturamento e cobrança.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Vínculo.</w:t>
      </w:r>
      <w:r>
        <w:t xml:space="preserve"> </w:t>
      </w:r>
      <w:r>
        <w:t xml:space="preserve">A unidade contratada tem um único credor pelo serviço e um único devedor pelo preço: a AMSA. Não há relação contratual entre a unidade e os municípios.</w:t>
      </w:r>
    </w:p>
    <w:bookmarkEnd w:id="22"/>
    <w:bookmarkStart w:id="23" w:name="contrato-de-rateio"/>
    <w:p>
      <w:pPr>
        <w:pStyle w:val="Heading3"/>
      </w:pPr>
      <w:r>
        <w:t xml:space="preserve">3.2. Contrato de rateio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Natureza.</w:t>
      </w:r>
      <w:r>
        <w:t xml:space="preserve"> </w:t>
      </w:r>
      <w:r>
        <w:t xml:space="preserve">Instrumento anual pelo qual os consorciados entregam recursos para as despesas do Consórcio, limitado às dotações que o suportam (art. 8.º, caput e § 1.º, da Lei n.º 11.107/2005; arts. 13 e 16 do Decreto n.º 6.017/2007), aprovado pela Assembleia Geral com previsão dos aportes no orçamento do Consórcio (cláusula 18.ª, inciso VII).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Duas destinações.</w:t>
      </w:r>
      <w:r>
        <w:t xml:space="preserve"> </w:t>
      </w:r>
      <w:r>
        <w:t xml:space="preserve">O rateio discrimina: (i) a cota administrativa, para a organização e o funcionamento do Consórcio; e (ii) o programa regional de destinação final, que custeia o contrato do item 3.1 até a franquia de cada município. A discriminação atende à vedação de aplicação de recursos de rateio em despesas genéricas (art. 8.º, § 2.º, da Lei n.º 11.107/2005; art. 15 do Decreto n.º 6.017/2007). O programa regional integra o plano regional integrado homologado pelo Consórcio, que vincula os consorciados quanto a instalações, tecnologia e modalidades de prestação (cláusula 8.ª, § 1.º; Anexo II, arts. 3.º e 4.º).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Franquia.</w:t>
      </w:r>
      <w:r>
        <w:t xml:space="preserve"> </w:t>
      </w:r>
      <w:r>
        <w:t xml:space="preserve">Quantidade mensal de toneladas por município, igual para todos, resultante da divisão da parcela (ii) pelo preço por tonelada do contrato do item 3.1. A franquia não utilizada por um município não se transfere a outro. O tratamento do saldo é fixado no próprio contrato de rateio.</w:t>
      </w:r>
    </w:p>
    <w:bookmarkEnd w:id="23"/>
    <w:bookmarkStart w:id="24" w:name="X219685e3b9d5596be11e3d73e33a3804055806a"/>
    <w:p>
      <w:pPr>
        <w:pStyle w:val="Heading3"/>
      </w:pPr>
      <w:r>
        <w:t xml:space="preserve">3.3. Contrato de programa entre cada município e a AMSA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Exigência e forma.</w:t>
      </w:r>
      <w:r>
        <w:t xml:space="preserve"> </w:t>
      </w:r>
      <w:r>
        <w:t xml:space="preserve">Contrato de programa exigido pelo art. 13 da Lei n.º 11.107/2005, celebrado com dispensa de licitação (art. 2.º, § 1.º, inciso III, da Lei n.º 11.107/2005; cláusula 50.ª, § 1.º), a partir de minuta única aprovada pela Assembleia Geral (cláusula 18.ª, inciso VIII), com parecer prévio da entidade reguladora (cláusula 11.ª). Observa os requisitos do art. 13, § 1.º, da Lei n.º 11.107/2005, entre eles a legislação de concessões e a de regulação quanto ao cálculo de preços públicos (inciso I).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Objeto.</w:t>
      </w:r>
      <w:r>
        <w:t xml:space="preserve"> </w:t>
      </w:r>
      <w:r>
        <w:t xml:space="preserve">Prestação, pela AMSA, do serviço de destinação final ao município, por meio do contrato do item 3.1, dentro da franquia e acima dela.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Cláusulas da cota extra.</w:t>
      </w:r>
      <w:r>
        <w:t xml:space="preserve"> </w:t>
      </w:r>
      <w:r>
        <w:t xml:space="preserve">Franquia mensal do município; preço unitário do excedente e sua indexação; forma de apuração e documento de cobrança; prazo de pagamento; procedimento de programação de volumes acima da franquia junto à unidade contratada.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Vigência.</w:t>
      </w:r>
      <w:r>
        <w:t xml:space="preserve"> </w:t>
      </w:r>
      <w:r>
        <w:t xml:space="preserve">O contrato de programa continua vigente se o município se retirar do Consórcio ou se o Consórcio for extinto (art. 13, § 4.º, da Lei n.º 11.107/2005; cláusula 50.ª, § 6.º).</w:t>
      </w:r>
    </w:p>
    <w:bookmarkEnd w:id="24"/>
    <w:bookmarkEnd w:id="25"/>
    <w:bookmarkStart w:id="32" w:name="a-cota-extra"/>
    <w:p>
      <w:pPr>
        <w:pStyle w:val="Heading2"/>
      </w:pPr>
      <w:r>
        <w:t xml:space="preserve">4. A cota extra</w:t>
      </w:r>
    </w:p>
    <w:bookmarkStart w:id="26" w:name="definição"/>
    <w:p>
      <w:pPr>
        <w:pStyle w:val="Heading3"/>
      </w:pPr>
      <w:r>
        <w:t xml:space="preserve">4.1. Definição</w:t>
      </w:r>
    </w:p>
    <w:p>
      <w:pPr>
        <w:pStyle w:val="FirstParagraph"/>
      </w:pPr>
      <w:r>
        <w:t xml:space="preserve">Cota extra é a quantidade de resíduos que um município destina, em determinado mês, acima da franquia fixada no seu contrato de programa. Sua natureza é de remuneração por serviço prestado pelo Consórcio a um ente determinado (art. 18, parágrafo único, do Decreto n.º 6.017/2007; cláusula 53.ª, inciso I). Não é rateio e não transita pelo contrato de rateio.</w:t>
      </w:r>
    </w:p>
    <w:bookmarkEnd w:id="26"/>
    <w:bookmarkStart w:id="27" w:name="apuração"/>
    <w:p>
      <w:pPr>
        <w:pStyle w:val="Heading3"/>
      </w:pPr>
      <w:r>
        <w:t xml:space="preserve">4.2. Apuração</w:t>
      </w:r>
    </w:p>
    <w:p>
      <w:pPr>
        <w:numPr>
          <w:ilvl w:val="0"/>
          <w:numId w:val="1005"/>
        </w:numPr>
        <w:pStyle w:val="Compact"/>
      </w:pPr>
      <w:r>
        <w:t xml:space="preserve">O município coleta e transporta os resíduos com meios próprios e os descarrega na unidade contratada.</w:t>
      </w:r>
    </w:p>
    <w:p>
      <w:pPr>
        <w:numPr>
          <w:ilvl w:val="0"/>
          <w:numId w:val="1005"/>
        </w:numPr>
        <w:pStyle w:val="Compact"/>
      </w:pPr>
      <w:r>
        <w:t xml:space="preserve">A unidade pesa e registra cada carga por município de origem, na forma do item 3.1, e emite relatório mensal por município.</w:t>
      </w:r>
    </w:p>
    <w:p>
      <w:pPr>
        <w:numPr>
          <w:ilvl w:val="0"/>
          <w:numId w:val="1005"/>
        </w:numPr>
        <w:pStyle w:val="Compact"/>
      </w:pPr>
      <w:r>
        <w:t xml:space="preserve">O fiscal do contrato designado pela AMSA atesta o relatório (art. 117 da Lei n.º 14.133/2021).</w:t>
      </w:r>
    </w:p>
    <w:p>
      <w:pPr>
        <w:numPr>
          <w:ilvl w:val="0"/>
          <w:numId w:val="1005"/>
        </w:numPr>
        <w:pStyle w:val="Compact"/>
      </w:pPr>
      <w:r>
        <w:t xml:space="preserve">A AMSA apura, para cada município: o volume até a franquia, custeado pelo programa regional do rateio; e o volume excedente, que corresponde à cota extra.</w:t>
      </w:r>
    </w:p>
    <w:p>
      <w:pPr>
        <w:numPr>
          <w:ilvl w:val="0"/>
          <w:numId w:val="1005"/>
        </w:numPr>
        <w:pStyle w:val="Compact"/>
      </w:pPr>
      <w:r>
        <w:t xml:space="preserve">A apuração é mensal e individual. Não há compensação de volumes entre municípios.</w:t>
      </w:r>
    </w:p>
    <w:bookmarkEnd w:id="27"/>
    <w:bookmarkStart w:id="28" w:name="preço"/>
    <w:p>
      <w:pPr>
        <w:pStyle w:val="Heading3"/>
      </w:pPr>
      <w:r>
        <w:t xml:space="preserve">4.3. Preço</w:t>
      </w:r>
    </w:p>
    <w:p>
      <w:pPr>
        <w:pStyle w:val="FirstParagraph"/>
      </w:pPr>
      <w:r>
        <w:t xml:space="preserve">O preço unitário da cota extra é fixado no contrato de programa por referência ao preço por tonelada do contrato do item 3.1, com o mesmo critério de reajuste. A inclusão de parcela de custos indiretos do Consórcio é matéria de precificação. O preço e seus reajustes são submetidos à entidade reguladora (art. 13, § 1.º, inciso I, da Lei n.º 11.107/2005; art. 22, inciso IV, e art. 23, inciso IV, da Lei n.º 11.445/2007; cláusula 11.ª, inciso III). Como a cota administrativa já é custeada pelo rateio, o preço da cota extra não pode incluir novamente custos administrativos ou gerenciais (art. 29, caput, da Lei n.º 11.445/2007).</w:t>
      </w:r>
    </w:p>
    <w:bookmarkEnd w:id="28"/>
    <w:bookmarkStart w:id="29" w:name="cobrança-e-pagamento"/>
    <w:p>
      <w:pPr>
        <w:pStyle w:val="Heading3"/>
      </w:pPr>
      <w:r>
        <w:t xml:space="preserve">4.4. Cobrança e pagamento</w:t>
      </w:r>
    </w:p>
    <w:p>
      <w:pPr>
        <w:numPr>
          <w:ilvl w:val="0"/>
          <w:numId w:val="1006"/>
        </w:numPr>
        <w:pStyle w:val="Compact"/>
      </w:pPr>
      <w:r>
        <w:t xml:space="preserve">A AMSA emite ao município, mensalmente, o documento de cobrança da cota extra, acompanhado do relatório de pesagem atestado.</w:t>
      </w:r>
    </w:p>
    <w:p>
      <w:pPr>
        <w:numPr>
          <w:ilvl w:val="0"/>
          <w:numId w:val="1006"/>
        </w:numPr>
        <w:pStyle w:val="Compact"/>
      </w:pPr>
      <w:r>
        <w:t xml:space="preserve">O município liquida a despesa com base no contrato de programa, na nota de empenho e no relatório (arts. 62 e 63 da Lei n.º 4.320/1964) e paga no prazo do contrato de programa, com dotação própria consignada para esse contrato.</w:t>
      </w:r>
    </w:p>
    <w:p>
      <w:pPr>
        <w:numPr>
          <w:ilvl w:val="0"/>
          <w:numId w:val="1006"/>
        </w:numPr>
        <w:pStyle w:val="Compact"/>
      </w:pPr>
      <w:r>
        <w:t xml:space="preserve">Por ser despesa de montante variável, o empenho é feito por estimativa (art. 60, § 2.º, da Lei n.º 4.320/1964).</w:t>
      </w:r>
    </w:p>
    <w:bookmarkEnd w:id="29"/>
    <w:bookmarkStart w:id="30" w:name="pagamento-à-unidade-contratada"/>
    <w:p>
      <w:pPr>
        <w:pStyle w:val="Heading3"/>
      </w:pPr>
      <w:r>
        <w:t xml:space="preserve">4.5. Pagamento à unidade contratada</w:t>
      </w:r>
    </w:p>
    <w:p>
      <w:pPr>
        <w:pStyle w:val="FirstParagraph"/>
      </w:pPr>
      <w:r>
        <w:t xml:space="preserve">A AMSA paga à unidade contratada uma única fatura mensal, correspondente ao total pesado, franquias e cotas extras de todos os municípios, no prazo e na forma do contrato do item 3.1.</w:t>
      </w:r>
    </w:p>
    <w:bookmarkEnd w:id="30"/>
    <w:bookmarkStart w:id="31" w:name="outros-municípios"/>
    <w:p>
      <w:pPr>
        <w:pStyle w:val="Heading3"/>
      </w:pPr>
      <w:r>
        <w:t xml:space="preserve">4.6. Outros municípios</w:t>
      </w:r>
    </w:p>
    <w:p>
      <w:pPr>
        <w:pStyle w:val="FirstParagraph"/>
      </w:pPr>
      <w:r>
        <w:t xml:space="preserve">A mesma regra vale para qualquer consorciado que ultrapasse a franquia, sem novo contrato: basta o contrato de programa já celebrado. A quantidade contratada com a unidade deve comportar os excedentes, dentro dos limites do art. 125 da Lei n.º 14.133/2021 ou por termo aditivo</w:t>
      </w:r>
      <w:r>
        <w:t xml:space="preserve"> </w:t>
      </w:r>
      <w:r>
        <w:rPr>
          <w:rStyle w:val="VerbatimChar"/>
        </w:rPr>
        <w:t xml:space="preserve">[VALIDAÇÃO TÉCNICA]</w:t>
      </w:r>
      <w:r>
        <w:t xml:space="preserve">.</w:t>
      </w:r>
    </w:p>
    <w:bookmarkEnd w:id="31"/>
    <w:bookmarkEnd w:id="32"/>
    <w:bookmarkStart w:id="33" w:name="fluxo-obrigacional"/>
    <w:p>
      <w:pPr>
        <w:pStyle w:val="Heading2"/>
      </w:pPr>
      <w:r>
        <w:t xml:space="preserve">5. Fluxo obrigacional</w:t>
      </w:r>
    </w:p>
    <w:p>
      <w:pPr>
        <w:pStyle w:val="FirstParagraph"/>
      </w:pPr>
      <w:r>
        <w:t xml:space="preserve">A unidade contratada deve o serviço à AMSA e é credora apenas dela. A AMSA deve o serviço a cada município, por força do contrato de programa, e é credora de cada um pela cota extra, além da cota de rateio. Cada município deve à AMSA a cota de rateio, por transferência, e a cota extra, por pagamento contratual. A entidade reguladora não é parte, mas homologa o preço.</w:t>
      </w:r>
    </w:p>
    <w:bookmarkEnd w:id="33"/>
    <w:bookmarkStart w:id="34" w:name="fundamentação"/>
    <w:p>
      <w:pPr>
        <w:pStyle w:val="Heading2"/>
      </w:pPr>
      <w:r>
        <w:t xml:space="preserve">6. Fundamentação</w:t>
      </w:r>
    </w:p>
    <w:p>
      <w:pPr>
        <w:numPr>
          <w:ilvl w:val="0"/>
          <w:numId w:val="1007"/>
        </w:numPr>
        <w:pStyle w:val="Compact"/>
      </w:pPr>
      <w:r>
        <w:t xml:space="preserve">Constituição Federal: art. 241.</w:t>
      </w:r>
    </w:p>
    <w:p>
      <w:pPr>
        <w:numPr>
          <w:ilvl w:val="0"/>
          <w:numId w:val="1007"/>
        </w:numPr>
        <w:pStyle w:val="Compact"/>
      </w:pPr>
      <w:r>
        <w:t xml:space="preserve">Lei n.º 11.107/2005: art. 2.º, § 1.º, inciso III; art. 8.º, caput e §§ 1.º e 2.º; art. 13, caput, § 1.º, inciso I, e § 4.º.</w:t>
      </w:r>
    </w:p>
    <w:p>
      <w:pPr>
        <w:numPr>
          <w:ilvl w:val="0"/>
          <w:numId w:val="1007"/>
        </w:numPr>
        <w:pStyle w:val="Compact"/>
      </w:pPr>
      <w:r>
        <w:t xml:space="preserve">Decreto n.º 6.017/2007: arts. 13, 15, 16, 18 e 30.</w:t>
      </w:r>
    </w:p>
    <w:p>
      <w:pPr>
        <w:numPr>
          <w:ilvl w:val="0"/>
          <w:numId w:val="1007"/>
        </w:numPr>
        <w:pStyle w:val="Compact"/>
      </w:pPr>
      <w:r>
        <w:t xml:space="preserve">Lei n.º 14.133/2021: art. 6.º, inciso XXVIII; art. 92, incisos V e VI; art. 117; art. 125.</w:t>
      </w:r>
    </w:p>
    <w:p>
      <w:pPr>
        <w:numPr>
          <w:ilvl w:val="0"/>
          <w:numId w:val="1007"/>
        </w:numPr>
        <w:pStyle w:val="Compact"/>
      </w:pPr>
      <w:r>
        <w:t xml:space="preserve">Lei n.º 11.445/2007: art. 22, inciso IV; art. 23, incisos IV e V; art. 29, caput.</w:t>
      </w:r>
    </w:p>
    <w:p>
      <w:pPr>
        <w:numPr>
          <w:ilvl w:val="0"/>
          <w:numId w:val="1007"/>
        </w:numPr>
        <w:pStyle w:val="Compact"/>
      </w:pPr>
      <w:r>
        <w:t xml:space="preserve">Lei n.º 12.305/2010: art. 10.</w:t>
      </w:r>
    </w:p>
    <w:p>
      <w:pPr>
        <w:numPr>
          <w:ilvl w:val="0"/>
          <w:numId w:val="1007"/>
        </w:numPr>
        <w:pStyle w:val="Compact"/>
      </w:pPr>
      <w:r>
        <w:t xml:space="preserve">Lei n.º 4.320/1964: art. 60, § 2.º; arts. 62 e 63.</w:t>
      </w:r>
    </w:p>
    <w:p>
      <w:pPr>
        <w:numPr>
          <w:ilvl w:val="0"/>
          <w:numId w:val="1007"/>
        </w:numPr>
        <w:pStyle w:val="Compact"/>
      </w:pPr>
      <w:r>
        <w:t xml:space="preserve">Resolução ANA n.º 187/2024 (Norma de Referência n.º 7/2024): art. 28.</w:t>
      </w:r>
    </w:p>
    <w:p>
      <w:pPr>
        <w:numPr>
          <w:ilvl w:val="0"/>
          <w:numId w:val="1007"/>
        </w:numPr>
        <w:pStyle w:val="Compact"/>
      </w:pPr>
      <w:r>
        <w:t xml:space="preserve">Contrato de Consórcio da AMSA (versão de 5/04/2018): cláusula 8.ª, caput, § 1.º e § 3.º, alínea</w:t>
      </w:r>
      <w:r>
        <w:t xml:space="preserve"> </w:t>
      </w:r>
      <w:r>
        <w:t xml:space="preserve">“</w:t>
      </w:r>
      <w:r>
        <w:t xml:space="preserve">b</w:t>
      </w:r>
      <w:r>
        <w:t xml:space="preserve">”</w:t>
      </w:r>
      <w:r>
        <w:t xml:space="preserve">; cláusula 11.ª; cláusula 18.ª, incisos VII e VIII; cláusula 50.ª, inciso I e §§ 1.º e 6.º; cláusula 53.ª; Anexo II, arts. 3.º e 4.º.</w:t>
      </w:r>
    </w:p>
    <w:p>
      <w:pPr>
        <w:pStyle w:val="FirstParagraph"/>
      </w:pPr>
      <w:r>
        <w:t xml:space="preserve">Flags:</w:t>
      </w:r>
      <w:r>
        <w:t xml:space="preserve"> </w:t>
      </w:r>
      <w:r>
        <w:rPr>
          <w:rStyle w:val="VerbatimChar"/>
        </w:rPr>
        <w:t xml:space="preserve">[VALIDAÇÃO TÉCNICA]</w:t>
      </w:r>
      <w:r>
        <w:t xml:space="preserve"> </w:t>
      </w:r>
      <w:r>
        <w:t xml:space="preserve">nos itens 3.1 e 4.6 (estimativa de quantidades e capacidade da unidade). Não há citação jurisprudencial neste memo.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120" w:before="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120" w:before="0" w:line="360" w:lineRule="auto"/>
      <w:jc w:val="both"/>
    </w:pPr>
    <w:name w:val="Normal"/>
    <w:qFormat/>
  </w:style>
  <w:style w:styleId="BodyText" w:type="paragraph">
    <w:name w:val="Body Text"/>
    <w:basedOn w:val="Normal"/>
    <w:link w:val="BodyTextChar"/>
    <w:pPr>
      <w:spacing w:after="120" w:before="0" w:line="360" w:lineRule="auto"/>
      <w:jc w:val="both"/>
    </w:pPr>
    <w:qFormat/>
  </w:style>
  <w:style w:customStyle="1" w:styleId="FirstParagraph" w:type="paragraph">
    <w:pPr>
      <w:spacing w:after="120" w:before="0" w:line="360" w:lineRule="auto"/>
      <w:jc w:val="both"/>
    </w:pPr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60" w:before="0" w:line="276" w:lineRule="auto"/>
      <w:jc w:val="both"/>
    </w:pPr>
  </w:style>
  <w:style w:styleId="Title" w:type="paragraph">
    <w:name w:val="Title"/>
    <w:basedOn w:val="Normal"/>
    <w:next w:val="BodyText"/>
    <w:qFormat/>
    <w:pPr>
      <w:spacing w:after="120" w:before="0" w:line="276" w:lineRule="auto"/>
      <w:jc w:val="left"/>
      <w:keepNext/>
      <w:keepLines/>
    </w:pPr>
    <w:rPr>
      <w:rFonts w:ascii="Times New Roman" w:cs="Times New Roman" w:eastAsia="Times New Roman" w:hAnsi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spacing w:after="120" w:before="240" w:line="276" w:lineRule="auto"/>
      <w:jc w:val="left"/>
      <w:keepNext/>
      <w:keepLines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spacing w:after="120" w:before="240" w:line="276" w:lineRule="auto"/>
      <w:jc w:val="left"/>
      <w:keepNext/>
      <w:keepLines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spacing w:after="120" w:before="200" w:line="276" w:lineRule="auto"/>
      <w:jc w:val="left"/>
      <w:keepNext/>
      <w:keepLines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spacing w:after="120" w:before="160" w:line="276" w:lineRule="auto"/>
      <w:jc w:val="left"/>
      <w:keepNext/>
      <w:keepLines/>
      <w:outlineLvl w:val="3"/>
    </w:pPr>
    <w:rPr>
      <w:b/>
      <w:rFonts w:ascii="Times New Roman" w:cs="Times New Roman" w:eastAsia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2026-09-08T15:37:46Z</dcterms:created>
  <dcterms:modified xsi:type="dcterms:W3CDTF">2026-09-08T15:37:46Z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