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PROTEÇÃO CONTRATUAL PÓS-ADJUDICAÇÃO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Termo de Assunção Operacional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CC0000"/>
          <w:sz w:val="24"/>
          <w:szCs w:val="24"/>
        </w:rPr>
        <w:t xml:space="preserve">[RESERVA — USO INTERNO]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PE 30/2026 (Reabertura) — Porto Ferreira/SP — Agosto/2026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Objetivo: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assinar o termo de assunção operacional prometido pela Administração na resposta à 6.ª impugnação, documentando as condições reais da Vala 05. O laudo atestará o não atendimento da Exigência Técnica 08 da LO, tornando inviável a continuidade da disposição na vala (Item 2). A consequência contratual é a transição para o Item 3 (destinação externa).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Lógica: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Vala 05 não reúne as condições exigidas pela ET-08 da LO CETESB n.º 4011055. O termo de assunção documenta essa realidade. Se a vala não atende as exigências técnicas da licença de operação, a disposição de resíduos ali (Item 2) não pode prosseguir sem que o Município, titular da licença e do ativo, regularize a situação. Até lá, opera-se pelo Item 3.</w:t>
      </w:r>
    </w:p>
    <w:p>
      <w:pPr>
        <w:pBdr>
          <w:bottom w:val="single" w:color="CCCCCC" w:sz="1" w:space="4"/>
        </w:pBdr>
        <w:spacing w:after="80" w:before="80"/>
      </w:pP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O que a Administração já declarou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2400"/>
        <w:gridCol w:w="3200"/>
      </w:tblGrid>
      <w:tr>
        <w:trPr>
          <w:tblHeader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Declaração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Situação atual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"A contratada não responderá por passivos ambientais, estruturais ou operacionais anteriores ao início da execução"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Resposta à 6.ª impugnação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Não incorporada ao edital reaberto (T15, C-063)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"Registro das condições iniciais da unidade por ocasião da assunção"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Resposta à 6.ª impugnação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Não incorporada ao edital reaberto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ET-08 da LO: "Implantar em toda a Vala nº 05 sistema de drenagem de chorume, impermeabilização (manta de PEAD) e drenagem de gases"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 CETESB 4011055, Exigência Técnica 08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Condicionante ativa da licença; não atendida integralmente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Observação 05 da LO: descumprimento de exigências técnicas implica cancelamento automático da licença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 CETESB 4011055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Aplica-se à ET-08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 5.5.5–5.5.15: contratada deve "garantir" impermeabilização, drenagem de chorume e drenagem de gases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 do edital reaberto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Obrigação transferida sem registro do estado atual dos sistemas</w:t>
            </w:r>
          </w:p>
        </w:tc>
      </w:tr>
    </w:tbl>
    <w:p>
      <w:pPr>
        <w:spacing w:after="200" w:before="120" w:line="276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 resposta à 6.ª impugnação, embora não incorporada formalmente, vincula a Administração (art. 164, parágrafo único, Lei n.º 14.133/2021) e é a base para solicitar o termo de assunção na execução do contrato.</w:t>
      </w:r>
    </w:p>
    <w:p>
      <w:pPr>
        <w:pBdr>
          <w:bottom w:val="single" w:color="CCCCCC" w:sz="1" w:space="4"/>
        </w:pBdr>
        <w:spacing w:after="80" w:before="80"/>
      </w:pP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Estrutura contratual: Item 2 vs. Item 3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edital estrutura a destinação final em dois itens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mutuamente excludentes e sucessivos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não simultâneos. O Item 3 só começa quando o Item 2 termina. A vedação é expressa: "fica expressamente vedada a cobrança do Item 2 do objeto, passando a ser faturado exclusivamente o Item 3" (TR 5.1.6.3).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50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Previsão editalícia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Item 2 — Destinação no aterro municipal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Disposição na Vala 05, licenciada pela LO CETESB n.º 4011055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 1.1, Lote 1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Item 3 — Destinação externa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Disposição em aterro licenciado em outro município, sob responsabilidade da contratada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 1.1, Lote 1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Quantitativo estimado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12.480 t/ano para cada item (mesma tonelagem, nunca simultânea)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 1.1; ETP item 7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Preço unitário referencial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Item 2: R$ 168,77/t · Item 3: R$ 249,28/t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Quadro Comparativo de Preços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Gatilho da transição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"É de responsabilidade dos técnicos da CONTRATANTE a validação contínua da utilização da vala, monitorando a capacidade de carga e estabilidade dos taludes"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 5.5.18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Vedação de cumulatividade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"A partir da constatação do encerramento do Aterro Municipal, fica expressamente vedada a cobrança do Item 2"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 5.1.6.3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 estimada de esgotamento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"Provavelmente no primeiro semestre de 2027"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 2.4, 5.1.6.2, 5.5.17</w:t>
            </w:r>
          </w:p>
        </w:tc>
      </w:tr>
    </w:tbl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Ponto central: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decisão de quando encerrar o Item 2 e iniciar o Item 3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unilateral dos técnicos do Município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sem parâmetro técnico objetivo, sem procedimento formal, sem laudo, sem prazo de aviso prévio e sem participação da contratada (TR 5.5.18). O termo de assunção cria o fundamento técnico da contratada para provocar a transição, em vez de ficar à mercê de uma constatação unilateral.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Teto diário da LO vs. tonelagem do edital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600"/>
        <w:gridCol w:w="3000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Teto diário licenciado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60 t/dia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Observação 01 da LO CETESB n.º 4011055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Média diária estimada (dias úteis)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~40 t/dia (12.480 t/ano ÷ 312 dias úteis)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 1.1; cálculo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Premissa da tabela de transbordo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45 t/dia (1,5 viagens × 30 t)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Tabela de Quilometragem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Tonelagem pré-Decreto 3.367/2026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~50 t/dia (1.300 t/mês ÷ 26 dias)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ETP item 7</w:t>
            </w:r>
          </w:p>
        </w:tc>
      </w:tr>
    </w:tbl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média, a operação fica abaixo do teto de 60 t/dia. Nos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picos de segunda-feira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porém, a concentração de coleta (região central diária + regiões alternadas + resíduo represado de domingo) pode se aproximar ou ultrapassar o limite licenciado. O edital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prevê regra de escalonamento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descarga para administrar esses picos. A contratada fica entre a penalidade contratual por atraso (se não descarregar) e a operação em desacordo com a licença ambiental (se descarregar acima do teto — art. 60 da Lei n.º 9.605/1998).</w:t>
      </w:r>
    </w:p>
    <w:p>
      <w:pPr>
        <w:spacing w:after="120" w:before="6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Este é um risco operacional adicional do Item 2 que o termo de assunção pode documentar — reforçando a conveniência da transição ao Item 3.</w:t>
      </w:r>
    </w:p>
    <w:p>
      <w:pPr>
        <w:pBdr>
          <w:bottom w:val="single" w:color="CCCCCC" w:sz="1" w:space="4"/>
        </w:pBdr>
        <w:spacing w:after="80" w:before="80"/>
      </w:pP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Sequência pós-adjudicação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Pressupõe vitória no certame.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Etapa 1 — Solicitação do termo de assunção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Ofício ao CONTRATANTE solicitando a lavratura do termo de assunção operacional, nos termos do compromisso da resposta à 6.ª impugnação (art. 164, parágrafo único, da Lei n.º 14.133/2021). O ofício referencia a resposta à 6.ª impugnação e propõe vistoria conjunta (CONTRATANTE + CONTRATADA + engenheiro RT) para registrar o estado da Vala 05: levantamento planialtimétrico, impermeabilização de base (manta PEAD), sistemas de drenagem de chorume e de gases, capacidade volumétrica remanescente, condicionantes ativas da LO e registro fotográfico georreferenciado.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o Município protelar, a contratada reitera o ofício e, se necessário, realiza o levantamento por conta própria (laudo com ART/RRT), notificando o CONTRATANTE para acompanhar.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Etapa 2 — Vistoria e lavratura do termo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Vistoria técnica na Vala 05 pela equipe de engenharia da contratada, preferencialmente acompanhada do fiscal do contrato. Registra: presença e integridade da impermeabilização (PEAD) em toda a vala; existência, dimensionamento e funcionamento dos sistemas de drenagem de chorume e de gases; levantamento planialtimétrico e capacidade remanescente; estado da cobertura diária (ET-01), da drenagem pluvial (ET-04) e de passivos aparentes (chorume aflorante, erosão, vetores).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resultado é um laudo técnico com ART/RRT, formalizado como Termo de Assunção Operacional e entregue ao CONTRATANTE por protocolo.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Etapa 3 — Constatação do não atendimento da ET-08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Exigências técnicas da LO CETESB n.º 4011055: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9200"/>
      </w:tblGrid>
      <w:tr>
        <w:trPr>
          <w:tblHeader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ET</w:t>
            </w:r>
          </w:p>
        </w:tc>
        <w:tc>
          <w:tcPr>
            <w:tcW w:type="dxa" w:w="9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Exigência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01</w:t>
            </w:r>
          </w:p>
        </w:tc>
        <w:tc>
          <w:tcPr>
            <w:tcW w:type="dxa" w:w="9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Os Resíduos Sólidos Domiciliares destinados ao aterro deverão ser devidamente compactados e recobertos com camada de terra diariamente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02</w:t>
            </w:r>
          </w:p>
        </w:tc>
        <w:tc>
          <w:tcPr>
            <w:tcW w:type="dxa" w:w="9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Deverão ser observados todos os aspectos previstos no Índice de Qualidade de Resíduos (IQR), de modo a manter as condições adequadas do empreendimento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03</w:t>
            </w:r>
          </w:p>
        </w:tc>
        <w:tc>
          <w:tcPr>
            <w:tcW w:type="dxa" w:w="9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Manter adequadamente a cortina vegetal existente com a finalidade de favorecer o isolamento visual do local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04</w:t>
            </w:r>
          </w:p>
        </w:tc>
        <w:tc>
          <w:tcPr>
            <w:tcW w:type="dxa" w:w="9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Operar e manter adequadamente o sistema de coleta, armazenamento e drenagem de águas pluviais, de modo a evitar o extravasamento dessas águas para fora dos limites da área do empreendimento e formação de processos erosivos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05</w:t>
            </w:r>
          </w:p>
        </w:tc>
        <w:tc>
          <w:tcPr>
            <w:tcW w:type="dxa" w:w="9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Ficam vedadas a disposição de poda de árvores e entulhos no interior das valas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06</w:t>
            </w:r>
          </w:p>
        </w:tc>
        <w:tc>
          <w:tcPr>
            <w:tcW w:type="dxa" w:w="9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Fica proibida a disposição de resíduos de serviço de saúde e/ou industriais no aterro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07</w:t>
            </w:r>
          </w:p>
        </w:tc>
        <w:tc>
          <w:tcPr>
            <w:tcW w:type="dxa" w:w="9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Fica proibida a queima de resíduos a céu aberto de qualquer natureza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08</w:t>
            </w:r>
          </w:p>
        </w:tc>
        <w:tc>
          <w:tcPr>
            <w:tcW w:type="dxa" w:w="9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Implantar em toda a Vala nº 05 sistema de drenagem de chorume, impermeabilização (manta de PEAD) e drenagem de gases</w:t>
            </w:r>
          </w:p>
        </w:tc>
      </w:tr>
    </w:tbl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ET-08 exige a implantação "em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Vala nº 05" de três sistemas: drenagem de chorume, impermeabilização com manta PEAD e drenagem de gases. A implantação retroativa desses sistemas em trechos já aterrados é tecnicamente inviável. A vala não atende a ET-08. A obrigação de implantar esses sistemas é do titular da licença (Município) — o TR transfere à contratada a obrigação de "garantir" (TR 5.5.5–5.5.15), não de implantar.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laudo documenta essa não conformidade e cumpre duas funções: (1) segregação de responsabilidade — o não atendimento da ET-08 é anterior à assunção, é passivo do Município, conforme o compromisso da 6.ª impugnação; (2) inviabilidade da operação pelo Item 2 — se a vala não atende as exigências técnicas da LO, a disposição de resíduos ali não pode prosseguir sem regularização pelo titular da licença.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Etapa 4 — Comunicação ao CONTRATANTE e transição ao Item 3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Ofício ao CONTRATANTE comunicando os achados do termo de assunção e a consequência contratual. A contratada apresenta os achados quanto à ET-08, registra que a operação na vala nas condições atuais expõe ambas as partes, que a regularização de condicionantes preexistentes é competência do titular da LO (Município), e solicita orientação formal para a transição ao Item 3.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600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Resposta do Município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Encaminhamento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Aceita a transição para o Item 3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Transição documentada por decisão do CONTRATANTE — cenário-alvo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Providencia a regularização da ET-08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contratada colabora operacionalmente dentro do que o contrato prevê e remunera; Item 2 retomado após regularização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Orienta a operação normal sem regularização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contratada registra o risco, opera conforme a orientação formal do CONTRATANTE, com o termo de assunção nos autos — a responsabilidade está segregada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Silêncio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contratada reitera o ofício; se necessário, provoca o fiscal do contrato (art. 117, Lei 14.133/2021)</w:t>
            </w:r>
          </w:p>
        </w:tc>
      </w:tr>
    </w:tbl>
    <w:p>
      <w:pPr>
        <w:pBdr>
          <w:bottom w:val="single" w:color="CCCCCC" w:sz="1" w:space="4"/>
        </w:pBdr>
        <w:spacing w:after="80" w:before="80"/>
      </w:pP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Proteção da contratada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3600"/>
        <w:gridCol w:w="5200"/>
      </w:tblGrid>
      <w:tr>
        <w:trPr>
          <w:tblHeader/>
        </w:trP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Ofício solicitando termo de assunção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Vinculação ao compromisso da Administração; boa-fé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Laudo técnico com ART/RRT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Condições preexistentes documentadas; responsabilidade segregada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Constatação de não conformidade com a ET-08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Registro técnico do fato; inviabilidade do Item 2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Ofício ao CONTRATANTE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Comunicação cooperativa; transição ao Item 3 fundamentada</w:t>
            </w:r>
          </w:p>
        </w:tc>
      </w:tr>
    </w:tbl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qualquer cenário, a contratada não decide sozinha — solicita orientação do CONTRATANTE, que é o titular da licença e do ativo.</w:t>
      </w:r>
    </w:p>
    <w:p>
      <w:pPr>
        <w:pBdr>
          <w:bottom w:val="single" w:color="CCCCCC" w:sz="1" w:space="4"/>
        </w:pBdr>
        <w:spacing w:after="80" w:before="80"/>
      </w:pP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Cronograma estimado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0"/>
        <w:gridCol w:w="4400"/>
      </w:tblGrid>
      <w:tr>
        <w:trPr>
          <w:tblHeader/>
        </w:trP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Marco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Prazo estimado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Assinatura do contrato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Ofício solicitando termo de assunção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D+1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Vistoria e lavratura do termo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D+15 a D+30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Laudo técnico concluído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D+30 a D+45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Comunicação dos achados e pedido de transição ao Item 3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D+45 a D+50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Resposta/orientação do CONTRATANTE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D+50 a D+65</w:t>
            </w:r>
          </w:p>
        </w:tc>
      </w:tr>
    </w:tbl>
    <w:p>
      <w:pPr>
        <w:pBdr>
          <w:bottom w:val="single" w:color="CCCCCC" w:sz="1" w:space="4"/>
        </w:pBdr>
        <w:spacing w:after="80" w:before="80"/>
      </w:pP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Riscos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600"/>
      </w:tblGrid>
      <w:tr>
        <w:trPr>
          <w:tblHeader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5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Município regulariza a ET-08 antes da assunção</w:t>
            </w:r>
          </w:p>
        </w:tc>
        <w:tc>
          <w:tcPr>
            <w:tcW w:type="dxa" w:w="5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vala passa a operar regularmente — risco operacional mitigado; Item 2 opera normalmente até esgotamento da vida útil (1.º semestre de 2027 pelo TR), depois transita ao Item 3 de qualquer forma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CONTRATANTE alega que a contratada deveria ter identificado a situação antes de contratar</w:t>
            </w:r>
          </w:p>
        </w:tc>
        <w:tc>
          <w:tcPr>
            <w:tcW w:type="dxa" w:w="5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contratada não tinha acesso aos dados técnicos (T9 — dados não divulgados); a visita técnica facultada não substitui levantamento de engenharia; a própria Administração reconheceu a necessidade de registro das condições iniciais na 6.ª impugnação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CONTRATANTE orienta operação normal sem regularizar</w:t>
            </w:r>
          </w:p>
        </w:tc>
        <w:tc>
          <w:tcPr>
            <w:tcW w:type="dxa" w:w="5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contratada opera conforme a orientação formal do CONTRATANTE, com o termo de assunção nos autos — segregação de responsabilidade documentada</w:t>
            </w:r>
          </w:p>
        </w:tc>
      </w:tr>
    </w:tbl>
    <w:p>
      <w:pPr>
        <w:pBdr>
          <w:bottom w:val="single" w:color="CCCCCC" w:sz="1" w:space="4"/>
        </w:pBdr>
        <w:spacing w:after="80" w:before="80"/>
      </w:pPr>
    </w:p>
    <w:p>
      <w:pPr>
        <w:spacing w:after="120" w:before="200" w:line="276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Documento de estratégia interno. Não protocolar. A decisão de adotar este caminho é exclusiva do advogado, em coordenação com a engenharia e a área comercial.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2026-08-24T13:34:54.530Z</dcterms:created>
  <dcterms:modified xsi:type="dcterms:W3CDTF">2026-08-24T13:34:54.531Z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