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40" w:before="0" w:line="276"/>
        <w:jc w:val="center"/>
      </w:pPr>
      <w:r>
        <w:rPr>
          <w:rFonts w:ascii="Times New Roman" w:cs="Times New Roman" w:eastAsia="Times New Roman" w:hAnsi="Times New Roman"/>
          <w:b/>
          <w:bCs/>
          <w:sz w:val="36"/>
          <w:szCs w:val="36"/>
        </w:rPr>
        <w:t xml:space="preserve">PROTEÇÃO CONTRATUAL PÓS-ADJUDICAÇÃO</w:t>
      </w:r>
    </w:p>
    <w:p>
      <w:pPr>
        <w:spacing w:after="40" w:before="0" w:line="276"/>
        <w:jc w:val="center"/>
      </w:pPr>
      <w:r>
        <w:rPr>
          <w:rFonts w:ascii="Times New Roman" w:cs="Times New Roman" w:eastAsia="Times New Roman" w:hAnsi="Times New Roman"/>
          <w:b/>
          <w:bCs/>
          <w:sz w:val="32"/>
          <w:szCs w:val="32"/>
        </w:rPr>
        <w:t xml:space="preserve">Termo de Assunção Operacional</w:t>
      </w:r>
    </w:p>
    <w:p>
      <w:pPr>
        <w:spacing w:after="200" w:before="0" w:line="276"/>
        <w:jc w:val="center"/>
      </w:pPr>
      <w:r>
        <w:rPr>
          <w:rFonts w:ascii="Times New Roman" w:cs="Times New Roman" w:eastAsia="Times New Roman" w:hAnsi="Times New Roman"/>
          <w:b/>
          <w:bCs/>
          <w:color w:val="CC0000"/>
          <w:sz w:val="24"/>
          <w:szCs w:val="24"/>
        </w:rPr>
        <w:t xml:space="preserve">[RESERVA — USO INTERNO]</w:t>
      </w:r>
    </w:p>
    <w:p>
      <w:pPr>
        <w:spacing w:after="200" w:before="0" w:line="276"/>
        <w:jc w:val="center"/>
      </w:pPr>
      <w:r>
        <w:rPr>
          <w:rFonts w:ascii="Times New Roman" w:cs="Times New Roman" w:eastAsia="Times New Roman" w:hAnsi="Times New Roman"/>
          <w:i/>
          <w:iCs/>
          <w:sz w:val="20"/>
          <w:szCs w:val="20"/>
        </w:rPr>
        <w:t xml:space="preserve">PE 30/2026 (Reabertura) — Porto Ferreira/SP — Agosto/2026</w:t>
      </w:r>
    </w:p>
    <w:p>
      <w:pPr>
        <w:spacing w:after="120" w:before="0" w:line="276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Objetivo: 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assinar o termo de assunção operacional prometido pela Administração na resposta à 6.ª impugnação, documentando as condições reais da Vala 05. O laudo atestará o não atendimento da Exigência Técnica 08 da LO, tornando inviável a continuidade da disposição na vala (Item 2). A consequência contratual é a transição para o Item 3 (destinação externa).</w:t>
      </w:r>
    </w:p>
    <w:p>
      <w:pPr>
        <w:spacing w:after="200" w:before="0" w:line="276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Lógica: 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a Vala 05 não reúne as condições exigidas pela ET-08 da LO CETESB n.º 4011055. O termo de assunção documenta essa realidade. Se a vala não atende as exigências técnicas da licença de operação, a disposição de resíduos ali (Item 2) não pode prosseguir sem que o Município, titular da licença e do ativo, regularize a situação. Até lá, opera-se pelo Item 3.</w:t>
      </w:r>
    </w:p>
    <w:p>
      <w:pPr>
        <w:pBdr>
          <w:bottom w:val="single" w:color="CCCCCC" w:sz="1" w:space="4"/>
        </w:pBdr>
        <w:spacing w:after="80" w:before="80"/>
      </w:pPr>
    </w:p>
    <w:p>
      <w:pPr>
        <w:pStyle w:val="Heading2"/>
        <w:spacing w:after="120" w:before="200"/>
      </w:pPr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1. O que a Administração já declarou</w:t>
      </w:r>
    </w:p>
    <w:tbl>
      <w:tblPr>
        <w:tblW w:type="dxa" w:w="9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4200"/>
        <w:gridCol w:w="2400"/>
        <w:gridCol w:w="3200"/>
      </w:tblGrid>
      <w:tr>
        <w:trPr>
          <w:tblHeader/>
        </w:trPr>
        <w:tc>
          <w:tcPr>
            <w:tcW w:type="dxa" w:w="4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1F3864" w:color="auto" w:val="clear"/>
          </w:tcPr>
          <w:p>
            <w:pPr>
              <w:spacing w:after="40" w:before="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color w:val="FFFFFF"/>
                <w:sz w:val="20"/>
                <w:szCs w:val="20"/>
              </w:rPr>
              <w:t xml:space="preserve">Declaração</w:t>
            </w:r>
          </w:p>
        </w:tc>
        <w:tc>
          <w:tcPr>
            <w:tcW w:type="dxa" w:w="24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1F3864" w:color="auto" w:val="clear"/>
          </w:tcPr>
          <w:p>
            <w:pPr>
              <w:spacing w:after="40" w:before="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color w:val="FFFFFF"/>
                <w:sz w:val="20"/>
                <w:szCs w:val="20"/>
              </w:rPr>
              <w:t xml:space="preserve">Fonte</w:t>
            </w:r>
          </w:p>
        </w:tc>
        <w:tc>
          <w:tcPr>
            <w:tcW w:type="dxa" w:w="3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1F3864" w:color="auto" w:val="clear"/>
          </w:tcPr>
          <w:p>
            <w:pPr>
              <w:spacing w:after="40" w:before="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color w:val="FFFFFF"/>
                <w:sz w:val="20"/>
                <w:szCs w:val="20"/>
              </w:rPr>
              <w:t xml:space="preserve">Situação atual</w:t>
            </w:r>
          </w:p>
        </w:tc>
      </w:tr>
      <w:tr>
        <w:tc>
          <w:tcPr>
            <w:tcW w:type="dxa" w:w="4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pPr>
              <w:spacing w:after="40" w:before="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"A contratada não responderá por passivos ambientais, estruturais ou operacionais anteriores ao início da execução"</w:t>
            </w:r>
          </w:p>
        </w:tc>
        <w:tc>
          <w:tcPr>
            <w:tcW w:type="dxa" w:w="24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pPr>
              <w:spacing w:after="40" w:before="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Resposta à 6.ª impugnação</w:t>
            </w:r>
          </w:p>
        </w:tc>
        <w:tc>
          <w:tcPr>
            <w:tcW w:type="dxa" w:w="3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pPr>
              <w:spacing w:after="40" w:before="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Não incorporada ao edital reaberto (T15, C-063)</w:t>
            </w:r>
          </w:p>
        </w:tc>
      </w:tr>
      <w:tr>
        <w:tc>
          <w:tcPr>
            <w:tcW w:type="dxa" w:w="4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pPr>
              <w:spacing w:after="40" w:before="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"Registro das condições iniciais da unidade por ocasião da assunção"</w:t>
            </w:r>
          </w:p>
        </w:tc>
        <w:tc>
          <w:tcPr>
            <w:tcW w:type="dxa" w:w="24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pPr>
              <w:spacing w:after="40" w:before="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Resposta à 6.ª impugnação</w:t>
            </w:r>
          </w:p>
        </w:tc>
        <w:tc>
          <w:tcPr>
            <w:tcW w:type="dxa" w:w="3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pPr>
              <w:spacing w:after="40" w:before="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Não incorporada ao edital reaberto</w:t>
            </w:r>
          </w:p>
        </w:tc>
      </w:tr>
      <w:tr>
        <w:tc>
          <w:tcPr>
            <w:tcW w:type="dxa" w:w="4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pPr>
              <w:spacing w:after="40" w:before="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ET-08 da LO: "Implantar em toda a Vala nº 05 sistema de drenagem de chorume, impermeabilização (manta de PEAD) e drenagem de gases"</w:t>
            </w:r>
          </w:p>
        </w:tc>
        <w:tc>
          <w:tcPr>
            <w:tcW w:type="dxa" w:w="24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pPr>
              <w:spacing w:after="40" w:before="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LO CETESB 4011055, Exigência Técnica 08</w:t>
            </w:r>
          </w:p>
        </w:tc>
        <w:tc>
          <w:tcPr>
            <w:tcW w:type="dxa" w:w="3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pPr>
              <w:spacing w:after="40" w:before="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Condicionante ativa da licença; não atendida integralmente</w:t>
            </w:r>
          </w:p>
        </w:tc>
      </w:tr>
      <w:tr>
        <w:tc>
          <w:tcPr>
            <w:tcW w:type="dxa" w:w="4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pPr>
              <w:spacing w:after="40" w:before="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Observação 05 da LO: descumprimento de exigências técnicas implica cancelamento automático da licença</w:t>
            </w:r>
          </w:p>
        </w:tc>
        <w:tc>
          <w:tcPr>
            <w:tcW w:type="dxa" w:w="24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pPr>
              <w:spacing w:after="40" w:before="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LO CETESB 4011055</w:t>
            </w:r>
          </w:p>
        </w:tc>
        <w:tc>
          <w:tcPr>
            <w:tcW w:type="dxa" w:w="3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pPr>
              <w:spacing w:after="40" w:before="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Aplica-se à ET-08</w:t>
            </w:r>
          </w:p>
        </w:tc>
      </w:tr>
      <w:tr>
        <w:tc>
          <w:tcPr>
            <w:tcW w:type="dxa" w:w="4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pPr>
              <w:spacing w:after="40" w:before="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TR 5.5.5–5.5.15: contratada deve "garantir" impermeabilização, drenagem de chorume e drenagem de gases</w:t>
            </w:r>
          </w:p>
        </w:tc>
        <w:tc>
          <w:tcPr>
            <w:tcW w:type="dxa" w:w="24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pPr>
              <w:spacing w:after="40" w:before="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TR do edital reaberto</w:t>
            </w:r>
          </w:p>
        </w:tc>
        <w:tc>
          <w:tcPr>
            <w:tcW w:type="dxa" w:w="3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pPr>
              <w:spacing w:after="40" w:before="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Obrigação transferida sem registro do estado atual dos sistemas</w:t>
            </w:r>
          </w:p>
        </w:tc>
      </w:tr>
    </w:tbl>
    <w:p>
      <w:pPr>
        <w:spacing w:after="200" w:before="120" w:line="276"/>
        <w:jc w:val="both"/>
      </w:pPr>
      <w:r>
        <w:rPr>
          <w:rFonts w:ascii="Times New Roman" w:cs="Times New Roman" w:eastAsia="Times New Roman" w:hAnsi="Times New Roman"/>
          <w:i/>
          <w:iCs/>
          <w:sz w:val="20"/>
          <w:szCs w:val="20"/>
        </w:rPr>
        <w:t xml:space="preserve">A resposta à 6.ª impugnação, embora não incorporada formalmente, vincula a Administração (art. 164, parágrafo único, Lei n.º 14.133/2021) e é a base para solicitar o termo de assunção na execução do contrato.</w:t>
      </w:r>
    </w:p>
    <w:p>
      <w:pPr>
        <w:pBdr>
          <w:bottom w:val="single" w:color="CCCCCC" w:sz="1" w:space="4"/>
        </w:pBdr>
        <w:spacing w:after="80" w:before="80"/>
      </w:pPr>
    </w:p>
    <w:p>
      <w:pPr>
        <w:pStyle w:val="Heading2"/>
        <w:spacing w:after="120" w:before="200"/>
      </w:pPr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2. O que é o baseline</w:t>
      </w:r>
    </w:p>
    <w:p>
      <w:pPr>
        <w:spacing w:after="12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A resposta à 6.ª impugnação contém duas declarações (C-183, C-184):</w:t>
      </w:r>
    </w:p>
    <w:p>
      <w:pPr>
        <w:spacing w:after="120" w:before="60" w:line="276"/>
        <w:ind w:left="720"/>
        <w:jc w:val="both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"a contratada não responderá por passivos ambientais, estruturais ou operacionais anteriores ao início da execução, o que será consignado expressamente"</w:t>
      </w:r>
    </w:p>
    <w:p>
      <w:pPr>
        <w:spacing w:after="120" w:before="60" w:line="276"/>
        <w:ind w:left="720"/>
        <w:jc w:val="both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"registro das condições iniciais da unidade por ocasião da assunção"</w:t>
      </w:r>
    </w:p>
    <w:p>
      <w:pPr>
        <w:spacing w:after="12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O baseline é esse registro: o estado da Vala 05 no momento em que a contratada assume a operação.</w:t>
      </w:r>
    </w:p>
    <w:p>
      <w:pPr>
        <w:pStyle w:val="Heading3"/>
        <w:spacing w:after="120" w:before="200"/>
      </w:pPr>
      <w:r>
        <w:rPr>
          <w:rFonts w:ascii="Times New Roman" w:cs="Times New Roman" w:eastAsia="Times New Roman" w:hAnsi="Times New Roman"/>
          <w:b/>
          <w:bCs/>
          <w:sz w:val="26"/>
          <w:szCs w:val="26"/>
        </w:rPr>
        <w:t xml:space="preserve">O que o edital reaberto não contém</w:t>
      </w:r>
    </w:p>
    <w:tbl>
      <w:tblPr>
        <w:tblW w:type="dxa" w:w="9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4800"/>
        <w:gridCol w:w="5000"/>
      </w:tblGrid>
      <w:tr>
        <w:trPr>
          <w:tblHeader/>
        </w:trPr>
        <w:tc>
          <w:tcPr>
            <w:tcW w:type="dxa" w:w="4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1F3864" w:color="auto" w:val="clear"/>
          </w:tcPr>
          <w:p>
            <w:pPr>
              <w:spacing w:after="40" w:before="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color w:val="FFFFFF"/>
                <w:sz w:val="20"/>
                <w:szCs w:val="20"/>
              </w:rPr>
              <w:t xml:space="preserve">Elemento prometido</w:t>
            </w:r>
          </w:p>
        </w:tc>
        <w:tc>
          <w:tcPr>
            <w:tcW w:type="dxa" w:w="50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1F3864" w:color="auto" w:val="clear"/>
          </w:tcPr>
          <w:p>
            <w:pPr>
              <w:spacing w:after="40" w:before="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color w:val="FFFFFF"/>
                <w:sz w:val="20"/>
                <w:szCs w:val="20"/>
              </w:rPr>
              <w:t xml:space="preserve">Situação no edital reaberto</w:t>
            </w:r>
          </w:p>
        </w:tc>
      </w:tr>
      <w:tr>
        <w:tc>
          <w:tcPr>
            <w:tcW w:type="dxa" w:w="4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pPr>
              <w:spacing w:after="40" w:before="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Termo "passivo"</w:t>
            </w:r>
          </w:p>
        </w:tc>
        <w:tc>
          <w:tcPr>
            <w:tcW w:type="dxa" w:w="50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pPr>
              <w:spacing w:after="40" w:before="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Não aparece em nenhum dispositivo</w:t>
            </w:r>
          </w:p>
        </w:tc>
      </w:tr>
      <w:tr>
        <w:tc>
          <w:tcPr>
            <w:tcW w:type="dxa" w:w="4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pPr>
              <w:spacing w:after="40" w:before="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Cláusula de não responsabilização por passivos anteriores</w:t>
            </w:r>
          </w:p>
        </w:tc>
        <w:tc>
          <w:tcPr>
            <w:tcW w:type="dxa" w:w="50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pPr>
              <w:spacing w:after="40" w:before="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Inexistente</w:t>
            </w:r>
          </w:p>
        </w:tc>
      </w:tr>
      <w:tr>
        <w:tc>
          <w:tcPr>
            <w:tcW w:type="dxa" w:w="4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pPr>
              <w:spacing w:after="40" w:before="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Vistoria conjunta</w:t>
            </w:r>
          </w:p>
        </w:tc>
        <w:tc>
          <w:tcPr>
            <w:tcW w:type="dxa" w:w="50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pPr>
              <w:spacing w:after="40" w:before="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Não prevista</w:t>
            </w:r>
          </w:p>
        </w:tc>
      </w:tr>
      <w:tr>
        <w:tc>
          <w:tcPr>
            <w:tcW w:type="dxa" w:w="4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pPr>
              <w:spacing w:after="40" w:before="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Inventário de condições iniciais</w:t>
            </w:r>
          </w:p>
        </w:tc>
        <w:tc>
          <w:tcPr>
            <w:tcW w:type="dxa" w:w="50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pPr>
              <w:spacing w:after="40" w:before="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Não previsto</w:t>
            </w:r>
          </w:p>
        </w:tc>
      </w:tr>
      <w:tr>
        <w:tc>
          <w:tcPr>
            <w:tcW w:type="dxa" w:w="4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pPr>
              <w:spacing w:after="40" w:before="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Termo de assunção operacional</w:t>
            </w:r>
          </w:p>
        </w:tc>
        <w:tc>
          <w:tcPr>
            <w:tcW w:type="dxa" w:w="50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pPr>
              <w:spacing w:after="40" w:before="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Não previsto</w:t>
            </w:r>
          </w:p>
        </w:tc>
      </w:tr>
    </w:tbl>
    <w:p>
      <w:pPr>
        <w:pStyle w:val="Heading3"/>
        <w:spacing w:after="120" w:before="200"/>
      </w:pPr>
      <w:r>
        <w:rPr>
          <w:rFonts w:ascii="Times New Roman" w:cs="Times New Roman" w:eastAsia="Times New Roman" w:hAnsi="Times New Roman"/>
          <w:b/>
          <w:bCs/>
          <w:sz w:val="26"/>
          <w:szCs w:val="26"/>
        </w:rPr>
        <w:t xml:space="preserve">O que o TR exige da contratada sem esse registro</w:t>
      </w:r>
    </w:p>
    <w:p>
      <w:pPr>
        <w:spacing w:after="12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O TR atribui à contratada a obrigação de "garantir que o Aterro Sanitário possua uma camada de impermeabilização de base, constituída de geomembrana de polietileno de alta densidade – PEAD" e os sistemas de drenagem de chorume e de gases (TR 5.5.5–5.5.15; C-190) — sistemas que a contratada não projetou nem construiu, sem laudo de estado inicial nem inventário de passivos.</w:t>
      </w:r>
    </w:p>
    <w:p>
      <w:pPr>
        <w:spacing w:after="12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A ET-08 da LO exige a implantação "em </w:t>
      </w: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toda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a Vala nº 05" desses mesmos três sistemas: drenagem de chorume, impermeabilização com manta PEAD e drenagem de gases. A contratada assume a obrigação de garantir uma infraestrutura preexistente sem saber em que estado essa infraestrutura se encontra.</w:t>
      </w:r>
    </w:p>
    <w:p>
      <w:pPr>
        <w:pStyle w:val="Heading3"/>
        <w:spacing w:after="120" w:before="200"/>
      </w:pPr>
      <w:r>
        <w:rPr>
          <w:rFonts w:ascii="Times New Roman" w:cs="Times New Roman" w:eastAsia="Times New Roman" w:hAnsi="Times New Roman"/>
          <w:b/>
          <w:bCs/>
          <w:sz w:val="26"/>
          <w:szCs w:val="26"/>
        </w:rPr>
        <w:t xml:space="preserve">Por que a resposta à 6.ª impugnação vincula</w:t>
      </w:r>
    </w:p>
    <w:p>
      <w:pPr>
        <w:spacing w:after="12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Art. 164, parágrafo único, da Lei n.º 14.133/2021: a resposta à impugnação vincula a Administração. A Administração reconheceu a necessidade do registro das condições iniciais e da cláusula de não responsabilização — e não incorporou nenhuma das duas ao edital reaberto (T15, C-063).</w:t>
      </w:r>
    </w:p>
    <w:p>
      <w:pPr>
        <w:spacing w:after="200" w:before="60" w:line="276"/>
        <w:jc w:val="both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O termo de assunção operacional (Seção 4, Etapa 1) é a cobrança dessas duas declarações no D+1 do contrato.</w:t>
      </w:r>
    </w:p>
    <w:p>
      <w:pPr>
        <w:pBdr>
          <w:bottom w:val="single" w:color="CCCCCC" w:sz="1" w:space="4"/>
        </w:pBdr>
        <w:spacing w:after="80" w:before="80"/>
      </w:pPr>
    </w:p>
    <w:p>
      <w:pPr>
        <w:pStyle w:val="Heading2"/>
        <w:spacing w:after="120" w:before="200"/>
      </w:pPr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3. Estrutura contratual: Item 2 vs. Item 3</w:t>
      </w:r>
    </w:p>
    <w:p>
      <w:pPr>
        <w:spacing w:after="12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O edital estrutura a destinação final em dois itens </w:t>
      </w: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mutuamente excludentes e sucessivos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— não simultâneos. O Item 3 só começa quando o Item 2 termina. A vedação é expressa: "fica expressamente vedada a cobrança do Item 2 do objeto, passando a ser faturado exclusivamente o Item 3" (TR 5.1.6.3).</w:t>
      </w:r>
    </w:p>
    <w:tbl>
      <w:tblPr>
        <w:tblW w:type="dxa" w:w="9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2800"/>
        <w:gridCol w:w="5000"/>
        <w:gridCol w:w="2000"/>
      </w:tblGrid>
      <w:tr>
        <w:trPr>
          <w:tblHeader/>
        </w:trPr>
        <w:tc>
          <w:tcPr>
            <w:tcW w:type="dxa" w:w="2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1F3864" w:color="auto" w:val="clear"/>
          </w:tcPr>
          <w:p>
            <w:pPr>
              <w:spacing w:after="40" w:before="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color w:val="FFFFFF"/>
                <w:sz w:val="20"/>
                <w:szCs w:val="20"/>
              </w:rPr>
              <w:t xml:space="preserve">Elemento</w:t>
            </w:r>
          </w:p>
        </w:tc>
        <w:tc>
          <w:tcPr>
            <w:tcW w:type="dxa" w:w="50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1F3864" w:color="auto" w:val="clear"/>
          </w:tcPr>
          <w:p>
            <w:pPr>
              <w:spacing w:after="40" w:before="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color w:val="FFFFFF"/>
                <w:sz w:val="20"/>
                <w:szCs w:val="20"/>
              </w:rPr>
              <w:t xml:space="preserve">Previsão editalícia</w:t>
            </w:r>
          </w:p>
        </w:tc>
        <w:tc>
          <w:tcPr>
            <w:tcW w:type="dxa" w:w="20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1F3864" w:color="auto" w:val="clear"/>
          </w:tcPr>
          <w:p>
            <w:pPr>
              <w:spacing w:after="40" w:before="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color w:val="FFFFFF"/>
                <w:sz w:val="20"/>
                <w:szCs w:val="20"/>
              </w:rPr>
              <w:t xml:space="preserve">Fonte</w:t>
            </w:r>
          </w:p>
        </w:tc>
      </w:tr>
      <w:tr>
        <w:tc>
          <w:tcPr>
            <w:tcW w:type="dxa" w:w="2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pPr>
              <w:spacing w:after="40" w:before="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Item 2 — Destinação no aterro municipal</w:t>
            </w:r>
          </w:p>
        </w:tc>
        <w:tc>
          <w:tcPr>
            <w:tcW w:type="dxa" w:w="50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pPr>
              <w:spacing w:after="40" w:before="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Disposição na Vala 05, licenciada pela LO CETESB n.º 4011055</w:t>
            </w:r>
          </w:p>
        </w:tc>
        <w:tc>
          <w:tcPr>
            <w:tcW w:type="dxa" w:w="20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pPr>
              <w:spacing w:after="40" w:before="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TR 1.1, Lote 1</w:t>
            </w:r>
          </w:p>
        </w:tc>
      </w:tr>
      <w:tr>
        <w:tc>
          <w:tcPr>
            <w:tcW w:type="dxa" w:w="2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pPr>
              <w:spacing w:after="40" w:before="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Item 3 — Destinação externa</w:t>
            </w:r>
          </w:p>
        </w:tc>
        <w:tc>
          <w:tcPr>
            <w:tcW w:type="dxa" w:w="50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pPr>
              <w:spacing w:after="40" w:before="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Disposição em aterro licenciado em outro município, sob responsabilidade da contratada</w:t>
            </w:r>
          </w:p>
        </w:tc>
        <w:tc>
          <w:tcPr>
            <w:tcW w:type="dxa" w:w="20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pPr>
              <w:spacing w:after="40" w:before="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TR 1.1, Lote 1</w:t>
            </w:r>
          </w:p>
        </w:tc>
      </w:tr>
      <w:tr>
        <w:tc>
          <w:tcPr>
            <w:tcW w:type="dxa" w:w="2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pPr>
              <w:spacing w:after="40" w:before="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Quantitativo estimado</w:t>
            </w:r>
          </w:p>
        </w:tc>
        <w:tc>
          <w:tcPr>
            <w:tcW w:type="dxa" w:w="50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pPr>
              <w:spacing w:after="40" w:before="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12.480 t/ano para cada item (mesma tonelagem, nunca simultânea)</w:t>
            </w:r>
          </w:p>
        </w:tc>
        <w:tc>
          <w:tcPr>
            <w:tcW w:type="dxa" w:w="20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pPr>
              <w:spacing w:after="40" w:before="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TR 1.1; ETP item 7</w:t>
            </w:r>
          </w:p>
        </w:tc>
      </w:tr>
      <w:tr>
        <w:tc>
          <w:tcPr>
            <w:tcW w:type="dxa" w:w="2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pPr>
              <w:spacing w:after="40" w:before="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Preço unitário referencial</w:t>
            </w:r>
          </w:p>
        </w:tc>
        <w:tc>
          <w:tcPr>
            <w:tcW w:type="dxa" w:w="50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pPr>
              <w:spacing w:after="40" w:before="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Item 2: R$ 168,77/t · Item 3: R$ 249,28/t</w:t>
            </w:r>
          </w:p>
        </w:tc>
        <w:tc>
          <w:tcPr>
            <w:tcW w:type="dxa" w:w="20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pPr>
              <w:spacing w:after="40" w:before="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Quadro Comparativo de Preços</w:t>
            </w:r>
          </w:p>
        </w:tc>
      </w:tr>
      <w:tr>
        <w:tc>
          <w:tcPr>
            <w:tcW w:type="dxa" w:w="2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pPr>
              <w:spacing w:after="40" w:before="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Gatilho da transição</w:t>
            </w:r>
          </w:p>
        </w:tc>
        <w:tc>
          <w:tcPr>
            <w:tcW w:type="dxa" w:w="50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pPr>
              <w:spacing w:after="40" w:before="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"É de responsabilidade dos técnicos da CONTRATANTE a validação contínua da utilização da vala, monitorando a capacidade de carga e estabilidade dos taludes"</w:t>
            </w:r>
          </w:p>
        </w:tc>
        <w:tc>
          <w:tcPr>
            <w:tcW w:type="dxa" w:w="20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pPr>
              <w:spacing w:after="40" w:before="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TR 5.5.18</w:t>
            </w:r>
          </w:p>
        </w:tc>
      </w:tr>
      <w:tr>
        <w:tc>
          <w:tcPr>
            <w:tcW w:type="dxa" w:w="2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pPr>
              <w:spacing w:after="40" w:before="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Vedação de cumulatividade</w:t>
            </w:r>
          </w:p>
        </w:tc>
        <w:tc>
          <w:tcPr>
            <w:tcW w:type="dxa" w:w="50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pPr>
              <w:spacing w:after="40" w:before="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"A partir da constatação do encerramento do Aterro Municipal, fica expressamente vedada a cobrança do Item 2"</w:t>
            </w:r>
          </w:p>
        </w:tc>
        <w:tc>
          <w:tcPr>
            <w:tcW w:type="dxa" w:w="20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pPr>
              <w:spacing w:after="40" w:before="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TR 5.1.6.3</w:t>
            </w:r>
          </w:p>
        </w:tc>
      </w:tr>
      <w:tr>
        <w:tc>
          <w:tcPr>
            <w:tcW w:type="dxa" w:w="2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pPr>
              <w:spacing w:after="40" w:before="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Data estimada de esgotamento</w:t>
            </w:r>
          </w:p>
        </w:tc>
        <w:tc>
          <w:tcPr>
            <w:tcW w:type="dxa" w:w="50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pPr>
              <w:spacing w:after="40" w:before="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"Provavelmente no primeiro semestre de 2027"</w:t>
            </w:r>
          </w:p>
        </w:tc>
        <w:tc>
          <w:tcPr>
            <w:tcW w:type="dxa" w:w="20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pPr>
              <w:spacing w:after="40" w:before="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TR 2.4, 5.1.6.2, 5.5.17</w:t>
            </w:r>
          </w:p>
        </w:tc>
      </w:tr>
    </w:tbl>
    <w:p>
      <w:pPr>
        <w:spacing w:after="120" w:before="120" w:line="276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Ponto central: 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a decisão de quando encerrar o Item 2 e iniciar o Item 3 é </w:t>
      </w: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unilateral dos técnicos do Município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— sem parâmetro técnico objetivo, sem procedimento formal, sem laudo, sem prazo de aviso prévio e sem participação da contratada (TR 5.5.18). O termo de assunção cria o fundamento técnico da contratada para provocar a transição, em vez de ficar à mercê de uma constatação unilateral.</w:t>
      </w:r>
    </w:p>
    <w:p>
      <w:pPr>
        <w:pStyle w:val="Heading3"/>
        <w:spacing w:after="120" w:before="200"/>
      </w:pPr>
      <w:r>
        <w:rPr>
          <w:rFonts w:ascii="Times New Roman" w:cs="Times New Roman" w:eastAsia="Times New Roman" w:hAnsi="Times New Roman"/>
          <w:b/>
          <w:bCs/>
          <w:sz w:val="26"/>
          <w:szCs w:val="26"/>
        </w:rPr>
        <w:t xml:space="preserve">Teto diário da LO vs. tonelagem do edital</w:t>
      </w:r>
    </w:p>
    <w:tbl>
      <w:tblPr>
        <w:tblW w:type="dxa" w:w="9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3200"/>
        <w:gridCol w:w="3600"/>
        <w:gridCol w:w="3000"/>
      </w:tblGrid>
      <w:tr>
        <w:trPr>
          <w:tblHeader/>
        </w:trPr>
        <w:tc>
          <w:tcPr>
            <w:tcW w:type="dxa" w:w="3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1F3864" w:color="auto" w:val="clear"/>
          </w:tcPr>
          <w:p>
            <w:pPr>
              <w:spacing w:after="40" w:before="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color w:val="FFFFFF"/>
                <w:sz w:val="20"/>
                <w:szCs w:val="20"/>
              </w:rPr>
              <w:t xml:space="preserve">Parâmetro</w:t>
            </w:r>
          </w:p>
        </w:tc>
        <w:tc>
          <w:tcPr>
            <w:tcW w:type="dxa" w:w="36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1F3864" w:color="auto" w:val="clear"/>
          </w:tcPr>
          <w:p>
            <w:pPr>
              <w:spacing w:after="40" w:before="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color w:val="FFFFFF"/>
                <w:sz w:val="20"/>
                <w:szCs w:val="20"/>
              </w:rPr>
              <w:t xml:space="preserve">Valor</w:t>
            </w:r>
          </w:p>
        </w:tc>
        <w:tc>
          <w:tcPr>
            <w:tcW w:type="dxa" w:w="30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1F3864" w:color="auto" w:val="clear"/>
          </w:tcPr>
          <w:p>
            <w:pPr>
              <w:spacing w:after="40" w:before="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color w:val="FFFFFF"/>
                <w:sz w:val="20"/>
                <w:szCs w:val="20"/>
              </w:rPr>
              <w:t xml:space="preserve">Fonte</w:t>
            </w:r>
          </w:p>
        </w:tc>
      </w:tr>
      <w:tr>
        <w:tc>
          <w:tcPr>
            <w:tcW w:type="dxa" w:w="3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pPr>
              <w:spacing w:after="40" w:before="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Teto diário licenciado</w:t>
            </w:r>
          </w:p>
        </w:tc>
        <w:tc>
          <w:tcPr>
            <w:tcW w:type="dxa" w:w="36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pPr>
              <w:spacing w:after="40" w:before="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60 t/dia</w:t>
            </w:r>
          </w:p>
        </w:tc>
        <w:tc>
          <w:tcPr>
            <w:tcW w:type="dxa" w:w="30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pPr>
              <w:spacing w:after="40" w:before="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Observação 01 da LO CETESB n.º 4011055</w:t>
            </w:r>
          </w:p>
        </w:tc>
      </w:tr>
      <w:tr>
        <w:tc>
          <w:tcPr>
            <w:tcW w:type="dxa" w:w="3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pPr>
              <w:spacing w:after="40" w:before="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Média diária estimada (dias úteis)</w:t>
            </w:r>
          </w:p>
        </w:tc>
        <w:tc>
          <w:tcPr>
            <w:tcW w:type="dxa" w:w="36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pPr>
              <w:spacing w:after="40" w:before="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~40 t/dia (12.480 t/ano ÷ 312 dias úteis)</w:t>
            </w:r>
          </w:p>
        </w:tc>
        <w:tc>
          <w:tcPr>
            <w:tcW w:type="dxa" w:w="30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pPr>
              <w:spacing w:after="40" w:before="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TR 1.1; cálculo</w:t>
            </w:r>
          </w:p>
        </w:tc>
      </w:tr>
      <w:tr>
        <w:tc>
          <w:tcPr>
            <w:tcW w:type="dxa" w:w="3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pPr>
              <w:spacing w:after="40" w:before="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Premissa da tabela de transbordo</w:t>
            </w:r>
          </w:p>
        </w:tc>
        <w:tc>
          <w:tcPr>
            <w:tcW w:type="dxa" w:w="36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pPr>
              <w:spacing w:after="40" w:before="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45 t/dia (1,5 viagens × 30 t)</w:t>
            </w:r>
          </w:p>
        </w:tc>
        <w:tc>
          <w:tcPr>
            <w:tcW w:type="dxa" w:w="30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pPr>
              <w:spacing w:after="40" w:before="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Tabela de Quilometragem</w:t>
            </w:r>
          </w:p>
        </w:tc>
      </w:tr>
      <w:tr>
        <w:tc>
          <w:tcPr>
            <w:tcW w:type="dxa" w:w="3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pPr>
              <w:spacing w:after="40" w:before="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Tonelagem pré-Decreto 3.367/2026</w:t>
            </w:r>
          </w:p>
        </w:tc>
        <w:tc>
          <w:tcPr>
            <w:tcW w:type="dxa" w:w="36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pPr>
              <w:spacing w:after="40" w:before="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~50 t/dia (1.300 t/mês ÷ 26 dias)</w:t>
            </w:r>
          </w:p>
        </w:tc>
        <w:tc>
          <w:tcPr>
            <w:tcW w:type="dxa" w:w="30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pPr>
              <w:spacing w:after="40" w:before="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ETP item 7</w:t>
            </w:r>
          </w:p>
        </w:tc>
      </w:tr>
    </w:tbl>
    <w:p>
      <w:pPr>
        <w:spacing w:after="12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Na média, a operação fica abaixo do teto de 60 t/dia. Nos </w:t>
      </w: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picos de segunda-feira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, porém, a concentração de coleta (região central diária + regiões alternadas + resíduo represado de domingo) pode se aproximar ou ultrapassar o limite licenciado. O edital </w:t>
      </w: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não prevê regra de escalonamento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da descarga para administrar esses picos. A contratada fica entre a penalidade contratual por atraso (se não descarregar) e a operação em desacordo com a licença ambiental (se descarregar acima do teto — art. 60 da Lei n.º 9.605/1998).</w:t>
      </w:r>
    </w:p>
    <w:p>
      <w:pPr>
        <w:spacing w:after="120" w:before="60" w:line="276"/>
        <w:jc w:val="both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Este é um risco operacional adicional do Item 2 que o termo de assunção pode documentar — reforçando a conveniência da transição ao Item 3.</w:t>
      </w:r>
    </w:p>
    <w:p>
      <w:pPr>
        <w:pBdr>
          <w:bottom w:val="single" w:color="CCCCCC" w:sz="1" w:space="4"/>
        </w:pBdr>
        <w:spacing w:after="80" w:before="80"/>
      </w:pPr>
    </w:p>
    <w:p>
      <w:pPr>
        <w:pStyle w:val="Heading2"/>
        <w:spacing w:after="120" w:before="200"/>
      </w:pPr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4. Sequência pós-adjudicação</w:t>
      </w:r>
    </w:p>
    <w:p>
      <w:pPr>
        <w:spacing w:after="12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Pressupõe vitória no certame.</w:t>
      </w:r>
    </w:p>
    <w:p>
      <w:pPr>
        <w:pStyle w:val="Heading3"/>
        <w:spacing w:after="120" w:before="200"/>
      </w:pPr>
      <w:r>
        <w:rPr>
          <w:rFonts w:ascii="Times New Roman" w:cs="Times New Roman" w:eastAsia="Times New Roman" w:hAnsi="Times New Roman"/>
          <w:b/>
          <w:bCs/>
          <w:sz w:val="26"/>
          <w:szCs w:val="26"/>
        </w:rPr>
        <w:t xml:space="preserve">Etapa 1 — Solicitação do termo de assunção</w:t>
      </w:r>
    </w:p>
    <w:p>
      <w:pPr>
        <w:spacing w:after="120" w:before="0" w:line="276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Quando: 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imediatamente após a assinatura do contrato.</w:t>
      </w:r>
    </w:p>
    <w:p>
      <w:pPr>
        <w:spacing w:after="120" w:before="0" w:line="276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Como: 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ofício formal ao CONTRATANTE solicitando a lavratura do termo de assunção operacional, nos termos do compromisso da resposta à 6.ª impugnação.</w:t>
      </w:r>
    </w:p>
    <w:p>
      <w:pPr>
        <w:spacing w:after="120" w:before="0" w:line="276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Fundamento: 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art. 5.º da Lei n.º 14.133/2021 (boa-fé, vinculação ao edital); art. 164, parágrafo único (vinculação da resposta); art. 92, XIV (responsabilidades das partes).</w:t>
      </w:r>
    </w:p>
    <w:p>
      <w:pPr>
        <w:spacing w:after="120" w:before="0" w:line="276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Conteúdo do ofício:</w:t>
      </w:r>
    </w:p>
    <w:p>
      <w:pPr>
        <w:spacing w:after="60"/>
        <w:ind w:left="360"/>
      </w:pPr>
      <w:r>
        <w:rPr>
          <w:rFonts w:ascii="Times New Roman" w:cs="Times New Roman" w:eastAsia="Times New Roman" w:hAnsi="Times New Roman"/>
          <w:sz w:val="20"/>
          <w:szCs w:val="20"/>
        </w:rPr>
        <w:t xml:space="preserve">•  </w:t>
      </w:r>
      <w:r>
        <w:rPr>
          <w:rFonts w:ascii="Times New Roman" w:cs="Times New Roman" w:eastAsia="Times New Roman" w:hAnsi="Times New Roman"/>
          <w:sz w:val="20"/>
          <w:szCs w:val="20"/>
        </w:rPr>
        <w:t xml:space="preserve">Referência à resposta à 6.ª impugnação;</w:t>
      </w:r>
    </w:p>
    <w:p>
      <w:pPr>
        <w:spacing w:after="60"/>
        <w:ind w:left="360"/>
      </w:pPr>
      <w:r>
        <w:rPr>
          <w:rFonts w:ascii="Times New Roman" w:cs="Times New Roman" w:eastAsia="Times New Roman" w:hAnsi="Times New Roman"/>
          <w:sz w:val="20"/>
          <w:szCs w:val="20"/>
        </w:rPr>
        <w:t xml:space="preserve">•  </w:t>
      </w:r>
      <w:r>
        <w:rPr>
          <w:rFonts w:ascii="Times New Roman" w:cs="Times New Roman" w:eastAsia="Times New Roman" w:hAnsi="Times New Roman"/>
          <w:sz w:val="20"/>
          <w:szCs w:val="20"/>
        </w:rPr>
        <w:t xml:space="preserve">Rol de itens a registrar: (a) levantamento planialtimétrico da Vala 05; (b) estado da impermeabilização de base (manta PEAD); (c) estado dos sistemas de drenagem de chorume; (d) estado dos sistemas de drenagem de gases; (e) capacidade volumétrica remanescente; (f) condicionantes ativas da LO; (g) registro fotográfico georreferenciado;</w:t>
      </w:r>
    </w:p>
    <w:p>
      <w:pPr>
        <w:spacing w:after="60"/>
        <w:ind w:left="360"/>
      </w:pPr>
      <w:r>
        <w:rPr>
          <w:rFonts w:ascii="Times New Roman" w:cs="Times New Roman" w:eastAsia="Times New Roman" w:hAnsi="Times New Roman"/>
          <w:sz w:val="20"/>
          <w:szCs w:val="20"/>
        </w:rPr>
        <w:t xml:space="preserve">•  </w:t>
      </w:r>
      <w:r>
        <w:rPr>
          <w:rFonts w:ascii="Times New Roman" w:cs="Times New Roman" w:eastAsia="Times New Roman" w:hAnsi="Times New Roman"/>
          <w:sz w:val="20"/>
          <w:szCs w:val="20"/>
        </w:rPr>
        <w:t xml:space="preserve">Proposta de vistoria conjunta (CONTRATANTE + CONTRATADA + engenheiro RT).</w:t>
      </w:r>
    </w:p>
    <w:p>
      <w:pPr>
        <w:spacing w:after="12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Se o Município protelar, a contratada reitera o ofício e, se necessário, realiza o levantamento por conta própria (laudo com ART/RRT), notificando o CONTRATANTE para acompanhar — preserva a boa-fé e documenta o estado independentemente da adesão do fiscal.</w:t>
      </w:r>
    </w:p>
    <w:p>
      <w:pPr>
        <w:pStyle w:val="Heading3"/>
        <w:spacing w:after="120" w:before="200"/>
      </w:pPr>
      <w:r>
        <w:rPr>
          <w:rFonts w:ascii="Times New Roman" w:cs="Times New Roman" w:eastAsia="Times New Roman" w:hAnsi="Times New Roman"/>
          <w:b/>
          <w:bCs/>
          <w:sz w:val="26"/>
          <w:szCs w:val="26"/>
        </w:rPr>
        <w:t xml:space="preserve">Etapa 2 — Vistoria e lavratura do termo</w:t>
      </w:r>
    </w:p>
    <w:p>
      <w:pPr>
        <w:spacing w:after="120" w:before="0" w:line="276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Quando: 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primeiros 15–30 dias de contrato (antes do início efetivo da operação da vala, se possível).</w:t>
      </w:r>
    </w:p>
    <w:p>
      <w:pPr>
        <w:spacing w:after="120" w:before="0" w:line="276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Execução: 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equipe de engenharia da contratada, preferencialmente acompanhada do fiscal do contrato, realiza vistoria técnica na Vala 05:</w:t>
      </w:r>
    </w:p>
    <w:tbl>
      <w:tblPr>
        <w:tblW w:type="dxa" w:w="9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3200"/>
        <w:gridCol w:w="6600"/>
      </w:tblGrid>
      <w:tr>
        <w:trPr>
          <w:tblHeader/>
        </w:trPr>
        <w:tc>
          <w:tcPr>
            <w:tcW w:type="dxa" w:w="3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1F3864" w:color="auto" w:val="clear"/>
          </w:tcPr>
          <w:p>
            <w:pPr>
              <w:spacing w:after="40" w:before="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color w:val="FFFFFF"/>
                <w:sz w:val="20"/>
                <w:szCs w:val="20"/>
              </w:rPr>
              <w:t xml:space="preserve">Item</w:t>
            </w:r>
          </w:p>
        </w:tc>
        <w:tc>
          <w:tcPr>
            <w:tcW w:type="dxa" w:w="66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1F3864" w:color="auto" w:val="clear"/>
          </w:tcPr>
          <w:p>
            <w:pPr>
              <w:spacing w:after="40" w:before="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color w:val="FFFFFF"/>
                <w:sz w:val="20"/>
                <w:szCs w:val="20"/>
              </w:rPr>
              <w:t xml:space="preserve">O que registrar</w:t>
            </w:r>
          </w:p>
        </w:tc>
      </w:tr>
      <w:tr>
        <w:tc>
          <w:tcPr>
            <w:tcW w:type="dxa" w:w="3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pPr>
              <w:spacing w:after="40" w:before="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Impermeabilização (PEAD)</w:t>
            </w:r>
          </w:p>
        </w:tc>
        <w:tc>
          <w:tcPr>
            <w:tcW w:type="dxa" w:w="66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pPr>
              <w:spacing w:after="40" w:before="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Presença/ausência em toda a vala; integridade; trechos sem cobertura</w:t>
            </w:r>
          </w:p>
        </w:tc>
      </w:tr>
      <w:tr>
        <w:tc>
          <w:tcPr>
            <w:tcW w:type="dxa" w:w="3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pPr>
              <w:spacing w:after="40" w:before="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Drenagem de chorume</w:t>
            </w:r>
          </w:p>
        </w:tc>
        <w:tc>
          <w:tcPr>
            <w:tcW w:type="dxa" w:w="66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pPr>
              <w:spacing w:after="40" w:before="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Existência; dimensionamento; estado; funcionamento</w:t>
            </w:r>
          </w:p>
        </w:tc>
      </w:tr>
      <w:tr>
        <w:tc>
          <w:tcPr>
            <w:tcW w:type="dxa" w:w="3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pPr>
              <w:spacing w:after="40" w:before="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Drenagem de gases</w:t>
            </w:r>
          </w:p>
        </w:tc>
        <w:tc>
          <w:tcPr>
            <w:tcW w:type="dxa" w:w="66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pPr>
              <w:spacing w:after="40" w:before="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Existência de drenos; espaçamento; funcionamento</w:t>
            </w:r>
          </w:p>
        </w:tc>
      </w:tr>
      <w:tr>
        <w:tc>
          <w:tcPr>
            <w:tcW w:type="dxa" w:w="3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pPr>
              <w:spacing w:after="40" w:before="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Topografia</w:t>
            </w:r>
          </w:p>
        </w:tc>
        <w:tc>
          <w:tcPr>
            <w:tcW w:type="dxa" w:w="66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pPr>
              <w:spacing w:after="40" w:before="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Levantamento planialtimétrico; capacidade remanescente</w:t>
            </w:r>
          </w:p>
        </w:tc>
      </w:tr>
      <w:tr>
        <w:tc>
          <w:tcPr>
            <w:tcW w:type="dxa" w:w="3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pPr>
              <w:spacing w:after="40" w:before="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Cobertura diária</w:t>
            </w:r>
          </w:p>
        </w:tc>
        <w:tc>
          <w:tcPr>
            <w:tcW w:type="dxa" w:w="66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pPr>
              <w:spacing w:after="40" w:before="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Camada sobre resíduos expostos (ET-01)</w:t>
            </w:r>
          </w:p>
        </w:tc>
      </w:tr>
      <w:tr>
        <w:tc>
          <w:tcPr>
            <w:tcW w:type="dxa" w:w="3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pPr>
              <w:spacing w:after="40" w:before="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Drenagem pluvial</w:t>
            </w:r>
          </w:p>
        </w:tc>
        <w:tc>
          <w:tcPr>
            <w:tcW w:type="dxa" w:w="66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pPr>
              <w:spacing w:after="40" w:before="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Estado do sistema (ET-04)</w:t>
            </w:r>
          </w:p>
        </w:tc>
      </w:tr>
      <w:tr>
        <w:tc>
          <w:tcPr>
            <w:tcW w:type="dxa" w:w="3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pPr>
              <w:spacing w:after="40" w:before="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Passivos aparentes</w:t>
            </w:r>
          </w:p>
        </w:tc>
        <w:tc>
          <w:tcPr>
            <w:tcW w:type="dxa" w:w="66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pPr>
              <w:spacing w:after="40" w:before="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Chorume aflorante, erosão, vetores, situação geral</w:t>
            </w:r>
          </w:p>
        </w:tc>
      </w:tr>
    </w:tbl>
    <w:p>
      <w:pPr>
        <w:spacing w:after="120" w:before="120" w:line="276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Output: 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laudo técnico com ART/RRT, formalizado como Termo de Assunção Operacional, entregue ao CONTRATANTE por protocolo.</w:t>
      </w:r>
    </w:p>
    <w:p>
      <w:pPr>
        <w:pStyle w:val="Heading3"/>
        <w:spacing w:after="120" w:before="200"/>
      </w:pPr>
      <w:r>
        <w:rPr>
          <w:rFonts w:ascii="Times New Roman" w:cs="Times New Roman" w:eastAsia="Times New Roman" w:hAnsi="Times New Roman"/>
          <w:b/>
          <w:bCs/>
          <w:sz w:val="26"/>
          <w:szCs w:val="26"/>
        </w:rPr>
        <w:t xml:space="preserve">Etapa 3 — Constatação do não atendimento da ET-08</w:t>
      </w:r>
    </w:p>
    <w:p>
      <w:pPr>
        <w:spacing w:after="12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A ET-08 exige implantação "em </w:t>
      </w: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toda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a Vala nº 05" de três sistemas: drenagem de chorume, impermeabilização com manta PEAD e drenagem de gases. A implantação retroativa desses sistemas em trechos já aterrados é tecnicamente inviável. A vala não atende integralmente a ET-08.</w:t>
      </w:r>
    </w:p>
    <w:p>
      <w:pPr>
        <w:spacing w:after="12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O laudo do termo de assunção documentará essa não conformidade. O registro cumpre duas funções:</w:t>
      </w:r>
    </w:p>
    <w:p>
      <w:pPr>
        <w:spacing w:after="60"/>
        <w:ind w:left="360"/>
      </w:pPr>
      <w:r>
        <w:rPr>
          <w:rFonts w:ascii="Times New Roman" w:cs="Times New Roman" w:eastAsia="Times New Roman" w:hAnsi="Times New Roman"/>
          <w:b/>
          <w:bCs/>
          <w:sz w:val="20"/>
          <w:szCs w:val="20"/>
        </w:rPr>
        <w:t xml:space="preserve">1. </w:t>
      </w:r>
      <w:r>
        <w:rPr>
          <w:rFonts w:ascii="Times New Roman" w:cs="Times New Roman" w:eastAsia="Times New Roman" w:hAnsi="Times New Roman"/>
          <w:b/>
          <w:bCs/>
          <w:sz w:val="20"/>
          <w:szCs w:val="20"/>
        </w:rPr>
        <w:t xml:space="preserve">Segregação de responsabilidade: </w:t>
      </w:r>
      <w:r>
        <w:rPr>
          <w:rFonts w:ascii="Times New Roman" w:cs="Times New Roman" w:eastAsia="Times New Roman" w:hAnsi="Times New Roman"/>
          <w:sz w:val="20"/>
          <w:szCs w:val="20"/>
        </w:rPr>
        <w:t xml:space="preserve">o não atendimento da ET-08 é anterior à assunção — documentado no baseline, é passivo do titular do ativo (Município), conforme o compromisso da 6.ª impugnação.</w:t>
      </w:r>
    </w:p>
    <w:p>
      <w:pPr>
        <w:spacing w:after="60"/>
        <w:ind w:left="360"/>
      </w:pPr>
      <w:r>
        <w:rPr>
          <w:rFonts w:ascii="Times New Roman" w:cs="Times New Roman" w:eastAsia="Times New Roman" w:hAnsi="Times New Roman"/>
          <w:b/>
          <w:bCs/>
          <w:sz w:val="20"/>
          <w:szCs w:val="20"/>
        </w:rPr>
        <w:t xml:space="preserve">2. </w:t>
      </w:r>
      <w:r>
        <w:rPr>
          <w:rFonts w:ascii="Times New Roman" w:cs="Times New Roman" w:eastAsia="Times New Roman" w:hAnsi="Times New Roman"/>
          <w:b/>
          <w:bCs/>
          <w:sz w:val="20"/>
          <w:szCs w:val="20"/>
        </w:rPr>
        <w:t xml:space="preserve">Inviabilidade da operação pelo Item 2: </w:t>
      </w:r>
      <w:r>
        <w:rPr>
          <w:rFonts w:ascii="Times New Roman" w:cs="Times New Roman" w:eastAsia="Times New Roman" w:hAnsi="Times New Roman"/>
          <w:sz w:val="20"/>
          <w:szCs w:val="20"/>
        </w:rPr>
        <w:t xml:space="preserve">se a vala não atende as exigências técnicas da LO, a disposição de resíduos ali não pode prosseguir sem regularização pelo titular da licença. A contratada não pode operar em desacordo com as condicionantes da licença ambiental.</w:t>
      </w:r>
    </w:p>
    <w:p>
      <w:pPr>
        <w:pStyle w:val="Heading3"/>
        <w:spacing w:after="120" w:before="200"/>
      </w:pPr>
      <w:r>
        <w:rPr>
          <w:rFonts w:ascii="Times New Roman" w:cs="Times New Roman" w:eastAsia="Times New Roman" w:hAnsi="Times New Roman"/>
          <w:b/>
          <w:bCs/>
          <w:sz w:val="26"/>
          <w:szCs w:val="26"/>
        </w:rPr>
        <w:t xml:space="preserve">Etapa 4 — Comunicação ao CONTRATANTE e transição ao Item 3</w:t>
      </w:r>
    </w:p>
    <w:p>
      <w:pPr>
        <w:spacing w:after="120" w:before="0" w:line="276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Quando: 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após a conclusão do laudo.</w:t>
      </w:r>
    </w:p>
    <w:p>
      <w:pPr>
        <w:spacing w:after="12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Ofício ao CONTRATANTE comunicando os achados do termo de assunção e a consequência contratual. Tom cooperativo — a contratada está compartilhando o resultado do levantamento e solicitando a transição prevista no contrato.</w:t>
      </w:r>
    </w:p>
    <w:p>
      <w:pPr>
        <w:spacing w:after="120" w:before="0" w:line="276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O ofício:</w:t>
      </w:r>
    </w:p>
    <w:p>
      <w:pPr>
        <w:spacing w:after="60"/>
        <w:ind w:left="360"/>
      </w:pPr>
      <w:r>
        <w:rPr>
          <w:rFonts w:ascii="Times New Roman" w:cs="Times New Roman" w:eastAsia="Times New Roman" w:hAnsi="Times New Roman"/>
          <w:b/>
          <w:bCs/>
          <w:sz w:val="20"/>
          <w:szCs w:val="20"/>
        </w:rPr>
        <w:t xml:space="preserve">1. </w:t>
      </w:r>
      <w:r>
        <w:rPr>
          <w:rFonts w:ascii="Times New Roman" w:cs="Times New Roman" w:eastAsia="Times New Roman" w:hAnsi="Times New Roman"/>
          <w:sz w:val="20"/>
          <w:szCs w:val="20"/>
        </w:rPr>
        <w:t xml:space="preserve">Apresenta os achados do termo de assunção quanto à ET-08;</w:t>
      </w:r>
    </w:p>
    <w:p>
      <w:pPr>
        <w:spacing w:after="60"/>
        <w:ind w:left="360"/>
      </w:pPr>
      <w:r>
        <w:rPr>
          <w:rFonts w:ascii="Times New Roman" w:cs="Times New Roman" w:eastAsia="Times New Roman" w:hAnsi="Times New Roman"/>
          <w:b/>
          <w:bCs/>
          <w:sz w:val="20"/>
          <w:szCs w:val="20"/>
        </w:rPr>
        <w:t xml:space="preserve">2. </w:t>
      </w:r>
      <w:r>
        <w:rPr>
          <w:rFonts w:ascii="Times New Roman" w:cs="Times New Roman" w:eastAsia="Times New Roman" w:hAnsi="Times New Roman"/>
          <w:sz w:val="20"/>
          <w:szCs w:val="20"/>
        </w:rPr>
        <w:t xml:space="preserve">Registra que a vala não atende as exigências técnicas da LO, e que operar nessas condições expõe tanto a contratada quanto o Município;</w:t>
      </w:r>
    </w:p>
    <w:p>
      <w:pPr>
        <w:spacing w:after="60"/>
        <w:ind w:left="360"/>
      </w:pPr>
      <w:r>
        <w:rPr>
          <w:rFonts w:ascii="Times New Roman" w:cs="Times New Roman" w:eastAsia="Times New Roman" w:hAnsi="Times New Roman"/>
          <w:b/>
          <w:bCs/>
          <w:sz w:val="20"/>
          <w:szCs w:val="20"/>
        </w:rPr>
        <w:t xml:space="preserve">3. </w:t>
      </w:r>
      <w:r>
        <w:rPr>
          <w:rFonts w:ascii="Times New Roman" w:cs="Times New Roman" w:eastAsia="Times New Roman" w:hAnsi="Times New Roman"/>
          <w:sz w:val="20"/>
          <w:szCs w:val="20"/>
        </w:rPr>
        <w:t xml:space="preserve">Registra que, sendo o Município o titular da LO e do ativo, a regularização de condicionantes preexistentes é de sua competência;</w:t>
      </w:r>
    </w:p>
    <w:p>
      <w:pPr>
        <w:spacing w:after="60"/>
        <w:ind w:left="360"/>
      </w:pPr>
      <w:r>
        <w:rPr>
          <w:rFonts w:ascii="Times New Roman" w:cs="Times New Roman" w:eastAsia="Times New Roman" w:hAnsi="Times New Roman"/>
          <w:b/>
          <w:bCs/>
          <w:sz w:val="20"/>
          <w:szCs w:val="20"/>
        </w:rPr>
        <w:t xml:space="preserve">4. </w:t>
      </w:r>
      <w:r>
        <w:rPr>
          <w:rFonts w:ascii="Times New Roman" w:cs="Times New Roman" w:eastAsia="Times New Roman" w:hAnsi="Times New Roman"/>
          <w:sz w:val="20"/>
          <w:szCs w:val="20"/>
        </w:rPr>
        <w:t xml:space="preserve">Conclui que, não sendo possível a disposição na Vala 05 nas condições atuais, a operação deve transitar para o Item 3 (destinação externa), nos termos do contrato;</w:t>
      </w:r>
    </w:p>
    <w:p>
      <w:pPr>
        <w:spacing w:after="60"/>
        <w:ind w:left="360"/>
      </w:pPr>
      <w:r>
        <w:rPr>
          <w:rFonts w:ascii="Times New Roman" w:cs="Times New Roman" w:eastAsia="Times New Roman" w:hAnsi="Times New Roman"/>
          <w:b/>
          <w:bCs/>
          <w:sz w:val="20"/>
          <w:szCs w:val="20"/>
        </w:rPr>
        <w:t xml:space="preserve">5. </w:t>
      </w:r>
      <w:r>
        <w:rPr>
          <w:rFonts w:ascii="Times New Roman" w:cs="Times New Roman" w:eastAsia="Times New Roman" w:hAnsi="Times New Roman"/>
          <w:sz w:val="20"/>
          <w:szCs w:val="20"/>
        </w:rPr>
        <w:t xml:space="preserve">Solicita orientação formal do CONTRATANTE para a transição.</w:t>
      </w:r>
    </w:p>
    <w:p>
      <w:pPr>
        <w:spacing w:after="120" w:before="120" w:line="276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Desdobramentos possíveis:</w:t>
      </w:r>
    </w:p>
    <w:tbl>
      <w:tblPr>
        <w:tblW w:type="dxa" w:w="9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3200"/>
        <w:gridCol w:w="6600"/>
      </w:tblGrid>
      <w:tr>
        <w:trPr>
          <w:tblHeader/>
        </w:trPr>
        <w:tc>
          <w:tcPr>
            <w:tcW w:type="dxa" w:w="3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1F3864" w:color="auto" w:val="clear"/>
          </w:tcPr>
          <w:p>
            <w:pPr>
              <w:spacing w:after="40" w:before="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color w:val="FFFFFF"/>
                <w:sz w:val="20"/>
                <w:szCs w:val="20"/>
              </w:rPr>
              <w:t xml:space="preserve">Resposta do Município</w:t>
            </w:r>
          </w:p>
        </w:tc>
        <w:tc>
          <w:tcPr>
            <w:tcW w:type="dxa" w:w="66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1F3864" w:color="auto" w:val="clear"/>
          </w:tcPr>
          <w:p>
            <w:pPr>
              <w:spacing w:after="40" w:before="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color w:val="FFFFFF"/>
                <w:sz w:val="20"/>
                <w:szCs w:val="20"/>
              </w:rPr>
              <w:t xml:space="preserve">Encaminhamento</w:t>
            </w:r>
          </w:p>
        </w:tc>
      </w:tr>
      <w:tr>
        <w:tc>
          <w:tcPr>
            <w:tcW w:type="dxa" w:w="3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pPr>
              <w:spacing w:after="40" w:before="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Aceita a transição para o Item 3</w:t>
            </w:r>
          </w:p>
        </w:tc>
        <w:tc>
          <w:tcPr>
            <w:tcW w:type="dxa" w:w="66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pPr>
              <w:spacing w:after="40" w:before="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Transição documentada por decisão do CONTRATANTE — cenário-alvo</w:t>
            </w:r>
          </w:p>
        </w:tc>
      </w:tr>
      <w:tr>
        <w:tc>
          <w:tcPr>
            <w:tcW w:type="dxa" w:w="3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pPr>
              <w:spacing w:after="40" w:before="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Providencia a regularização da ET-08</w:t>
            </w:r>
          </w:p>
        </w:tc>
        <w:tc>
          <w:tcPr>
            <w:tcW w:type="dxa" w:w="66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pPr>
              <w:spacing w:after="40" w:before="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A contratada colabora operacionalmente dentro do que o contrato prevê e remunera; Item 2 retomado após regularização</w:t>
            </w:r>
          </w:p>
        </w:tc>
      </w:tr>
      <w:tr>
        <w:tc>
          <w:tcPr>
            <w:tcW w:type="dxa" w:w="3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pPr>
              <w:spacing w:after="40" w:before="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Orienta a operação normal sem regularização</w:t>
            </w:r>
          </w:p>
        </w:tc>
        <w:tc>
          <w:tcPr>
            <w:tcW w:type="dxa" w:w="66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pPr>
              <w:spacing w:after="40" w:before="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A contratada registra o risco, opera conforme a orientação formal do CONTRATANTE, com o baseline nos autos — a responsabilidade está segregada</w:t>
            </w:r>
          </w:p>
        </w:tc>
      </w:tr>
      <w:tr>
        <w:tc>
          <w:tcPr>
            <w:tcW w:type="dxa" w:w="3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pPr>
              <w:spacing w:after="40" w:before="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Silêncio</w:t>
            </w:r>
          </w:p>
        </w:tc>
        <w:tc>
          <w:tcPr>
            <w:tcW w:type="dxa" w:w="66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pPr>
              <w:spacing w:after="40" w:before="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A contratada reitera o ofício; se necessário, provoca o fiscal do contrato (art. 117, Lei 14.133/2021)</w:t>
            </w:r>
          </w:p>
        </w:tc>
      </w:tr>
    </w:tbl>
    <w:p>
      <w:pPr>
        <w:pBdr>
          <w:bottom w:val="single" w:color="CCCCCC" w:sz="1" w:space="4"/>
        </w:pBdr>
        <w:spacing w:after="80" w:before="80"/>
      </w:pPr>
    </w:p>
    <w:p>
      <w:pPr>
        <w:pStyle w:val="Heading2"/>
        <w:spacing w:after="120" w:before="200"/>
      </w:pPr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5. Proteção da contratada</w:t>
      </w:r>
    </w:p>
    <w:tbl>
      <w:tblPr>
        <w:tblW w:type="dxa" w:w="9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000"/>
        <w:gridCol w:w="3600"/>
        <w:gridCol w:w="5200"/>
      </w:tblGrid>
      <w:tr>
        <w:trPr>
          <w:tblHeader/>
        </w:trPr>
        <w:tc>
          <w:tcPr>
            <w:tcW w:type="dxa" w:w="10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1F3864" w:color="auto" w:val="clear"/>
          </w:tcPr>
          <w:p>
            <w:pPr>
              <w:spacing w:after="40" w:before="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color w:val="FFFFFF"/>
                <w:sz w:val="20"/>
                <w:szCs w:val="20"/>
              </w:rPr>
              <w:t xml:space="preserve">Etapa</w:t>
            </w:r>
          </w:p>
        </w:tc>
        <w:tc>
          <w:tcPr>
            <w:tcW w:type="dxa" w:w="36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1F3864" w:color="auto" w:val="clear"/>
          </w:tcPr>
          <w:p>
            <w:pPr>
              <w:spacing w:after="40" w:before="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color w:val="FFFFFF"/>
                <w:sz w:val="20"/>
                <w:szCs w:val="20"/>
              </w:rPr>
              <w:t xml:space="preserve">Documento</w:t>
            </w:r>
          </w:p>
        </w:tc>
        <w:tc>
          <w:tcPr>
            <w:tcW w:type="dxa" w:w="5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1F3864" w:color="auto" w:val="clear"/>
          </w:tcPr>
          <w:p>
            <w:pPr>
              <w:spacing w:after="40" w:before="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color w:val="FFFFFF"/>
                <w:sz w:val="20"/>
                <w:szCs w:val="20"/>
              </w:rPr>
              <w:t xml:space="preserve">Função</w:t>
            </w:r>
          </w:p>
        </w:tc>
      </w:tr>
      <w:tr>
        <w:tc>
          <w:tcPr>
            <w:tcW w:type="dxa" w:w="10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pPr>
              <w:spacing w:after="40" w:before="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1</w:t>
            </w:r>
          </w:p>
        </w:tc>
        <w:tc>
          <w:tcPr>
            <w:tcW w:type="dxa" w:w="36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pPr>
              <w:spacing w:after="40" w:before="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Ofício solicitando termo de assunção</w:t>
            </w:r>
          </w:p>
        </w:tc>
        <w:tc>
          <w:tcPr>
            <w:tcW w:type="dxa" w:w="5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pPr>
              <w:spacing w:after="40" w:before="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Vinculação ao compromisso da Administração; boa-fé</w:t>
            </w:r>
          </w:p>
        </w:tc>
      </w:tr>
      <w:tr>
        <w:tc>
          <w:tcPr>
            <w:tcW w:type="dxa" w:w="10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pPr>
              <w:spacing w:after="40" w:before="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2</w:t>
            </w:r>
          </w:p>
        </w:tc>
        <w:tc>
          <w:tcPr>
            <w:tcW w:type="dxa" w:w="36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pPr>
              <w:spacing w:after="40" w:before="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Laudo técnico com ART/RRT</w:t>
            </w:r>
          </w:p>
        </w:tc>
        <w:tc>
          <w:tcPr>
            <w:tcW w:type="dxa" w:w="5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pPr>
              <w:spacing w:after="40" w:before="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Baseline: condições preexistentes documentadas; responsabilidade propter rem segregada</w:t>
            </w:r>
          </w:p>
        </w:tc>
      </w:tr>
      <w:tr>
        <w:tc>
          <w:tcPr>
            <w:tcW w:type="dxa" w:w="10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pPr>
              <w:spacing w:after="40" w:before="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3</w:t>
            </w:r>
          </w:p>
        </w:tc>
        <w:tc>
          <w:tcPr>
            <w:tcW w:type="dxa" w:w="36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pPr>
              <w:spacing w:after="40" w:before="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Constatação de não conformidade com a ET-08</w:t>
            </w:r>
          </w:p>
        </w:tc>
        <w:tc>
          <w:tcPr>
            <w:tcW w:type="dxa" w:w="5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pPr>
              <w:spacing w:after="40" w:before="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Registro técnico do fato; inviabilidade do Item 2</w:t>
            </w:r>
          </w:p>
        </w:tc>
      </w:tr>
      <w:tr>
        <w:tc>
          <w:tcPr>
            <w:tcW w:type="dxa" w:w="10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pPr>
              <w:spacing w:after="40" w:before="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4</w:t>
            </w:r>
          </w:p>
        </w:tc>
        <w:tc>
          <w:tcPr>
            <w:tcW w:type="dxa" w:w="36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pPr>
              <w:spacing w:after="40" w:before="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Ofício ao CONTRATANTE</w:t>
            </w:r>
          </w:p>
        </w:tc>
        <w:tc>
          <w:tcPr>
            <w:tcW w:type="dxa" w:w="5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pPr>
              <w:spacing w:after="40" w:before="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Comunicação cooperativa; transição ao Item 3 fundamentada</w:t>
            </w:r>
          </w:p>
        </w:tc>
      </w:tr>
    </w:tbl>
    <w:p>
      <w:pPr>
        <w:spacing w:after="120" w:before="12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Em qualquer cenário, a contratada não decide sozinha — solicita orientação do CONTRATANTE, que é o titular da licença e do ativo.</w:t>
      </w:r>
    </w:p>
    <w:p>
      <w:pPr>
        <w:pBdr>
          <w:bottom w:val="single" w:color="CCCCCC" w:sz="1" w:space="4"/>
        </w:pBdr>
        <w:spacing w:after="80" w:before="80"/>
      </w:pPr>
    </w:p>
    <w:p>
      <w:pPr>
        <w:pStyle w:val="Heading2"/>
        <w:spacing w:after="120" w:before="200"/>
      </w:pPr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6. Cronograma estimado</w:t>
      </w:r>
    </w:p>
    <w:tbl>
      <w:tblPr>
        <w:tblW w:type="dxa" w:w="9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5400"/>
        <w:gridCol w:w="4400"/>
      </w:tblGrid>
      <w:tr>
        <w:trPr>
          <w:tblHeader/>
        </w:trPr>
        <w:tc>
          <w:tcPr>
            <w:tcW w:type="dxa" w:w="54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1F3864" w:color="auto" w:val="clear"/>
          </w:tcPr>
          <w:p>
            <w:pPr>
              <w:spacing w:after="40" w:before="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color w:val="FFFFFF"/>
                <w:sz w:val="20"/>
                <w:szCs w:val="20"/>
              </w:rPr>
              <w:t xml:space="preserve">Marco</w:t>
            </w:r>
          </w:p>
        </w:tc>
        <w:tc>
          <w:tcPr>
            <w:tcW w:type="dxa" w:w="44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1F3864" w:color="auto" w:val="clear"/>
          </w:tcPr>
          <w:p>
            <w:pPr>
              <w:spacing w:after="40" w:before="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color w:val="FFFFFF"/>
                <w:sz w:val="20"/>
                <w:szCs w:val="20"/>
              </w:rPr>
              <w:t xml:space="preserve">Prazo estimado</w:t>
            </w:r>
          </w:p>
        </w:tc>
      </w:tr>
      <w:tr>
        <w:tc>
          <w:tcPr>
            <w:tcW w:type="dxa" w:w="54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pPr>
              <w:spacing w:after="40" w:before="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Assinatura do contrato</w:t>
            </w:r>
          </w:p>
        </w:tc>
        <w:tc>
          <w:tcPr>
            <w:tcW w:type="dxa" w:w="44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pPr>
              <w:spacing w:after="40" w:before="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D</w:t>
            </w:r>
          </w:p>
        </w:tc>
      </w:tr>
      <w:tr>
        <w:tc>
          <w:tcPr>
            <w:tcW w:type="dxa" w:w="54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pPr>
              <w:spacing w:after="40" w:before="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Ofício solicitando termo de assunção</w:t>
            </w:r>
          </w:p>
        </w:tc>
        <w:tc>
          <w:tcPr>
            <w:tcW w:type="dxa" w:w="44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pPr>
              <w:spacing w:after="40" w:before="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D+1</w:t>
            </w:r>
          </w:p>
        </w:tc>
      </w:tr>
      <w:tr>
        <w:tc>
          <w:tcPr>
            <w:tcW w:type="dxa" w:w="54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pPr>
              <w:spacing w:after="40" w:before="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Vistoria e lavratura do termo</w:t>
            </w:r>
          </w:p>
        </w:tc>
        <w:tc>
          <w:tcPr>
            <w:tcW w:type="dxa" w:w="44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pPr>
              <w:spacing w:after="40" w:before="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D+15 a D+30</w:t>
            </w:r>
          </w:p>
        </w:tc>
      </w:tr>
      <w:tr>
        <w:tc>
          <w:tcPr>
            <w:tcW w:type="dxa" w:w="54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pPr>
              <w:spacing w:after="40" w:before="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Laudo técnico concluído</w:t>
            </w:r>
          </w:p>
        </w:tc>
        <w:tc>
          <w:tcPr>
            <w:tcW w:type="dxa" w:w="44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pPr>
              <w:spacing w:after="40" w:before="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D+30 a D+45</w:t>
            </w:r>
          </w:p>
        </w:tc>
      </w:tr>
      <w:tr>
        <w:tc>
          <w:tcPr>
            <w:tcW w:type="dxa" w:w="54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pPr>
              <w:spacing w:after="40" w:before="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Comunicação dos achados e pedido de transição ao Item 3</w:t>
            </w:r>
          </w:p>
        </w:tc>
        <w:tc>
          <w:tcPr>
            <w:tcW w:type="dxa" w:w="44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pPr>
              <w:spacing w:after="40" w:before="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D+45 a D+50</w:t>
            </w:r>
          </w:p>
        </w:tc>
      </w:tr>
      <w:tr>
        <w:tc>
          <w:tcPr>
            <w:tcW w:type="dxa" w:w="54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pPr>
              <w:spacing w:after="40" w:before="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Resposta/orientação do CONTRATANTE</w:t>
            </w:r>
          </w:p>
        </w:tc>
        <w:tc>
          <w:tcPr>
            <w:tcW w:type="dxa" w:w="44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pPr>
              <w:spacing w:after="40" w:before="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D+50 a D+65</w:t>
            </w:r>
          </w:p>
        </w:tc>
      </w:tr>
    </w:tbl>
    <w:p>
      <w:pPr>
        <w:pBdr>
          <w:bottom w:val="single" w:color="CCCCCC" w:sz="1" w:space="4"/>
        </w:pBdr>
        <w:spacing w:after="80" w:before="80"/>
      </w:pPr>
    </w:p>
    <w:p>
      <w:pPr>
        <w:pStyle w:val="Heading2"/>
        <w:spacing w:after="120" w:before="200"/>
      </w:pPr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7. Riscos</w:t>
      </w:r>
    </w:p>
    <w:tbl>
      <w:tblPr>
        <w:tblW w:type="dxa" w:w="9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4200"/>
        <w:gridCol w:w="5600"/>
      </w:tblGrid>
      <w:tr>
        <w:trPr>
          <w:tblHeader/>
        </w:trPr>
        <w:tc>
          <w:tcPr>
            <w:tcW w:type="dxa" w:w="4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1F3864" w:color="auto" w:val="clear"/>
          </w:tcPr>
          <w:p>
            <w:pPr>
              <w:spacing w:after="40" w:before="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color w:val="FFFFFF"/>
                <w:sz w:val="20"/>
                <w:szCs w:val="20"/>
              </w:rPr>
              <w:t xml:space="preserve">Risco</w:t>
            </w:r>
          </w:p>
        </w:tc>
        <w:tc>
          <w:tcPr>
            <w:tcW w:type="dxa" w:w="56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1F3864" w:color="auto" w:val="clear"/>
          </w:tcPr>
          <w:p>
            <w:pPr>
              <w:spacing w:after="40" w:before="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color w:val="FFFFFF"/>
                <w:sz w:val="20"/>
                <w:szCs w:val="20"/>
              </w:rPr>
              <w:t xml:space="preserve">Mitigação</w:t>
            </w:r>
          </w:p>
        </w:tc>
      </w:tr>
      <w:tr>
        <w:tc>
          <w:tcPr>
            <w:tcW w:type="dxa" w:w="4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pPr>
              <w:spacing w:after="40" w:before="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Município regulariza a ET-08 antes da assunção</w:t>
            </w:r>
          </w:p>
        </w:tc>
        <w:tc>
          <w:tcPr>
            <w:tcW w:type="dxa" w:w="56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pPr>
              <w:spacing w:after="40" w:before="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A vala passa a operar regularmente — risco operacional mitigado; Item 2 opera normalmente até esgotamento da vida útil (1.º semestre de 2027 pelo TR), depois transita ao Item 3 de qualquer forma</w:t>
            </w:r>
          </w:p>
        </w:tc>
      </w:tr>
      <w:tr>
        <w:tc>
          <w:tcPr>
            <w:tcW w:type="dxa" w:w="4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pPr>
              <w:spacing w:after="40" w:before="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CONTRATANTE alega que a contratada deveria ter identificado a situação antes de contratar</w:t>
            </w:r>
          </w:p>
        </w:tc>
        <w:tc>
          <w:tcPr>
            <w:tcW w:type="dxa" w:w="56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pPr>
              <w:spacing w:after="40" w:before="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A contratada não tinha acesso aos dados técnicos (T9 — dados não divulgados); a visita técnica facultada não substitui levantamento de engenharia; a própria Administração reconheceu a necessidade de baseline na 6.ª impugnação</w:t>
            </w:r>
          </w:p>
        </w:tc>
      </w:tr>
      <w:tr>
        <w:tc>
          <w:tcPr>
            <w:tcW w:type="dxa" w:w="4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pPr>
              <w:spacing w:after="40" w:before="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CONTRATANTE orienta operação normal sem regularizar</w:t>
            </w:r>
          </w:p>
        </w:tc>
        <w:tc>
          <w:tcPr>
            <w:tcW w:type="dxa" w:w="56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pPr>
              <w:spacing w:after="40" w:before="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A contratada opera conforme a orientação formal do CONTRATANTE, com o registro do baseline nos autos — segregação de responsabilidade documentada no termo de assunção</w:t>
            </w:r>
          </w:p>
        </w:tc>
      </w:tr>
    </w:tbl>
    <w:p>
      <w:pPr>
        <w:pBdr>
          <w:bottom w:val="single" w:color="CCCCCC" w:sz="1" w:space="4"/>
        </w:pBdr>
        <w:spacing w:after="80" w:before="80"/>
      </w:pPr>
    </w:p>
    <w:p>
      <w:pPr>
        <w:spacing w:after="120" w:before="200" w:line="276"/>
        <w:jc w:val="both"/>
      </w:pPr>
      <w:r>
        <w:rPr>
          <w:rFonts w:ascii="Times New Roman" w:cs="Times New Roman" w:eastAsia="Times New Roman" w:hAnsi="Times New Roman"/>
          <w:i/>
          <w:iCs/>
          <w:sz w:val="20"/>
          <w:szCs w:val="20"/>
        </w:rPr>
        <w:t xml:space="preserve">Documento de estratégia interno. Não protocolar. A decisão de adotar este caminho é exclusiva do advogado, em coordenação com a engenharia e a área comercial.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2026-08-24T12:52:58.880Z</dcterms:created>
  <dcterms:modified xsi:type="dcterms:W3CDTF">2026-08-24T12:52:58.893Z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