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ns0:body>
    <ns0:p>
      <ns0:r>
        <ns0:rPr>
          <ns0:b/>
        </ns0:rPr>
        <ns0:t xml:space="preserve">Evidence boundaries in Brazilian public-safety readiness: a bounded evidence-informed integrative synthesis</ns0:t>
      </ns0:r>
    </ns0:p>
    <ns0:p>
      <ns0:r>
        <ns0:rPr>
          <ns0:i/>
        </ns0:rPr>
        <ns0:t xml:space="preserve">Brazil v0.15-B2-EVIDENCE-FIRST — full manuscript</ns0:t>
      </ns0:r>
    </ns0:p>
    <ns0:p>
      <ns0:r>
        <ns0:rPr>
          <ns0:b/>
        </ns0:rPr>
        <ns0:t xml:space="preserve">Working scientific reconstruction — human review required; references not frozen</ns0:t>
      </ns0:r>
    </ns0:p>
    <ns0:p>
      <ns0:pPr>
        <ns0:pStyle ns0:val="Heading1"/>
      </ns0:pPr>
      <ns0:r>
        <ns0:t xml:space="preserve">Abstract</ns0:t>
      </ns0:r>
    </ns0:p>
    <ns0:p>
      <ns0:r>
        <ns0:t xml:space="preserve">Brazilian public-safety readiness is frequently discussed across medical, physical, tactical, prehospital and organizational domains, but the available evidence is heterogeneous and often setting-specific. This evidence-informed integrative synthesis asks what result-located Brazilian public-safety sources can support without generalizing local observations to all institutions. The reconstructed evidence base retains bounded cardiometabolic and medical-readiness findings, task-specific shooting null results, descriptive tourniquet-use records, a null school-program evaluation, an institutional implementation case and limited musculoskeletal observations. In the sampled Federal District Military Police cohort of men older than 40 years, cardiometabolic burden supported surveillance considerations but did not establish role- or shift-related causation. In a Paraná occupational cohort, selected health conditions were associated with medical non-readiness without establishing causality or national prevalence. Two overlapping police-cadet publications preserved null or non-significant shooting-related findings and were treated as one cohort family. A Minas Gerais record review documented more tourniquet applications in 2020–2024 than in 2013–2017, without establishing training effectiveness or patient outcome. Organizational and musculoskeletal sources remained contextual or setting-specific. These findings support a bounded evidence architecture, not a global readiness score. PROPOSED SYNTHESIS FRAMEWORK — NOT YET VALIDATED.</ns0:t>
      </ns0:r>
    </ns0:p>
    <ns0:p>
      <ns0:r>
        <ns0:t xml:space="preserve">Keywords: public safety; military police; medical readiness; tactical performance; tactical medicine; implementation; evidence boundaries; Brazil.</ns0:t>
      </ns0:r>
    </ns0:p>
    <ns0:p>
      <ns0:pPr>
        <ns0:pStyle ns0:val="Heading1"/>
      </ns0:pPr>
      <ns0:r>
        <ns0:t xml:space="preserve">1. Introduction</ns0:t>
      </ns0:r>
    </ns0:p>
    <ns0:p>
      <ns0:r>
        <ns0:t xml:space="preserve">Readiness in Brazilian public safety is not represented by a single measurement system in the evidence retained for this reconstruction. Relevant studies instead address narrower questions: cardiometabolic risk in selected police cohorts, medical non-readiness in an occupational population, shooting performance within a cadet protocol, recorded tourniquet use, school-program outcomes, institutional mental-health planning and musculoskeletal observations. Treating those findings as interchangeable components of one validated readiness score would exceed their designs and populations.</ns0:t>
      </ns0:r>
    </ns0:p>
    <ns0:p>
      <ns0:r>
        <ns0:t xml:space="preserve">This manuscript therefore uses an evidence-boundary approach. Its central question is: what do result-located Brazilian public-safety sources support about medical readiness, task-specific performance, tactical medicine and organizational context? The objective is to synthesize those findings while retaining null results, cohort overlap and institutional transferability constraints. Nutrition or supplementation, physical fitness or academy readiness, and hydration or heat were removed from the core scope because targeted gap-closure work did not establish sufficient result-level evidence for coherent sections.</ns0:t>
      </ns0:r>
    </ns0:p>
    <ns0:p>
      <ns0:pPr>
        <ns0:pStyle ns0:val="Heading1"/>
      </ns0:pPr>
      <ns0:r>
        <ns0:t xml:space="preserve">2. Scope and evidence-governance method</ns0:t>
      </ns0:r>
    </ns0:p>
    <ns0:p>
      <ns0:r>
        <ns0:t xml:space="preserve">This is an evidence-informed integrative synthesis, not a systematic review. The wider project began with a canonical universe of 1,484 records and used staged screening, full-text appraisal, integrity controls, result-level extraction and human adjudication. For this B2 reconstruction, empirical statements were eligible only when linked to an Evidence_ID, Result_ID and source locator. Earlier manuscript wording was not restored merely because a thematically related citation existed.</ns0:t>
      </ns0:r>
    </ns0:p>
    <ns0:p>
      <ns0:r>
        <ns0:t xml:space="preserve">The Brazil working set contains nine result IDs across seven independent source families. Two shooting publications are overlapping analyses from the same police-cadet cohort family and count as one independent cohort. Three unresolved contradictory HIGH-priority records—EV-0052, EV-0140 and EV-1066—remain fail-closed and are not used as support. Claims and references remain subject to human review and are not frozen.</ns0:t>
      </ns0:r>
    </ns0:p>
    <ns0:p>
      <ns0:pPr>
        <ns0:pStyle ns0:val="Heading1"/>
      </ns0:pPr>
      <ns0:r>
        <ns0:t xml:space="preserve">3. Medical and cardiometabolic readiness</ns0:t>
      </ns0:r>
    </ns0:p>
    <ns0:p>
      <ns0:r>
        <ns0:t xml:space="preserve">Two sources support a bounded medical-readiness section. In a cross-sectional Federal District Military Police cohort of active-duty male officers older than 40 years, measured cardiometabolic burden supported consideration of surveillance within that sampled population [1]. The study did not identify statistically confirmed differences by administrative versus operational role or by the evaluated work schedules. Because participation was voluntary and the design was cross-sectional, the result does not establish causal role or shift effects and should not be converted into a national prevalence estimate.</ns0:t>
      </ns0:r>
    </ns0:p>
    <ns0:p>
      <ns0:r>
        <ns0:t xml:space="preserve">A much larger Paraná occupational cohort included 6,621 police officers and 1,347 firefighters. In that setting, selected health conditions were associated with medical non-readiness [2]. The association is operationally relevant as an occupational-health signal but remains non-causal. It does not establish that the identified conditions caused non-readiness, nor does a single-state cohort define the prevalence of medical non-readiness across Brazilian public-safety institutions.</ns0:t>
      </ns0:r>
    </ns0:p>
    <ns0:p>
      <ns0:r>
        <ns0:t xml:space="preserve">Together, these studies support a narrow proposition: medical and cardiometabolic surveillance may be relevant within defined occupational cohorts, but the evidence does not justify a single nationwide readiness threshold or causal attribution to job role, schedule or institution. The most defensible use is cohort-specific surveillance and hypothesis generation for prospective validation.</ns0:t>
      </ns0:r>
    </ns0:p>
    <ns0:p>
      <ns0:pPr>
        <ns0:pStyle ns0:val="Heading1"/>
      </ns0:pPr>
      <ns0:r>
        <ns0:t xml:space="preserve">4. Task-specific tactical-performance evidence</ns0:t>
      </ns0:r>
    </ns0:p>
    <ns0:p>
      <ns0:r>
        <ns0:t xml:space="preserve">The task-specific evidence is intentionally interpreted through its null findings. In one small police-cadet comparison, shooting score, shooting time and the accuracy coefficient did not differ significantly by the reported stress-symptom grouping [3]. In an overlapping analysis from the same cohort family, displayed physical-activity and several fitness measures did not show statistically significant correlations with shooting outcomes [4]. These publications therefore represent different analyses of one cohort rather than independent replication.</ns0:t>
      </ns0:r>
    </ns0:p>
    <ns0:p>
      <ns0:r>
        <ns0:t xml:space="preserve">The evidence does not support a claim that stress, physical activity or fitness never influence tactical performance. It supports the narrower conclusion that the measured variables did not demonstrate the stronger associations within that sample and standardized protocol. This distinction matters because tactical readiness can be overinterpreted when a general construct is inferred from one physical measure or one task. Here, the source-located null results set the allowable boundary of inference.</ns0:t>
      </ns0:r>
    </ns0:p>
    <ns0:p>
      <ns0:pPr>
        <ns0:pStyle ns0:val="Heading1"/>
      </ns0:pPr>
      <ns0:r>
        <ns0:t xml:space="preserve">5. Tactical medicine: descriptive evidence</ns0:t>
      </ns0:r>
    </ns0:p>
    <ns0:p>
      <ns0:r>
        <ns0:t xml:space="preserve">A Minas Gerais military-police record review documented more tourniquet applications in 2020–2024 than in 2013–2017 [5]. The observation is descriptive. It does not establish that training caused the increase, that the applications were clinically indicated in every case, or that patient outcomes improved. The dataset is valuable for documenting recorded operational use and for identifying questions about equipment, documentation and training evaluation, but it is not comparative effectiveness evidence.</ns0:t>
      </ns0:r>
    </ns0:p>
    <ns0:p>
      <ns0:r>
        <ns0:t xml:space="preserve">Accordingly, tactical medicine remains a supporting rather than core effectiveness domain in this reconstruction. Official and narrative guidance may organize practice, but guidance and documented device use should not be conflated with demonstrated survival benefit. A future effectiveness claim would require patient-level outcomes, exposure definition, appropriate comparison and control of relevant confounding.</ns0:t>
      </ns0:r>
    </ns0:p>
    <ns0:p>
      <ns0:pPr>
        <ns0:pStyle ns0:val="Heading1"/>
      </ns0:pPr>
      <ns0:r>
        <ns0:t xml:space="preserve">6. Organizational and implementation context</ns0:t>
      </ns0:r>
    </ns0:p>
    <ns0:p>
      <ns0:r>
        <ns0:t xml:space="preserve">Organizational evidence was retained where it provided a source-located result or a clearly bounded institutional case. The evaluated Escola Segura implementation showed no statistically significant effect on the listed outcomes in the studied school setting [6]. The result should be preserved as null rather than reframed as a positive tendency. Its single-school design and short, setting-specific evaluation also limit transfer to other programs or municipalities.</ns0:t>
      </ns0:r>
    </ns0:p>
    <ns0:p>
      <ns0:r>
        <ns0:t xml:space="preserve">A documentary case concerning the PMPI mental-health service identified institutional constraints and proposed a policy plan [7]. This source is useful for implementation context because it documents planning barriers and an organizational response. It does not show that the proposed program improves mental health, readiness or service outcomes. In the evidence architecture, this distinction separates implementation description from evaluated effectiveness.</ns0:t>
      </ns0:r>
    </ns0:p>
    <ns0:p>
      <ns0:pPr>
        <ns0:pStyle ns0:val="Heading1"/>
      </ns0:pPr>
      <ns0:r>
        <ns0:t xml:space="preserve">7. Musculoskeletal contextual findings</ns0:t>
      </ns0:r>
    </ns0:p>
    <ns0:p>
      <ns0:r>
        <ns0:t xml:space="preserve">Musculoskeletal evidence was retained only as context. In military police from Jequié, Bahia, leisure-time vigorous activity and combined moderate-to-vigorous activity showed weak cross-sectional discrimination for absence of low-back pain, with reported AUC values of 0.58 [8]. Those results do not establish prevention and do not validate an operational cutoff for activity.</ns0:t>
      </ns0:r>
    </ns0:p>
    <ns0:p>
      <ns0:r>
        <ns0:t xml:space="preserve">A separate small cross-sectional comparison of 31 Brazilian military police officers found no statistically significant difference between administrative and tactical-force groups in weekly physical-activity time or reported musculoskeletal discomfort [9]. This null finding does not establish equivalence of occupational exposure, preventive effect, prospective readiness or national patterns. Both musculoskeletal sources therefore function as boundaries on inference rather than as evidence for a fitness or prevention prescription.</ns0:t>
      </ns0:r>
    </ns0:p>
    <ns0:p>
      <ns0:pPr>
        <ns0:pStyle ns0:val="Heading1"/>
      </ns0:pPr>
      <ns0:r>
        <ns0:t xml:space="preserve">8. Null results and transferability</ns0:t>
      </ns0:r>
    </ns0:p>
    <ns0:p>
      <ns0:r>
        <ns0:t xml:space="preserve">Null findings are a substantive part of the evidence base, not a secondary limitation. The shooting analyses did not demonstrate several anticipated group differences or correlations, the Escola Segura evaluation did not demonstrate statistically significant effects on the listed outcomes, and the small administrative-versus-tactical musculoskeletal comparison was also null for the reported group differences. Preserving those results limits confirmation bias and prevents a readiness narrative from being constructed only from positive observations.</ns0:t>
      </ns0:r>
    </ns0:p>
    <ns0:p>
      <ns0:r>
        <ns0:t xml:space="preserve">Transferability is equally restrictive. Evidence arose from the Federal District, Paraná, Espírito Santo, Minas Gerais, Bahia and a small additional military-police sample. Each institution differs in population, duties, selection, training and data systems. The current synthesis therefore cannot estimate national prevalence, establish universal occupational thresholds or infer that one state-level finding applies to all military police, firefighters or other public-safety agencies.</ns0:t>
      </ns0:r>
    </ns0:p>
    <ns0:p>
      <ns0:pPr>
        <ns0:pStyle ns0:val="Heading2"/>
      </ns0:pPr>
      <ns0:r>
        <ns0:t xml:space="preserve">8.1 Implications for evidence architecture and future validation</ns0:t>
      </ns0:r>
    </ns0:p>
    <ns0:p>
      <ns0:r>
        <ns0:t xml:space="preserve">The retained evidence suggests that surveillance, task assessment and organizational implementation should be treated as different evidentiary functions rather than merged into one readiness score. Medical surveillance studies can identify associations or burdens within a defined occupational cohort, but they do not by themselves establish task capability. Task-specific studies can describe performance under a protocol, but they do not establish overall medical readiness. Organizational or implementation studies can identify constraints, recorded practice or program outcomes, but they do not substitute for individual-level clinical or performance evidence. Keeping these functions separate is essential to prevent category errors during policy translation.</ns0:t>
      </ns0:r>
    </ns0:p>
    <ns0:p>
      <ns0:r>
        <ns0:t xml:space="preserve">For Brazilian institutions, this separation has practical methodological value. A surveillance program can be justified by cohort-specific health findings without claiming that the measured condition causes poor tactical performance. A shooting or other task protocol can be evaluated as a task-specific outcome without being labeled a global readiness test. A tactical-medicine record system can document use patterns without being interpreted as proof of effectiveness. The evidence architecture therefore favors explicit questions and outcomes over broad labels.</ns0:t>
      </ns0:r>
    </ns0:p>
    <ns0:p>
      <ns0:r>
        <ns0:t xml:space="preserve">The geographic distribution of the retained studies also argues for institutional replication rather than immediate national standardization. Data from the Federal District, Paraná, Espírito Santo, Minas Gerais, Bahia and other local samples should be interpreted as setting-specific contributions to an emerging evidence base. A national inference would require more consistent definitions, independent cohorts and comparable outcomes across institutions. Until then, state or unit-level findings can inform local hypothesis generation and surveillance design while remaining bounded by their sampling frames.</ns0:t>
      </ns0:r>
    </ns0:p>
    <ns0:p>
      <ns0:r>
        <ns0:t xml:space="preserve">Future validation should also distinguish descriptive monitoring from decision thresholds. Cross-sectional associations and ROC discrimination can be useful for exploration, but thresholds intended to guide duty status, training prescription or prevention require prospective evaluation and external validation. Similarly, implementation proposals require outcome evaluation before they are treated as effective interventions. These distinctions are particularly important in public-safety settings because administrative decisions may have operational and occupational consequences beyond the original research context.</ns0:t>
      </ns0:r>
    </ns0:p>
    <ns0:p>
      <ns0:r>
        <ns0:t xml:space="preserve">An evidence-informed readiness program in Brazil would therefore benefit from a staged research strategy: define the target decision, select a domain-specific outcome, validate the measurement in the intended institution, evaluate prospective association or responsiveness, and test whether the information improves an operational or health decision. Only after these steps should multiple domains be considered for integration. The present synthesis does not validate such a program; it provides a bounded map of where the current result-located evidence can contribute and where evidence gaps remain structural.</ns0:t>
      </ns0:r>
    </ns0:p>
    <ns0:p>
      <ns0:pPr>
        <ns0:pStyle ns0:val="Heading1"/>
      </ns0:pPr>
      <ns0:r>
        <ns0:t xml:space="preserve">9. Proposed synthesis framework</ns0:t>
      </ns0:r>
    </ns0:p>
    <ns0:p>
      <ns0:r>
        <ns0:t xml:space="preserve">PROPOSED SYNTHESIS FRAMEWORK — NOT YET VALIDATED. For Brazilian public-safety research, the framework separates four functions of evidence: bounded medical or health surveillance, task-specific performance evidence, descriptive operational evidence, and organizational or implementation context. It also requires explicit recording of null results, cohort overlap, source depth and transferability. The framework is conceptual only; it is not a diagnostic tool, predictive score or validated readiness model.</ns0:t>
      </ns0:r>
    </ns0:p>
    <ns0:p>
      <ns0:pPr>
        <ns0:pStyle ns0:val="Heading1"/>
      </ns0:pPr>
      <ns0:r>
        <ns0:t xml:space="preserve">10. Limitations</ns0:t>
      </ns0:r>
    </ns0:p>
    <ns0:p>
      <ns0:r>
        <ns0:t xml:space="preserve">The evidence is heterogeneous and mostly observational, descriptive or context-specific. Two shooting publications belong to one cohort family. Cardiometabolic and medical-readiness evidence is geographically restricted and does not establish national prevalence. The tourniquet study is a record review rather than an outcome evaluation. The organizational evidence includes a null single-school evaluation and a documentary institutional case. The musculoskeletal studies are cross-sectional and do not support preventive or causal conclusions.</ns0:t>
      </ns0:r>
    </ns0:p>
    <ns0:p>
      <ns0:r>
        <ns0:t xml:space="preserve">Three domains—nutrition or supplementation, physical fitness or academy readiness, and hydration or heat—were removed from the core after targeted gap closure did not establish sufficient reconstruction-ready evidence. Three contradictory HIGH-priority records also remain unadjudicated because lawful full text was unavailable; they are not used as support. The fail-closed evidence-governance approach prioritizes traceability over narrative completeness and can therefore produce a narrower manuscript than a conventional narrative synthesis.</ns0:t>
      </ns0:r>
    </ns0:p>
    <ns0:p>
      <ns0:pPr>
        <ns0:pStyle ns0:val="Heading1"/>
      </ns0:pPr>
      <ns0:r>
        <ns0:t xml:space="preserve">11. Conclusion</ns0:t>
      </ns0:r>
    </ns0:p>
    <ns0:p>
      <ns0:r>
        <ns0:t xml:space="preserve">The reconstructed Brazilian evidence supports a bounded rather than global view of public-safety readiness. Selected cardiometabolic and medical findings can inform surveillance within defined cohorts; police-cadet studies preserve task-specific null findings; tourniquet records document operational use without demonstrating effectiveness; and organizational sources provide null evaluation or implementation context. Musculoskeletal observations remain contextual and non-causal. Across these domains, the strongest conclusion is not that a unified readiness score has been established, but that claim strength must remain matched to study design, source location, population and transferability. The proposed synthesis framework remains unvalidated and should be tested prospectively before any diagnostic or operational use.</ns0:t>
      </ns0:r>
    </ns0:p>
    <ns0:p>
      <ns0:pPr>
        <ns0:pStyle ns0:val="Heading1"/>
      </ns0:pPr>
      <ns0:r>
        <ns0:t xml:space="preserve">Working references</ns0:t>
      </ns0:r>
    </ns0:p>
    <ns0:p>
      <ns0:r>
        <ns0:t xml:space="preserve">These references are working-only and are not frozen. Evidence IDs are retained here to preserve auditability before final journal formatting.</ns0:t>
      </ns0:r>
    </ns0:p>
    <ns0:p>
      <ns0:r>
        <ns0:t xml:space="preserve">[1] EV-1463. Cardiovascular risk factors across job roles and work shifts in a Brazilian Military Police cohort: a cross-sectional study. DOI: 10.3389/fpubh.2025.1716547.</ns0:t>
      </ns0:r>
    </ns0:p>
    <ns0:p>
      <ns0:r>
        <ns0:t xml:space="preserve">[2] EV-1484. Comparative analysis of the health status of military police officers and firefighters: a cross-sectional study in the State of Paraná, Brazil. DOI: 10.1136/bmjopen-2021-049182.</ns0:t>
      </ns0:r>
    </ns0:p>
    <ns0:p>
      <ns0:r>
        <ns0:t xml:space="preserve">[3] EV-1473. Do stress symptoms impact handgrip strength and firearm shooting accuracy among military police officers?. DOI: 10.3389/fpsyg.2025.1557524.</ns0:t>
      </ns0:r>
    </ns0:p>
    <ns0:p>
      <ns0:r>
        <ns0:t xml:space="preserve">[4] EV-1474. Correlation between physical fitness, psychophysiological parameters and performance in a firearm proficiency test in military police officers. DOI: 10.3389/fpsyg.2025.1736902.</ns0:t>
      </ns0:r>
    </ns0:p>
    <ns0:p>
      <ns0:r>
        <ns0:t xml:space="preserve">[5] EV-1475. Uso de torniquete por policiais militares no atendimento a terceiros. DOI: 10.36776/ribsp.v8i21.317.</ns0:t>
      </ns0:r>
    </ns0:p>
    <ns0:p>
      <ns0:r>
        <ns0:t xml:space="preserve">[6] EV-1479. Quando a Polícia Militar vai à escola: uma avaliação de impacto do programa Escola Segura. DOI: 10.1590/s1678-4634202349248317.</ns0:t>
      </ns0:r>
    </ns0:p>
    <ns0:p>
      <ns0:r>
        <ns0:t xml:space="preserve">[7] EV-1482. Promoção da saúde do policial militar. DOI: 10.31060/rbsp.2024.v18.n1.1764.</ns0:t>
      </ns0:r>
    </ns0:p>
    <ns0:p>
      <ns0:r>
        <ns0:t xml:space="preserve">[8] EV-1466. Leisure-time physical activity as a discriminator of the absence of musculoskeletal pain in military police officers. DOI: 10.63231/2595-0118.e202684-en.</ns0:t>
      </ns0:r>
    </ns0:p>
    <ns0:p>
      <ns0:r>
        <ns0:t xml:space="preserve">[9] EV-1467. Skeletal Muscle Discomfort and Lifestyle of Brazilian Military Police Officers of Administrative and Tactical Force. DOI: 10.3390/jfmk8040148.</ns0:t>
      </ns0:r>
    </ns0:p>
    <ns0:sectPr>
      <ns0:pgSz ns0:w="12240" ns0:h="15840"/>
      <ns0:pgMar ns0:top="1440" ns0:right="1440" ns0:bottom="1440" ns0:left="1440" ns0:header="720" ns0:footer="720" ns0:gutter="0"/>
    </ns0:sectPr>
  </ns0:body>
</ns0:document>
</file>

<file path=word/styles.xml><?xml version="1.0" encoding="utf-8"?>
<w:styles xmlns:w="http://schemas.openxmlformats.org/wordprocessingml/2006/main">
  <w:docDefaults>
    <w:rPrDefault>
      <w:rPr>
        <w:rFonts w:ascii="Arial" w:hAnsi="Arial"/>
        <w:sz w:val="22"/>
        <w:szCs w:val="22"/>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sz w:val="30"/>
      <w:szCs w:val="30"/>
    </w:rPr>
  </w:style>
  <w:style w:type="paragraph" w:styleId="Heading2">
    <w:name w:val="heading 2"/>
    <w:basedOn w:val="Normal"/>
    <w:next w:val="Normal"/>
    <w:pPr>
      <w:keepNext/>
      <w:spacing w:before="180" w:after="100"/>
      <w:outlineLvl w:val="1"/>
    </w:pPr>
    <w:rPr>
      <w: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Brazil_v0.15-B2-EVIDENCE-FIRST.docx</dc:title>
  <dc:creator>Matheus Florindo de Deus</dc:creator>
  <dcterms:created xsi:type="dcterms:W3CDTF">2026-10-09T13:05:12Z</dcterms:created>
</cp:coreProperties>
</file>