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</w:rPr>
        <w:t>Evidence boundaries for selected readiness domains in Brazilian public safety</w:t>
      </w:r>
    </w:p>
    <w:p>
      <w:pPr>
        <w:pStyle w:val="Subtitle"/>
      </w:pPr>
      <w:r>
        <w:rPr>
          <w:rFonts w:ascii="Aptos" w:hAnsi="Aptos"/>
        </w:rPr>
        <w:t>An evidence informed integrative synthesis</w:t>
      </w:r>
    </w:p>
    <w:p>
      <w:pPr>
        <w:pStyle w:val="Heading1"/>
      </w:pPr>
      <w:r>
        <w:t>Resumo</w:t>
      </w:r>
    </w:p>
    <w:p>
      <w:r>
        <w:rPr>
          <w:rFonts w:ascii="Aptos" w:hAnsi="Aptos"/>
        </w:rPr>
        <w:t>Esta síntese integrativa orientada por evidências utiliza apenas achados com resultado e localizador documentados. Não é uma revisão sistemática.</w:t>
      </w:r>
    </w:p>
    <w:p>
      <w:r>
        <w:rPr>
          <w:rFonts w:ascii="Aptos" w:hAnsi="Aptos"/>
        </w:rPr>
        <w:t>O texto delimita evidências sobre vigilância cardiometabólica, desempenho específico, uso documental de torniquete e contexto organizacional, sem generalizar resultados locais ao Brasil.</w:t>
      </w:r>
    </w:p>
    <w:p>
      <w:r>
        <w:rPr>
          <w:rFonts w:ascii="Aptos" w:hAnsi="Aptos"/>
        </w:rPr>
        <w:t>PROPOSED SYNTHESIS FRAMEWORK - NOT YET VALIDATED.</w:t>
      </w:r>
    </w:p>
    <w:p>
      <w:pPr>
        <w:pStyle w:val="Heading1"/>
      </w:pPr>
      <w:r>
        <w:t>Introduction</w:t>
      </w:r>
    </w:p>
    <w:p>
      <w:r>
        <w:rPr>
          <w:rFonts w:ascii="Aptos" w:hAnsi="Aptos"/>
        </w:rPr>
        <w:t>A pergunta central é: Which result-located findings from Brazilian public-safety settings can inform a bounded readiness evidence architecture without generalizing local observations to all institutions?</w:t>
      </w:r>
    </w:p>
    <w:p>
      <w:pPr>
        <w:pStyle w:val="Heading1"/>
      </w:pPr>
      <w:r>
        <w:t>Scope evidence roles and transfer boundaries</w:t>
      </w:r>
    </w:p>
    <w:p>
      <w:r>
        <w:rPr>
          <w:rFonts w:ascii="Aptos" w:hAnsi="Aptos"/>
        </w:rPr>
        <w:t>O projeto partiu de 1.484 registros reconciliados e aplicou etapas de triagem, appraisal, integridade e adjudicação fail-closed. Apenas claims com proveniência de resultado entraram nesta reconstrução.</w:t>
      </w:r>
    </w:p>
    <w:p>
      <w:r>
        <w:rPr>
          <w:rFonts w:ascii="Aptos" w:hAnsi="Aptos"/>
        </w:rPr>
        <w:t>A revisão humana final de todos os usos científicos e das referências permanece pendente.</w:t>
      </w:r>
    </w:p>
    <w:p>
      <w:pPr>
        <w:pStyle w:val="Heading1"/>
      </w:pPr>
      <w:r>
        <w:t>Cardiometabolic and medical readiness evidence</w:t>
      </w:r>
    </w:p>
    <w:p>
      <w:r>
        <w:rPr>
          <w:rFonts w:ascii="Aptos" w:hAnsi="Aptos"/>
        </w:rPr>
        <w:t>In the sampled PMDF cohort of male officers older than 40 years, measured cardiometabolic risk burden supported consideration of surveillance; the cross-sectional study did not identify confirmed role or shift differences.</w:t>
      </w:r>
      <w:r>
        <w:rPr>
          <w:rFonts w:ascii="Aptos" w:hAnsi="Aptos"/>
          <w:i/>
          <w:sz w:val="20"/>
        </w:rPr>
        <w:t xml:space="preserve"> [1]</w:t>
      </w:r>
    </w:p>
    <w:p>
      <w:r>
        <w:rPr>
          <w:rFonts w:ascii="Aptos" w:hAnsi="Aptos"/>
        </w:rPr>
        <w:t>In a Paraná occupational cohort, selected health conditions were associated with medical non-readiness; this association does not establish causality.</w:t>
      </w:r>
      <w:r>
        <w:rPr>
          <w:rFonts w:ascii="Aptos" w:hAnsi="Aptos"/>
          <w:i/>
          <w:sz w:val="20"/>
        </w:rPr>
        <w:t xml:space="preserve"> [2]</w:t>
      </w:r>
    </w:p>
    <w:p>
      <w:r>
        <w:rPr>
          <w:rFonts w:ascii="Aptos" w:hAnsi="Aptos"/>
        </w:rPr>
        <w:t>Essas associações são específicas às coortes descritas e não permitem estimar prevalência nacional nem atribuir risco a função ou escala.</w:t>
      </w:r>
    </w:p>
    <w:p>
      <w:pPr>
        <w:pStyle w:val="Heading1"/>
      </w:pPr>
      <w:r>
        <w:t>Task specific shooting findings</w:t>
      </w:r>
    </w:p>
    <w:p>
      <w:r>
        <w:rPr>
          <w:rFonts w:ascii="Aptos" w:hAnsi="Aptos"/>
        </w:rPr>
        <w:t>In one small police-cadet comparison, shooting score, time and accuracy coefficient did not differ significantly by the reported stress-symptom grouping.</w:t>
      </w:r>
      <w:r>
        <w:rPr>
          <w:rFonts w:ascii="Aptos" w:hAnsi="Aptos"/>
          <w:i/>
          <w:sz w:val="20"/>
        </w:rPr>
        <w:t xml:space="preserve"> [3]</w:t>
      </w:r>
    </w:p>
    <w:p>
      <w:r>
        <w:rPr>
          <w:rFonts w:ascii="Aptos" w:hAnsi="Aptos"/>
        </w:rPr>
        <w:t>In the overlapping police-cadet cohort, the displayed physical-activity and several fitness measures did not show statistically significant correlations with shooting outcomes.</w:t>
      </w:r>
      <w:r>
        <w:rPr>
          <w:rFonts w:ascii="Aptos" w:hAnsi="Aptos"/>
          <w:i/>
          <w:sz w:val="20"/>
        </w:rPr>
        <w:t xml:space="preserve"> [4]</w:t>
      </w:r>
    </w:p>
    <w:p>
      <w:r>
        <w:rPr>
          <w:rFonts w:ascii="Aptos" w:hAnsi="Aptos"/>
        </w:rPr>
        <w:t>As duas análises pertencem à família de coorte sobreposta CF-BR-PMES-CFO-2023-01 e não devem ser somadas como replicações independentes.</w:t>
      </w:r>
    </w:p>
    <w:p>
      <w:pPr>
        <w:pStyle w:val="Heading1"/>
      </w:pPr>
      <w:r>
        <w:t>Musculoskeletal evidence boundary</w:t>
      </w:r>
    </w:p>
    <w:p>
      <w:r>
        <w:rPr>
          <w:rFonts w:ascii="Aptos" w:hAnsi="Aptos"/>
        </w:rPr>
        <w:t>In the studied military-police sample, leisure-time physical activity had weak cross-sectional discrimination for absence of low-back pain; it does not establish prevention or an operational cutoff.</w:t>
      </w:r>
      <w:r>
        <w:rPr>
          <w:rFonts w:ascii="Aptos" w:hAnsi="Aptos"/>
          <w:i/>
          <w:sz w:val="20"/>
        </w:rPr>
        <w:t xml:space="preserve"> [5]</w:t>
      </w:r>
    </w:p>
    <w:p>
      <w:pPr>
        <w:pStyle w:val="Heading1"/>
      </w:pPr>
      <w:r>
        <w:t>Tactical medicine descriptive evidence</w:t>
      </w:r>
    </w:p>
    <w:p>
      <w:r>
        <w:rPr>
          <w:rFonts w:ascii="Aptos" w:hAnsi="Aptos"/>
        </w:rPr>
        <w:t>A military-police record review documented more tourniquet applications in 2020–2024 than in 2013–2017; it does not establish a training effect or patient outcome.</w:t>
      </w:r>
      <w:r>
        <w:rPr>
          <w:rFonts w:ascii="Aptos" w:hAnsi="Aptos"/>
          <w:i/>
          <w:sz w:val="20"/>
        </w:rPr>
        <w:t xml:space="preserve"> [6]</w:t>
      </w:r>
    </w:p>
    <w:p>
      <w:r>
        <w:rPr>
          <w:rFonts w:ascii="Aptos" w:hAnsi="Aptos"/>
        </w:rPr>
        <w:t>O achado é descritivo e não mede efeito de treinamento, sobrevida ou efetividade clínica.</w:t>
      </w:r>
    </w:p>
    <w:p>
      <w:pPr>
        <w:pStyle w:val="Heading1"/>
      </w:pPr>
      <w:r>
        <w:t>Organizational and implementation context</w:t>
      </w:r>
    </w:p>
    <w:p>
      <w:r>
        <w:rPr>
          <w:rFonts w:ascii="Aptos" w:hAnsi="Aptos"/>
        </w:rPr>
        <w:t>The evaluated Escola Segura implementation showed no statistically significant effect on the listed outcomes in the studied school setting.</w:t>
      </w:r>
      <w:r>
        <w:rPr>
          <w:rFonts w:ascii="Aptos" w:hAnsi="Aptos"/>
          <w:i/>
          <w:sz w:val="20"/>
        </w:rPr>
        <w:t xml:space="preserve"> [7]</w:t>
      </w:r>
    </w:p>
    <w:p>
      <w:r>
        <w:rPr>
          <w:rFonts w:ascii="Aptos" w:hAnsi="Aptos"/>
        </w:rPr>
        <w:t>A PMPI documentary case identified service constraints and proposed a policy plan; it is organizational context, not evidence of clinical effectiveness.</w:t>
      </w:r>
      <w:r>
        <w:rPr>
          <w:rFonts w:ascii="Aptos" w:hAnsi="Aptos"/>
          <w:i/>
          <w:sz w:val="20"/>
        </w:rPr>
        <w:t xml:space="preserve"> [8]</w:t>
      </w:r>
    </w:p>
    <w:p>
      <w:r>
        <w:rPr>
          <w:rFonts w:ascii="Aptos" w:hAnsi="Aptos"/>
        </w:rPr>
        <w:t>O resultado nulo da Escola Segura não deve ser reinterpretado como tendência promissora, e o caso documental não é evidência de eficácia clínica.</w:t>
      </w:r>
    </w:p>
    <w:p>
      <w:pPr>
        <w:pStyle w:val="Heading1"/>
      </w:pPr>
      <w:r>
        <w:t>Null results and evidence gaps</w:t>
      </w:r>
    </w:p>
    <w:p>
      <w:r>
        <w:rPr>
          <w:rFonts w:ascii="Aptos" w:hAnsi="Aptos"/>
        </w:rPr>
        <w:t>Os resultados nulos de tiro e da avaliação Escola Segura são parte do argumento central, pois delimitam o que a evidência local não demonstrou.</w:t>
      </w:r>
    </w:p>
    <w:p>
      <w:pPr>
        <w:pStyle w:val="Heading1"/>
      </w:pPr>
      <w:r>
        <w:t>Proposed synthesis framework</w:t>
      </w:r>
    </w:p>
    <w:p>
      <w:r>
        <w:rPr>
          <w:rFonts w:ascii="Aptos" w:hAnsi="Aptos"/>
        </w:rPr>
        <w:t>PROPOSED SYNTHESIS FRAMEWORK - NOT YET VALIDATED. Sua função é organizar domínios, limites de transferência e prioridades de validação futura; não é um escore de prontidão.</w:t>
      </w:r>
    </w:p>
    <w:p>
      <w:pPr>
        <w:pStyle w:val="Heading1"/>
      </w:pPr>
      <w:r>
        <w:t>Limitations</w:t>
      </w:r>
    </w:p>
    <w:p>
      <w:r>
        <w:rPr>
          <w:rFonts w:ascii="Aptos" w:hAnsi="Aptos"/>
        </w:rPr>
        <w:t>As coortes são locais, predominantemente observacionais ou descritivas, e não sustentam inferência causal, generalização nacional ou decisão individual. Registros contraditórios e fontes access-limited foram tratados fail-closed.</w:t>
      </w:r>
    </w:p>
    <w:p>
      <w:pPr>
        <w:pStyle w:val="Heading1"/>
      </w:pPr>
      <w:r>
        <w:t>Conclusions</w:t>
      </w:r>
    </w:p>
    <w:p>
      <w:r>
        <w:rPr>
          <w:rFonts w:ascii="Aptos" w:hAnsi="Aptos"/>
        </w:rPr>
        <w:t>A evidência localizada sustenta uma arquitetura brasileira delimitada para vigilância e pesquisa, não uma ferramenta validada de classificação da prontidão operacional. A validação prospectiva permanece necessária.</w:t>
      </w:r>
    </w:p>
    <w:p>
      <w:pPr>
        <w:pStyle w:val="Heading1"/>
      </w:pPr>
      <w:r>
        <w:t>Working references</w:t>
      </w:r>
    </w:p>
    <w:p>
      <w:r>
        <w:rPr>
          <w:rFonts w:ascii="Aptos" w:hAnsi="Aptos"/>
        </w:rPr>
        <w:t>[1] Cardiovascular risk factors across job roles and work shifts in a Brazilian Military Police cohort: a cross-sectional study doi:10.3389/fpubh.2025.1716547</w:t>
      </w:r>
    </w:p>
    <w:p>
      <w:r>
        <w:rPr>
          <w:rFonts w:ascii="Aptos" w:hAnsi="Aptos"/>
        </w:rPr>
        <w:t>[2] Comparative analysis of the health status of military police officers and firefighters: a cross-sectional study in the State of Paraná, Brazil</w:t>
      </w:r>
    </w:p>
    <w:p>
      <w:r>
        <w:rPr>
          <w:rFonts w:ascii="Aptos" w:hAnsi="Aptos"/>
        </w:rPr>
        <w:t>[3] The acute effect of induced stress symptoms on shooting performance in police cadets</w:t>
      </w:r>
    </w:p>
    <w:p>
      <w:r>
        <w:rPr>
          <w:rFonts w:ascii="Aptos" w:hAnsi="Aptos"/>
        </w:rPr>
        <w:t>[4] Effects of physical fitness and mood on shooting proficiency among Brazilian police cadets</w:t>
      </w:r>
    </w:p>
    <w:p>
      <w:r>
        <w:rPr>
          <w:rFonts w:ascii="Aptos" w:hAnsi="Aptos"/>
        </w:rPr>
        <w:t>[5] Leisure-time physical activity as a discriminator of the absence of musculoskeletal pain in military police officers doi:10.63231/2595-0118.e202684-en</w:t>
      </w:r>
    </w:p>
    <w:p>
      <w:r>
        <w:rPr>
          <w:rFonts w:ascii="Aptos" w:hAnsi="Aptos"/>
        </w:rPr>
        <w:t>[6] Uso de torniquete por policiais militares no atendimento a terceiros: delimitação normativa e evidência empírica</w:t>
      </w:r>
    </w:p>
    <w:p>
      <w:r>
        <w:rPr>
          <w:rFonts w:ascii="Aptos" w:hAnsi="Aptos"/>
        </w:rPr>
        <w:t>[7] Quando a Polícia Militar vai à escola: uma avaliação de impacto do programa Escola Segura</w:t>
      </w:r>
    </w:p>
    <w:p>
      <w:r>
        <w:rPr>
          <w:rFonts w:ascii="Aptos" w:hAnsi="Aptos"/>
        </w:rPr>
        <w:t>[8] Promoção da saúde do policial militar: avanços, desafios e tendências em saúde mental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i/>
        <w:sz w:val="16"/>
      </w:rPr>
      <w:t>Evidence-first reconstruction v0.15 | Human scientific audit pending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