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20"/>
      </w:pPr>
    </w:p>
    <w:p>
      <w:pPr>
        <w:spacing w:after="260"/>
        <w:jc w:val="center"/>
      </w:pPr>
      <w:r>
        <w:drawing>
          <wp:inline distT="0" distB="0" distL="0" distR="0">
            <wp:extent cx="314325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700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700"/>
      </w:tblGrid>
      <w:tr>
        <w:tc>
          <w:tcPr>
            <w:tcW w:type="dxa" w:w="1700"/>
            <w:shd w:fill="FFC400" w:color="auto" w:val="clear"/>
          </w:tcPr>
          <w:p>
            <w:pPr>
              <w:spacing w:after="34" w:before="34"/>
            </w:pPr>
          </w:p>
        </w:tc>
      </w:tr>
    </w:tbl>
    <w:p>
      <w:pPr>
        <w:spacing w:after="420"/>
      </w:pPr>
    </w:p>
    <w:p>
      <w:pPr>
        <w:spacing w:after="40" w:line="260"/>
        <w:jc w:val="center"/>
      </w:pPr>
      <w:r>
        <w:rPr>
          <w:rFonts w:ascii="Calibri" w:cs="Calibri" w:eastAsia="Calibri" w:hAnsi="Calibri"/>
          <w:b/>
          <w:bCs/>
          <w:color w:val="111111"/>
          <w:spacing w:val="20"/>
          <w:sz w:val="62"/>
          <w:szCs w:val="62"/>
        </w:rPr>
        <w:t xml:space="preserve">REGULAMENTO INTERNO</w:t>
      </w:r>
    </w:p>
    <w:p>
      <w:pPr>
        <w:spacing w:after="300" w:line="260"/>
        <w:jc w:val="center"/>
      </w:pPr>
      <w:r>
        <w:rPr>
          <w:rFonts w:ascii="Calibri" w:cs="Calibri" w:eastAsia="Calibri" w:hAnsi="Calibri"/>
          <w:b/>
          <w:bCs/>
          <w:color w:val="FFC400"/>
          <w:spacing w:val="34"/>
          <w:sz w:val="34"/>
          <w:szCs w:val="34"/>
        </w:rPr>
        <w:t xml:space="preserve">&amp; CÓDIGO DE CONDUTA</w:t>
      </w:r>
    </w:p>
    <w:p>
      <w:pPr>
        <w:spacing w:after="560"/>
        <w:jc w:val="center"/>
      </w:pPr>
      <w:r>
        <w:rPr>
          <w:rFonts w:ascii="Calibri" w:cs="Calibri" w:eastAsia="Calibri" w:hAnsi="Calibri"/>
          <w:color w:val="5A5A63"/>
          <w:sz w:val="24"/>
          <w:szCs w:val="24"/>
        </w:rPr>
        <w:t xml:space="preserve">Guia do Colaborador  ·  TGA Empreendimentos</w:t>
      </w:r>
    </w:p>
    <w:tbl>
      <w:tblPr>
        <w:tblW w:type="dxa" w:w="9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106"/>
      </w:tblGrid>
      <w:tr>
        <w:tc>
          <w:tcPr>
            <w:tcW w:type="dxa" w:w="9106"/>
            <w:shd w:fill="111111" w:color="auto" w:val="clear"/>
            <w:tcMar>
              <w:top w:type="dxa" w:w="280"/>
              <w:left w:type="dxa" w:w="300"/>
              <w:bottom w:type="dxa" w:w="280"/>
              <w:right w:type="dxa" w:w="300"/>
            </w:tcMar>
            <w:vAlign w:val="center"/>
          </w:tcPr>
          <w:p>
            <w:pPr>
              <w:spacing w:after="7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Administração Condominial</w:t>
            </w:r>
          </w:p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FFC400"/>
                <w:sz w:val="19"/>
                <w:szCs w:val="19"/>
              </w:rPr>
              <w:t xml:space="preserve">Operações · Serviços Gerais · Gestão · Tecnologia · Inovação</w:t>
            </w:r>
          </w:p>
        </w:tc>
      </w:tr>
    </w:tbl>
    <w:p>
      <w:pPr>
        <w:spacing w:after="1500"/>
      </w:pPr>
    </w:p>
    <w:p>
      <w:pPr>
        <w:spacing w:after="16"/>
        <w:jc w:val="center"/>
      </w:pPr>
      <w:r>
        <w:rPr>
          <w:rFonts w:ascii="Calibri" w:cs="Calibri" w:eastAsia="Calibri" w:hAnsi="Calibri"/>
          <w:color w:val="5A5A63"/>
          <w:sz w:val="19"/>
          <w:szCs w:val="19"/>
        </w:rPr>
        <w:t xml:space="preserve">Versão 1.0  ·  Julho de 2026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A5A63"/>
          <w:sz w:val="18"/>
          <w:szCs w:val="18"/>
        </w:rPr>
        <w:t xml:space="preserve">Documento interno — leia, guarde e consulte sempre que precisar 💛</w:t>
      </w:r>
    </w:p>
    <w:p>
      <w:pPr>
        <w:sectPr>
          <w:pgSz w:w="11906" w:h="16838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spacing w:after="60" w:before="20" w:line="264"/>
      </w:pPr>
      <w:r>
        <w:rPr>
          <w:rFonts w:ascii="Calibri" w:cs="Calibri" w:eastAsia="Calibri" w:hAnsi="Calibri"/>
          <w:b/>
          <w:bCs/>
          <w:color w:val="111111"/>
          <w:sz w:val="23"/>
          <w:szCs w:val="23"/>
        </w:rPr>
        <w:t xml:space="preserve">Seja bem-vindo(a) ao Grupo TGA! 👋</w:t>
      </w:r>
    </w:p>
    <w:p>
      <w:pPr>
        <w:spacing w:after="82" w:before="0" w:line="25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Que bom ter você com a gente! Este guia mostra, de forma simples, como funcionamos, o que esperamos de você e o que você pode esperar de nós. Leia com calma, guarde com carinho e, na dúvida, fale com o seu líder ou com o RH. Ele complementa — e não substitui — o seu contrato de trabalho e a legislação vigente. 💛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2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🏢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Quem somos</w:t>
      </w:r>
    </w:p>
    <w:p>
      <w:pPr>
        <w:spacing w:after="70" w:before="0" w:line="254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Missão. 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Prover serviços de facilities com soluções integradas, aumentando o valor das propriedades e a produtividade dos nossos clientes.</w:t>
      </w:r>
    </w:p>
    <w:p>
      <w:pPr>
        <w:spacing w:after="90" w:before="0" w:line="254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Visão. 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Ser a melhor escolha do mercado na nossa área, servindo sempre com segurança, cortesia e eficiência.</w:t>
      </w:r>
    </w:p>
    <w:p>
      <w:pPr>
        <w:pBdr>
          <w:bottom w:val="single" w:color="FFC400" w:sz="10" w:space="2"/>
        </w:pBdr>
        <w:spacing w:after="5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Nossos valores e compromissos</w:t>
      </w:r>
    </w:p>
    <w:tbl>
      <w:tblPr>
        <w:tblW w:type="dxa" w:w="9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53"/>
        <w:gridCol w:w="4553"/>
      </w:tblGrid>
      <w:tr>
        <w:tc>
          <w:tcPr>
            <w:tcW w:type="dxa" w:w="45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60"/>
            </w:tcMar>
          </w:tcPr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Trabalho em equipe 🤝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Melhoria contínua 📈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Agilidade no atendimento ⚡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Comprometimento com resultados 🎯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Respeito à diversidade 🌈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Transparência 🔍</w:t>
            </w:r>
          </w:p>
        </w:tc>
        <w:tc>
          <w:tcPr>
            <w:tcW w:type="dxa" w:w="45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60"/>
            </w:tcMar>
          </w:tcPr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Respeito à cultura do cliente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Confidencialidade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Qualidade da entrega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Atualização constante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Uso racional de água e energia 🌱</w:t>
            </w:r>
          </w:p>
        </w:tc>
      </w:tr>
    </w:tbl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📌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1 · Disposições iniciais</w:t>
      </w:r>
    </w:p>
    <w:p>
      <w:pPr>
        <w:spacing w:after="82" w:before="0" w:line="25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Este regulamento reúne as normas de conduta, organização e convivência do Grupo TGA. Vale para todos os colaboradores, em todas as unidades e postos de trabalho, e orienta também estagiários, aprendizes e prestadores, onde aplicável.</w:t>
      </w:r>
    </w:p>
    <w:p>
      <w:pPr>
        <w:pBdr>
          <w:left w:val="single" w:color="111111" w:sz="22" w:space="7"/>
        </w:pBdr>
        <w:shd w:fill="F3F3F4" w:color="auto" w:val="clear"/>
        <w:spacing w:after="90" w:before="56" w:line="246"/>
        <w:ind w:left="180" w:right="110"/>
      </w:pPr>
      <w:r>
        <w:rPr>
          <w:rFonts w:ascii="Calibri" w:cs="Calibri" w:eastAsia="Calibri" w:hAnsi="Calibri"/>
          <w:sz w:val="17"/>
          <w:szCs w:val="17"/>
        </w:rPr>
        <w:t xml:space="preserve">⚖️  </w:t>
      </w: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Base legal — </w:t>
      </w:r>
      <w:r>
        <w:rPr>
          <w:rFonts w:ascii="Calibri" w:cs="Calibri" w:eastAsia="Calibri" w:hAnsi="Calibri"/>
          <w:color w:val="1F1F1F"/>
          <w:sz w:val="17"/>
          <w:szCs w:val="17"/>
        </w:rPr>
        <w:t xml:space="preserve">CLT (Decreto-Lei 5.452/43) · LGPD (Lei 13.709/18) · Lei 14.457/22 (assédio) · Normas Regulamentadoras NR-1, NR-5 e NR-6 · Convenções e Acordos Coletivos da categoria. Prevalece sempre a norma mais benéfica ao colaborador.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🤝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2 · Conduta, ética e patrimônio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Trate gestores, colegas, clientes e fornecedores com respeito e cordialidade. Um bom ambiente se constrói todos os dias. 😊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Respeite a estrutura hierárquica e as orientações compatíveis com a lei, com as normas internas e com as suas funções.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Brindes: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é proibido receber presentes de fornecedores ou clientes. São aceitos apenas brindes promocionais (agenda, caneca, copo) até R$ 50,00 por fornecedor/ano.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Equipamentos, ferramentas e veículos são de uso exclusivo do trabalho — nunca para fins pessoais. Use com cuidado e devolva em boas condições para o próximo colega.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🔒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3 · Confidencialidade e proteção de dados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Preserve o sigilo de informações, documentos e dados da empresa, dos clientes e dos parceiros.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Senhas e acessos são pessoais e intransferíveis: nunca os compartilhe.</w:t>
      </w:r>
    </w:p>
    <w:p>
      <w:pPr>
        <w:pBdr>
          <w:left w:val="single" w:color="111111" w:sz="24" w:space="8"/>
        </w:pBdr>
        <w:shd w:fill="F3F3F4" w:color="auto" w:val="clear"/>
        <w:spacing w:after="90" w:before="62" w:line="250"/>
        <w:ind w:left="190" w:right="120"/>
      </w:pPr>
      <w:r>
        <w:rPr>
          <w:rFonts w:ascii="Calibri" w:cs="Calibri" w:eastAsia="Calibri" w:hAnsi="Calibri"/>
          <w:sz w:val="19"/>
          <w:szCs w:val="19"/>
        </w:rPr>
        <w:t xml:space="preserve">⚖️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LGPD — Lei nº 13.709/2018</w:t>
      </w:r>
      <w:r>
        <w:rPr>
          <w:rFonts w:ascii="Calibri" w:cs="Calibri" w:eastAsia="Calibri" w:hAnsi="Calibri"/>
          <w:color w:val="1F1F1F"/>
          <w:sz w:val="18"/>
          <w:szCs w:val="18"/>
        </w:rPr>
        <w:br/>
        <w:t xml:space="preserve">Usar, compartilhar ou guardar dados pessoais só é permitido dentro da finalidade do seu trabalho. Na dúvida sobre o que fazer com uma informação, pergunte antes de agir.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⏰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4 · Jornada de trabalho e ponto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Registre os quatro marcos do dia: entrada, saída e retorno do almoço e saída. A tolerância máxima é de 10 minutos por dia.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Errou o registro? Procure o superior e ajuste. O ponto é registrado nas dependências da empresa (exceto atendimento externo autorizado).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Faltas ou afastamentos: avise o RH e o líder com antecedência sempre que possível.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Horas extras só com autorização prévia, compensadas via Banco de Horas.</w:t>
      </w:r>
    </w:p>
    <w:p>
      <w:pPr>
        <w:pBdr>
          <w:left w:val="single" w:color="D64545" w:sz="24" w:space="8"/>
        </w:pBdr>
        <w:shd w:fill="FDE9E9" w:color="auto" w:val="clear"/>
        <w:spacing w:after="90" w:before="62" w:line="250"/>
        <w:ind w:left="190" w:right="120"/>
      </w:pPr>
      <w:r>
        <w:rPr>
          <w:rFonts w:ascii="Calibri" w:cs="Calibri" w:eastAsia="Calibri" w:hAnsi="Calibri"/>
          <w:sz w:val="19"/>
          <w:szCs w:val="19"/>
        </w:rPr>
        <w:t xml:space="preserve">⚠️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Ponto é coisa séria</w:t>
      </w:r>
      <w:r>
        <w:rPr>
          <w:rFonts w:ascii="Calibri" w:cs="Calibri" w:eastAsia="Calibri" w:hAnsi="Calibri"/>
          <w:color w:val="1F1F1F"/>
          <w:sz w:val="18"/>
          <w:szCs w:val="18"/>
        </w:rPr>
        <w:br/>
        <w:t xml:space="preserve">Registrar o ponto por outro colega — ou pedir que registrem por você — é falta gravíssima e pode gerar demissão por justa causa (art. 482 da CLT).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🌴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5 · Férias   |   👕 6 · Uniforme, EPIs e materiais</w:t>
      </w:r>
    </w:p>
    <w:tbl>
      <w:tblPr>
        <w:tblW w:type="dxa" w:w="9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53"/>
        <w:gridCol w:w="4553"/>
      </w:tblGrid>
      <w:tr>
        <w:tc>
          <w:tcPr>
            <w:tcW w:type="dxa" w:w="45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60"/>
            </w:tcMar>
          </w:tcPr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Direito a férias após 12 meses de trabalho (período aquisitivo).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A empresa define o mês, conforme a cobertura das equipes; as datas constam no aviso de férias.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Agendamento com, no mínimo, 30 dias de antecedência.</w:t>
            </w:r>
          </w:p>
        </w:tc>
        <w:tc>
          <w:tcPr>
            <w:tcW w:type="dxa" w:w="45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60"/>
            </w:tcMar>
          </w:tcPr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Uso obrigatório de uniforme, crachá e EPIs a partir da entrega.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Sem uniforme ainda? Use vestimenta compatível com o ambiente profissional.</w:t>
            </w:r>
          </w:p>
          <w:p>
            <w:pPr>
              <w:spacing w:after="44" w:line="248"/>
              <w:ind w:left="250" w:hanging="200"/>
            </w:pPr>
            <w:r>
              <w:rPr>
                <w:rFonts w:ascii="Calibri" w:cs="Calibri" w:eastAsia="Calibri" w:hAnsi="Calibri"/>
                <w:b/>
                <w:bCs/>
                <w:color w:val="FFC40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Comunique de imediato dano, perda ou furto. Dano proposital pode ser falta grave, com ressarcimento quando aplicável.</w:t>
            </w:r>
          </w:p>
        </w:tc>
      </w:tr>
    </w:tbl>
    <w:p>
      <w:pPr>
        <w:pBdr>
          <w:left w:val="single" w:color="111111" w:sz="22" w:space="7"/>
        </w:pBdr>
        <w:shd w:fill="F3F3F4" w:color="auto" w:val="clear"/>
        <w:spacing w:after="90" w:before="56" w:line="246"/>
        <w:ind w:left="180" w:right="110"/>
      </w:pPr>
      <w:r>
        <w:rPr>
          <w:rFonts w:ascii="Calibri" w:cs="Calibri" w:eastAsia="Calibri" w:hAnsi="Calibri"/>
          <w:sz w:val="17"/>
          <w:szCs w:val="17"/>
        </w:rPr>
        <w:t xml:space="preserve">⚖️  </w:t>
      </w: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Base legal — </w:t>
      </w:r>
      <w:r>
        <w:rPr>
          <w:rFonts w:ascii="Calibri" w:cs="Calibri" w:eastAsia="Calibri" w:hAnsi="Calibri"/>
          <w:color w:val="1F1F1F"/>
          <w:sz w:val="17"/>
          <w:szCs w:val="17"/>
        </w:rPr>
        <w:t xml:space="preserve">Férias: 30 dias após cada período aquisitivo (art. 130 da CLT), aviso por escrito com 30 dias (art. 135) e pagamento com o acréscimo de 1/3.  ·  EPI (NR-6): fornecer é dever da empresa; usar e conservar é dever do colaborador — a recusa injustificada é ato faltoso.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🧹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7 · Ambiente de trabalho e convivência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Mantenha o ambiente e os equipamentos limpos e organizados para o próximo colega.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Celular particular só nos intervalos: ele atrapalha o trabalho e aumenta o risco de acidentes. 📵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Copa de uso coletivo: descarte o lixo na lixeira (nunca na pia), guarde apenas alimentos na validade e deixe os equipamentos limpos e desligados.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A internet nos equipamentos é só para o serviço. Não é permitida a entrada de pessoas não autorizadas nas dependências.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🛡️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8 · Saúde e segurança no trabalho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Siga os procedimentos, os treinamentos e a sinalização de segurança. Use os EPIs corretamente.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Comunique de imediato acidentes (mesmo pequenos) e qualquer situação de risco.</w:t>
      </w:r>
    </w:p>
    <w:p>
      <w:pPr>
        <w:pBdr>
          <w:left w:val="single" w:color="111111" w:sz="22" w:space="7"/>
        </w:pBdr>
        <w:shd w:fill="F3F3F4" w:color="auto" w:val="clear"/>
        <w:spacing w:after="90" w:before="56" w:line="246"/>
        <w:ind w:left="180" w:right="110"/>
      </w:pPr>
      <w:r>
        <w:rPr>
          <w:rFonts w:ascii="Calibri" w:cs="Calibri" w:eastAsia="Calibri" w:hAnsi="Calibri"/>
          <w:sz w:val="17"/>
          <w:szCs w:val="17"/>
        </w:rPr>
        <w:t xml:space="preserve">⚖️  </w:t>
      </w: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Base legal — </w:t>
      </w:r>
      <w:r>
        <w:rPr>
          <w:rFonts w:ascii="Calibri" w:cs="Calibri" w:eastAsia="Calibri" w:hAnsi="Calibri"/>
          <w:color w:val="1F1F1F"/>
          <w:sz w:val="17"/>
          <w:szCs w:val="17"/>
        </w:rPr>
        <w:t xml:space="preserve">A empresa mantém as medidas das Normas Regulamentadoras, incluindo o gerenciamento de riscos (NR-1) e a CIPA (NR-5), quando aplicável. Participe dos treinamentos e das campanhas de prevenção.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🌈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9 · Respeito, diversidade e não assédio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Respeitamos toda pessoa, sem distinção de gênero, raça, religião, orientação, idade, origem ou deficiência. Discriminação não é tolerada. 💛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Assédio moral ou sexual e violência não são aceitos.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Fale com o líder, o RH ou o canal da empresa: sigilo garantido e sem retaliação.</w:t>
      </w:r>
    </w:p>
    <w:p>
      <w:pPr>
        <w:pBdr>
          <w:left w:val="single" w:color="111111" w:sz="22" w:space="7"/>
        </w:pBdr>
        <w:shd w:fill="F3F3F4" w:color="auto" w:val="clear"/>
        <w:spacing w:after="90" w:before="56" w:line="246"/>
        <w:ind w:left="180" w:right="110"/>
      </w:pPr>
      <w:r>
        <w:rPr>
          <w:rFonts w:ascii="Calibri" w:cs="Calibri" w:eastAsia="Calibri" w:hAnsi="Calibri"/>
          <w:sz w:val="17"/>
          <w:szCs w:val="17"/>
        </w:rPr>
        <w:t xml:space="preserve">⚖️  </w:t>
      </w: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Base legal — </w:t>
      </w:r>
      <w:r>
        <w:rPr>
          <w:rFonts w:ascii="Calibri" w:cs="Calibri" w:eastAsia="Calibri" w:hAnsi="Calibri"/>
          <w:color w:val="1F1F1F"/>
          <w:sz w:val="17"/>
          <w:szCs w:val="17"/>
        </w:rPr>
        <w:t xml:space="preserve">Lei nº 14.457/2022: a empresa adota medidas de prevenção ao assédio e à violência no trabalho, com canal de denúncias e proteção a quem, de boa-fé, relata.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💻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10 · Recursos, internet e redes sociais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Equipamentos, sistemas e internet são ferramentas de trabalho: use-os para as suas funções.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Não fale em nome da empresa sem autorização, nem divulgue informações internas, de clientes ou de condomínios. Represente bem o Grupo TGA também no mundo digital. 🌐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⚖️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11 · Medidas disciplinares</w:t>
      </w:r>
    </w:p>
    <w:p>
      <w:pPr>
        <w:spacing w:after="56" w:before="0" w:line="25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Nossa primeira escolha é sempre o diálogo. As medidas seguem a gravidade, de forma proporcional e justa:</w:t>
      </w:r>
    </w:p>
    <w:p>
      <w:pPr>
        <w:spacing w:after="82" w:before="0" w:line="254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Orientação  →  Advertência  →  Suspensão  →  Justa causa. 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A justa causa aplica-se apenas às hipóteses do art. 482 da CLT. A maioria das situações, porém, se resolve com comunicação clara e boa vontade — se algo não estiver certo, fale. 😊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📝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12 · Disposições finais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Este regulamento pode ser revisto a qualquer tempo, com comunicação aos colaboradores. Casos omissos são tratados pela direção.</w:t>
      </w:r>
    </w:p>
    <w:p>
      <w:pPr>
        <w:spacing w:after="56" w:line="254"/>
        <w:ind w:left="300" w:hanging="220"/>
        <w:jc w:val="both"/>
      </w:pPr>
      <w:r>
        <w:rPr>
          <w:rFonts w:ascii="Calibri" w:cs="Calibri" w:eastAsia="Calibri" w:hAnsi="Calibri"/>
          <w:b/>
          <w:bCs/>
          <w:color w:val="FFC400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O descumprimento pode caracterizar falta disciplinar, conforme a legislação vigente. Para dúvidas, procure o seu líder imediato ou o RH.</w:t>
      </w:r>
    </w:p>
    <w:p>
      <w:pPr>
        <w:keepNext/>
        <w:pBdr>
          <w:bottom w:val="single" w:color="FFC400" w:sz="16" w:space="1"/>
        </w:pBdr>
        <w:shd w:fill="111111" w:color="auto" w:val="clear"/>
        <w:spacing w:after="90" w:before="16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📞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Contatos importantes</w:t>
      </w:r>
    </w:p>
    <w:tbl>
      <w:tblPr>
        <w:tblW w:type="dxa" w:w="9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53"/>
        <w:gridCol w:w="4553"/>
      </w:tblGrid>
      <w:tr>
        <w:tc>
          <w:tcPr>
            <w:tcW w:type="dxa" w:w="45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60"/>
            </w:tcMar>
          </w:tcPr>
          <w:p>
            <w:pPr>
              <w:spacing w:after="56" w:line="2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🧑‍💼  Líder imediato</w:t>
            </w:r>
          </w:p>
          <w:p>
            <w:pPr>
              <w:spacing w:after="120" w:line="256"/>
              <w:ind w:left="25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seu primeiro contato no dia a dia.</w:t>
            </w:r>
          </w:p>
          <w:p>
            <w:pPr>
              <w:spacing w:after="56" w:line="2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💛  Recursos Humanos (RH)</w:t>
            </w:r>
          </w:p>
          <w:p>
            <w:pPr>
              <w:spacing w:after="0" w:line="256"/>
              <w:ind w:left="25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dúvidas, documentos, férias, benefícios e acolhimento.</w:t>
            </w:r>
          </w:p>
        </w:tc>
        <w:tc>
          <w:tcPr>
            <w:tcW w:type="dxa" w:w="45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60"/>
            </w:tcMar>
          </w:tcPr>
          <w:p>
            <w:pPr>
              <w:spacing w:after="56" w:line="2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🚨  Emergências</w:t>
            </w:r>
          </w:p>
          <w:p>
            <w:pPr>
              <w:spacing w:after="60" w:line="256"/>
              <w:ind w:left="25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Azul Administradora:</w:t>
            </w:r>
          </w:p>
          <w:p>
            <w:pPr>
              <w:spacing w:after="0" w:line="256"/>
              <w:ind w:left="25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4"/>
                <w:szCs w:val="24"/>
              </w:rPr>
              <w:t xml:space="preserve">(73) 3268-2508</w:t>
            </w:r>
          </w:p>
          <w:p>
            <w:pPr>
              <w:spacing w:after="0" w:before="60" w:line="252"/>
              <w:ind w:left="250"/>
            </w:pPr>
            <w:r>
              <w:rPr>
                <w:rFonts w:ascii="Calibri" w:cs="Calibri" w:eastAsia="Calibri" w:hAnsi="Calibri"/>
                <w:i/>
                <w:iCs/>
                <w:color w:val="5A5A63"/>
                <w:sz w:val="18"/>
                <w:szCs w:val="18"/>
              </w:rPr>
              <w:t xml:space="preserve">Deixe à mão com seus familiares.</w:t>
            </w:r>
          </w:p>
        </w:tc>
      </w:tr>
    </w:tbl>
    <w:p>
      <w:pPr>
        <w:keepNext/>
        <w:pBdr>
          <w:bottom w:val="single" w:color="FFC400" w:sz="16" w:space="1"/>
        </w:pBdr>
        <w:shd w:fill="111111" w:color="auto" w:val="clear"/>
        <w:spacing w:after="90" w:before="200" w:line="264"/>
        <w:ind w:left="120" w:right="90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✍️  </w:t>
      </w:r>
      <w:r>
        <w:rPr>
          <w:rFonts w:ascii="Calibri" w:cs="Calibri" w:eastAsia="Calibri" w:hAnsi="Calibri"/>
          <w:b/>
          <w:bCs/>
          <w:caps/>
          <w:color w:val="FFFFFF"/>
          <w:spacing w:val="6"/>
          <w:sz w:val="21"/>
          <w:szCs w:val="21"/>
        </w:rPr>
        <w:t xml:space="preserve">Termo de ciência e compromisso</w:t>
      </w:r>
    </w:p>
    <w:p>
      <w:pPr>
        <w:spacing w:after="80" w:before="0" w:line="25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1F1F"/>
          <w:sz w:val="20"/>
          <w:szCs w:val="20"/>
        </w:rPr>
        <w:t xml:space="preserve">Declaro que recebi, li e compreendi o Regulamento Interno &amp; Código de Conduta do Grupo TGA (TGA Empreendimentos) e me comprometo a cumpri-lo, contribuindo para um ambiente de trabalho respeitoso, seguro e produtivo. Estou ciente de que este regulamento complementa o meu contrato de trabalho e a legislação vigente, podendo ser atualizado, com a devida comunicação.</w:t>
      </w:r>
    </w:p>
    <w:p>
      <w:pPr>
        <w:pBdr>
          <w:left w:val="single" w:color="111111" w:sz="24" w:space="8"/>
        </w:pBdr>
        <w:shd w:fill="FFC400" w:color="auto" w:val="clear"/>
        <w:spacing w:after="90" w:before="62" w:line="250"/>
        <w:ind w:left="190" w:right="120"/>
      </w:pPr>
      <w:r>
        <w:rPr>
          <w:rFonts w:ascii="Calibri" w:cs="Calibri" w:eastAsia="Calibri" w:hAnsi="Calibri"/>
          <w:sz w:val="19"/>
          <w:szCs w:val="19"/>
        </w:rPr>
        <w:t xml:space="preserve">⭐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Combinado é combinado 🤝</w:t>
      </w:r>
      <w:r>
        <w:rPr>
          <w:rFonts w:ascii="Calibri" w:cs="Calibri" w:eastAsia="Calibri" w:hAnsi="Calibri"/>
          <w:color w:val="1F1F1F"/>
          <w:sz w:val="18"/>
          <w:szCs w:val="18"/>
        </w:rPr>
        <w:br/>
        <w:t xml:space="preserve">Este guia é um compromisso de mão dupla: você cuida do seu papel, e a empresa cuida do ambiente, do respeito e das condições para você crescer. Vamos juntos!</w:t>
      </w:r>
    </w:p>
    <w:tbl>
      <w:tblPr>
        <w:tblW w:type="dxa" w:w="9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106"/>
      </w:tblGrid>
      <w:tr>
        <w:tc>
          <w:tcPr>
            <w:tcW w:type="dxa" w:w="9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pBdr>
                <w:top w:val="single" w:color="111111" w:sz="6" w:space="2"/>
              </w:pBdr>
              <w:spacing w:after="26" w:before="420" w:line="240"/>
            </w:pPr>
            <w:r>
              <w:rPr>
                <w:rFonts w:ascii="Calibri" w:cs="Calibri" w:eastAsia="Calibri" w:hAnsi="Calibri"/>
                <w:color w:val="5A5A63"/>
                <w:sz w:val="18"/>
                <w:szCs w:val="18"/>
              </w:rPr>
              <w:t xml:space="preserve">Nome completo do(a) colaborador(a)</w:t>
            </w:r>
          </w:p>
        </w:tc>
      </w:tr>
    </w:tbl>
    <w:tbl>
      <w:tblPr>
        <w:tblW w:type="dxa" w:w="9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63"/>
        <w:gridCol w:w="3643"/>
      </w:tblGrid>
      <w:tr>
        <w:tc>
          <w:tcPr>
            <w:tcW w:type="dxa" w:w="546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300"/>
            </w:tcMar>
          </w:tcPr>
          <w:p>
            <w:pPr>
              <w:pBdr>
                <w:top w:val="single" w:color="111111" w:sz="6" w:space="2"/>
              </w:pBdr>
              <w:spacing w:after="26" w:before="420" w:line="240"/>
            </w:pPr>
            <w:r>
              <w:rPr>
                <w:rFonts w:ascii="Calibri" w:cs="Calibri" w:eastAsia="Calibri" w:hAnsi="Calibri"/>
                <w:color w:val="5A5A63"/>
                <w:sz w:val="18"/>
                <w:szCs w:val="18"/>
              </w:rPr>
              <w:t xml:space="preserve">Cargo / Setor</w:t>
            </w:r>
          </w:p>
        </w:tc>
        <w:tc>
          <w:tcPr>
            <w:tcW w:type="dxa" w:w="364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pBdr>
                <w:top w:val="single" w:color="111111" w:sz="6" w:space="2"/>
              </w:pBdr>
              <w:spacing w:after="26" w:before="420" w:line="240"/>
            </w:pPr>
            <w:r>
              <w:rPr>
                <w:rFonts w:ascii="Calibri" w:cs="Calibri" w:eastAsia="Calibri" w:hAnsi="Calibri"/>
                <w:color w:val="5A5A63"/>
                <w:sz w:val="18"/>
                <w:szCs w:val="18"/>
              </w:rPr>
              <w:t xml:space="preserve">CPF</w:t>
            </w:r>
          </w:p>
        </w:tc>
      </w:tr>
    </w:tbl>
    <w:tbl>
      <w:tblPr>
        <w:tblW w:type="dxa" w:w="9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63"/>
        <w:gridCol w:w="3643"/>
      </w:tblGrid>
      <w:tr>
        <w:tc>
          <w:tcPr>
            <w:tcW w:type="dxa" w:w="546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300"/>
            </w:tcMar>
          </w:tcPr>
          <w:p>
            <w:pPr>
              <w:pBdr>
                <w:top w:val="single" w:color="111111" w:sz="6" w:space="2"/>
              </w:pBdr>
              <w:spacing w:after="26" w:before="420" w:line="240"/>
            </w:pPr>
            <w:r>
              <w:rPr>
                <w:rFonts w:ascii="Calibri" w:cs="Calibri" w:eastAsia="Calibri" w:hAnsi="Calibri"/>
                <w:color w:val="5A5A63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64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pBdr>
                <w:top w:val="single" w:color="111111" w:sz="6" w:space="2"/>
              </w:pBdr>
              <w:spacing w:after="26" w:before="420" w:line="240"/>
            </w:pPr>
            <w:r>
              <w:rPr>
                <w:rFonts w:ascii="Calibri" w:cs="Calibri" w:eastAsia="Calibri" w:hAnsi="Calibri"/>
                <w:color w:val="5A5A63"/>
                <w:sz w:val="18"/>
                <w:szCs w:val="18"/>
              </w:rPr>
              <w:t xml:space="preserve">Local e data</w:t>
            </w:r>
          </w:p>
        </w:tc>
      </w:tr>
    </w:tbl>
    <w:p>
      <w:pPr>
        <w:spacing w:after="40" w:before="340"/>
        <w:jc w:val="center"/>
      </w:pPr>
      <w:r>
        <w:drawing>
          <wp:inline distT="0" distB="0" distL="0" distR="0">
            <wp:extent cx="1428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5A5A63"/>
          <w:sz w:val="18"/>
          <w:szCs w:val="18"/>
        </w:rPr>
        <w:t xml:space="preserve">Obrigado por fazer parte do nosso time. Conte com a gente. 💛</w:t>
      </w:r>
    </w:p>
    <w:sectPr>
      <w:footerReference w:type="default" r:id="rId7"/>
      <w:pgSz w:w="11906" w:h="16838" w:orient="portrait"/>
      <w:pgMar w:top="1300" w:right="1400" w:bottom="1150" w:left="1400" w:header="708" w:footer="52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8" w:space="6"/>
      </w:pBdr>
      <w:tabs>
        <w:tab w:val="center" w:pos="4553"/>
        <w:tab w:val="right" w:pos="9106"/>
      </w:tabs>
      <w:spacing w:before="0"/>
    </w:pPr>
    <w:r>
      <w:rPr>
        <w:rFonts w:ascii="Calibri" w:cs="Calibri" w:eastAsia="Calibri" w:hAnsi="Calibri"/>
        <w:color w:val="5A5A63"/>
        <w:sz w:val="15"/>
        <w:szCs w:val="15"/>
      </w:rPr>
      <w:t xml:space="preserve">TGA Empreendimentos</w:t>
    </w:r>
    <w:r>
      <w:rPr>
        <w:rFonts w:ascii="Calibri" w:cs="Calibri" w:eastAsia="Calibri" w:hAnsi="Calibri"/>
        <w:color w:val="5A5A63"/>
        <w:sz w:val="15"/>
        <w:szCs w:val="15"/>
      </w:rPr>
      <w:t xml:space="preserve">	Regulamento Interno · Versão 1.0 — 2026	</w:t>
    </w:r>
    <w:r>
      <w:rPr>
        <w:rFonts w:ascii="Calibri" w:cs="Calibri" w:eastAsia="Calibri" w:hAnsi="Calibri"/>
        <w:color w:val="5A5A63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f7f92f3b718aabe614235be4a504b2972cec95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Regulamento Interno &amp; Código de Conduta - TGA Empreendimentos</dc:title>
  <dc:creator>TGA Empreendimentos</dc:creator>
  <dc:description>Guia do Colaborador</dc:description>
  <cp:lastModifiedBy>Un-named</cp:lastModifiedBy>
  <cp:revision>1</cp:revision>
  <dcterms:created xsi:type="dcterms:W3CDTF">2026-07-24T17:19:07.091Z</dcterms:created>
  <dcterms:modified xsi:type="dcterms:W3CDTF">2026-07-24T17:19:07.091Z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