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32.png" ContentType="image/png"/>
  <Override PartName="/word/media/rId36.png" ContentType="image/png"/>
  <Override PartName="/word/media/rId73.png" ContentType="image/png"/>
  <Override PartName="/word/media/rId70.png" ContentType="image/png"/>
  <Override PartName="/word/media/rId81.png" ContentType="image/png"/>
  <Override PartName="/word/media/rId87.png" ContentType="image/png"/>
  <Override PartName="/word/media/rId84.png" ContentType="image/png"/>
  <Override PartName="/word/media/rId45.png" ContentType="image/png"/>
  <Override PartName="/word/media/rId65.png" ContentType="image/png"/>
  <Override PartName="/word/media/rId49.png" ContentType="image/png"/>
  <Override PartName="/word/media/rId52.png" ContentType="image/png"/>
  <Override PartName="/word/media/rId41.png" ContentType="image/png"/>
  <Override PartName="/word/media/rId28.png" ContentType="image/png"/>
  <Override PartName="/word/media/rId57.png" ContentType="image/png"/>
  <Override PartName="/word/media/rId7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00dce59718111640761be3ce6cac07bd4bdd845"/>
    <w:p>
      <w:pPr>
        <w:pStyle w:val="Heading1"/>
      </w:pPr>
      <w:r>
        <w:t xml:space="preserve">Ocupação e rendimento nos estratos do Piauí — 2º trimestre de 2026</w:t>
      </w:r>
    </w:p>
    <w:p>
      <w:pPr>
        <w:pStyle w:val="BlockText"/>
      </w:pPr>
      <w:r>
        <w:t xml:space="preserve">Duas construções são resolvidas pelo script: as diretivas</w:t>
      </w:r>
      <w:r>
        <w:t xml:space="preserve"> </w:t>
      </w:r>
      <w:r>
        <w:rPr>
          <w:rStyle w:val="VerbatimChar"/>
        </w:rPr>
        <w:t xml:space="preserve">&lt;!-- @tabela ... --&gt;</w:t>
      </w:r>
      <w:r>
        <w:t xml:space="preserve">, que viram tabelas inteiras, e as expressões</w:t>
      </w:r>
      <w:r>
        <w:t xml:space="preserve"> </w:t>
      </w:r>
      <w:r>
        <w:rPr>
          <w:rStyle w:val="VerbatimChar"/>
        </w:rPr>
        <w:t xml:space="preserve">{{est Indicador Geografia}}</w:t>
      </w:r>
      <w:r>
        <w:t xml:space="preserve">, que viram números. Uma terceira,</w:t>
      </w:r>
      <w:r>
        <w:t xml:space="preserve"> </w:t>
      </w:r>
      <w:r>
        <w:rPr>
          <w:rStyle w:val="VerbatimChar"/>
        </w:rPr>
        <w:t xml:space="preserve">&lt;!-- @redigir: ... --&gt;</w:t>
      </w:r>
      <w:r>
        <w:t xml:space="preserve">, marca o que depende de leitura humana e sai no</w:t>
      </w:r>
      <w:r>
        <w:t xml:space="preserve"> </w:t>
      </w:r>
      <w:r>
        <w:t xml:space="preserve">arquivo gerado como um bloco</w:t>
      </w:r>
      <w:r>
        <w:t xml:space="preserve"> </w:t>
      </w:r>
      <w:r>
        <w:rPr>
          <w:bCs/>
          <w:b/>
        </w:rPr>
        <w:t xml:space="preserve">A REDIGIR</w:t>
      </w:r>
      <w:r>
        <w:t xml:space="preserve"> </w:t>
      </w:r>
      <w:r>
        <w:t xml:space="preserve">— são os trechos de</w:t>
      </w:r>
      <w:r>
        <w:t xml:space="preserve"> </w:t>
      </w:r>
      <w:r>
        <w:t xml:space="preserve">interpretação, que nenhuma consulta a CSV resolve.</w:t>
      </w:r>
    </w:p>
    <w:p>
      <w:pPr>
        <w:pStyle w:val="BlockText"/>
      </w:pPr>
      <w:r>
        <w:t xml:space="preserve">O script FALHA se sobrar qualquer marcador não resolvido, de propósito: um</w:t>
      </w:r>
      <w:r>
        <w:t xml:space="preserve"> </w:t>
      </w:r>
      <w:r>
        <w:t xml:space="preserve">relatório meio preenchido publicado por engano é pior que nenhum.</w:t>
      </w:r>
    </w:p>
    <w:p>
      <w:pPr>
        <w:pStyle w:val="BlockText"/>
      </w:pPr>
      <w:r>
        <w:rPr>
          <w:bCs/>
          <w:b/>
        </w:rPr>
        <w:t xml:space="preserve">Regra que decide o que entra no corpo do texto:</w:t>
      </w:r>
      <w:r>
        <w:t xml:space="preserve"> </w:t>
      </w:r>
      <w:r>
        <w:t xml:space="preserve">um recorte demográfico</w:t>
      </w:r>
      <w:r>
        <w:t xml:space="preserve"> </w:t>
      </w:r>
      <w:r>
        <w:t xml:space="preserve">só é comentado aqui se,</w:t>
      </w:r>
      <w:r>
        <w:t xml:space="preserve"> </w:t>
      </w:r>
      <w:r>
        <w:rPr>
          <w:iCs/>
          <w:i/>
        </w:rPr>
        <w:t xml:space="preserve">naquele recorte geográfico</w:t>
      </w:r>
      <w:r>
        <w:t xml:space="preserve">, a diferença for</w:t>
      </w:r>
      <w:r>
        <w:t xml:space="preserve"> </w:t>
      </w:r>
      <w:r>
        <w:t xml:space="preserve">significativa</w:t>
      </w:r>
      <w:r>
        <w:t xml:space="preserve"> </w:t>
      </w:r>
      <w:r>
        <w:rPr>
          <w:bCs/>
          <w:b/>
        </w:rPr>
        <w:t xml:space="preserve">pelo p-valor ajustado</w:t>
      </w:r>
      <w:r>
        <w:t xml:space="preserve"> </w:t>
      </w:r>
      <w:r>
        <w:t xml:space="preserve">(coluna</w:t>
      </w:r>
      <w:r>
        <w:t xml:space="preserve"> </w:t>
      </w:r>
      <w:r>
        <w:rPr>
          <w:rStyle w:val="VerbatimChar"/>
        </w:rPr>
        <w:t xml:space="preserve">p_ajustado</w:t>
      </w:r>
      <w:r>
        <w:t xml:space="preserve">, que corrige o</w:t>
      </w:r>
      <w:r>
        <w:t xml:space="preserve"> </w:t>
      </w:r>
      <w:r>
        <w:t xml:space="preserve">volume de comparações)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o CV ficar abaixo de 15% em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</w:t>
      </w:r>
      <w:r>
        <w:t xml:space="preserve"> </w:t>
      </w:r>
      <w:r>
        <w:t xml:space="preserve">categorias demográficas e em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 categorias geográficas do recorte.</w:t>
      </w:r>
      <w:r>
        <w:t xml:space="preserve"> </w:t>
      </w:r>
      <w:r>
        <w:t xml:space="preserve">Basta uma célula acima de 15% para o recorte inteiro sair do corpo do texto e</w:t>
      </w:r>
      <w:r>
        <w:t xml:space="preserve"> </w:t>
      </w:r>
      <w:r>
        <w:t xml:space="preserve">ir para o anexo metodológico. A regra é conservadora de propósito: comentar</w:t>
      </w:r>
      <w:r>
        <w:t xml:space="preserve"> </w:t>
      </w:r>
      <w:r>
        <w:t xml:space="preserve">uma diferença entre homens e mulheres que só aparece em metade dos estratos —</w:t>
      </w:r>
      <w:r>
        <w:t xml:space="preserve"> </w:t>
      </w:r>
      <w:r>
        <w:t xml:space="preserve">e some na outra metade por imprecisão amostral — é pior do que não comentar.</w:t>
      </w:r>
    </w:p>
    <w:p>
      <w:r>
        <w:pict>
          <v:rect style="width:0;height:1.5pt" o:hralign="center" o:hrstd="t" o:hr="t"/>
        </w:pict>
      </w:r>
    </w:p>
    <w:bookmarkStart w:id="20" w:name="introdução"/>
    <w:p>
      <w:pPr>
        <w:pStyle w:val="Heading2"/>
      </w:pPr>
      <w:r>
        <w:t xml:space="preserve">1 Introdução</w:t>
      </w:r>
    </w:p>
    <w:p>
      <w:pPr>
        <w:pStyle w:val="FirstParagraph"/>
      </w:pPr>
      <w:r>
        <w:rPr>
          <w:bCs/>
          <w:b/>
        </w:rPr>
        <w:t xml:space="preserve">Tabela 1</w:t>
      </w:r>
      <w:r>
        <w:t xml:space="preserve"> </w:t>
      </w:r>
      <w:r>
        <w:t xml:space="preserve">— Indicadores de trabalho e rendimento — Brasil, Nordeste, Piauí e</w:t>
      </w:r>
      <w:r>
        <w:t xml:space="preserve"> </w:t>
      </w:r>
      <w:r>
        <w:t xml:space="preserve">Teresina — até 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manter a Tabela 1 do relatorio.docx (série histórica de Brasil, Nordeste, Piauí e Teresina), acrescentando a coluna do trimestre corrente. Ela não é gerada pelo pipeline, que estima um trimestre por vez.</w:t>
      </w:r>
    </w:p>
    <w:p>
      <w:pPr>
        <w:pStyle w:val="FirstParagraph"/>
      </w:pPr>
      <w:r>
        <w:t xml:space="preserve">Fonte: IBGE — Pesquisa Nacional por Amostra de Domicílios Contínua trimestral.</w:t>
      </w:r>
      <w:r>
        <w:t xml:space="preserve"> </w:t>
      </w:r>
      <w:r>
        <w:t xml:space="preserve">Elaboração própria.</w:t>
      </w:r>
    </w:p>
    <w:p>
      <w:r>
        <w:pict>
          <v:rect style="width:0;height:1.5pt" o:hralign="center" o:hrstd="t" o:hr="t"/>
        </w:pict>
      </w:r>
    </w:p>
    <w:bookmarkEnd w:id="20"/>
    <w:bookmarkStart w:id="26" w:name="metodologia"/>
    <w:p>
      <w:pPr>
        <w:pStyle w:val="Heading2"/>
      </w:pPr>
      <w:r>
        <w:t xml:space="preserve">2 Metodologia</w:t>
      </w:r>
    </w:p>
    <w:bookmarkStart w:id="21" w:name="dimensões-e-indicadores-analisados"/>
    <w:p>
      <w:pPr>
        <w:pStyle w:val="Heading3"/>
      </w:pPr>
      <w:r>
        <w:t xml:space="preserve">2.1 Dimensões e indicadores analisados</w:t>
      </w:r>
    </w:p>
    <w:bookmarkEnd w:id="21"/>
    <w:bookmarkStart w:id="22" w:name="recortes-geográficos"/>
    <w:p>
      <w:pPr>
        <w:pStyle w:val="Heading3"/>
      </w:pPr>
      <w:r>
        <w:t xml:space="preserve">2.2 Recortes geográficos</w:t>
      </w:r>
    </w:p>
    <w:bookmarkEnd w:id="22"/>
    <w:bookmarkStart w:id="23" w:name="recortes-demográficos"/>
    <w:p>
      <w:pPr>
        <w:pStyle w:val="Heading3"/>
      </w:pPr>
      <w:r>
        <w:t xml:space="preserve">2.3 Recortes demográficos</w:t>
      </w:r>
    </w:p>
    <w:bookmarkEnd w:id="23"/>
    <w:bookmarkStart w:id="24" w:name="robustez-dos-indicadores-estimados"/>
    <w:p>
      <w:pPr>
        <w:pStyle w:val="Heading3"/>
      </w:pPr>
      <w:r>
        <w:t xml:space="preserve">2.4 Robustez dos indicadores estimados</w:t>
      </w:r>
    </w:p>
    <w:bookmarkEnd w:id="24"/>
    <w:bookmarkStart w:id="25" w:name="comparações-entre-os-recortes"/>
    <w:p>
      <w:pPr>
        <w:pStyle w:val="Heading3"/>
      </w:pPr>
      <w:r>
        <w:t xml:space="preserve">2.5 Comparações entre os recortes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96" w:name="análise-dos-resultados"/>
    <w:p>
      <w:pPr>
        <w:pStyle w:val="Heading2"/>
      </w:pPr>
      <w:r>
        <w:t xml:space="preserve">3 Análise dos resultados</w:t>
      </w:r>
    </w:p>
    <w:bookmarkStart w:id="27" w:name="como-ler-esta-seção"/>
    <w:p>
      <w:pPr>
        <w:pStyle w:val="Heading3"/>
      </w:pPr>
      <w:r>
        <w:t xml:space="preserve">3.1 Como ler esta seção</w:t>
      </w:r>
    </w:p>
    <w:p>
      <w:pPr>
        <w:pStyle w:val="FirstParagraph"/>
      </w:pPr>
      <w:r>
        <w:t xml:space="preserve">As quatro subseções a seguir seguem a mesma estrutura: um indicador principal,</w:t>
      </w:r>
      <w:r>
        <w:t xml:space="preserve"> </w:t>
      </w:r>
      <w:r>
        <w:t xml:space="preserve">que responde à pergunta central da dimensão, e indicadores auxiliares, que</w:t>
      </w:r>
      <w:r>
        <w:t xml:space="preserve"> </w:t>
      </w:r>
      <w:r>
        <w:t xml:space="preserve">qualificam a resposta. Cada uma traz uma tabela com as estimativas por recorte</w:t>
      </w:r>
      <w:r>
        <w:t xml:space="preserve"> </w:t>
      </w:r>
      <w:r>
        <w:t xml:space="preserve">geográfico, um gráfico com os intervalos de confiança e um texto que aponta as</w:t>
      </w:r>
      <w:r>
        <w:t xml:space="preserve"> </w:t>
      </w:r>
      <w:r>
        <w:t xml:space="preserve">diferenças relevantes.</w:t>
      </w:r>
    </w:p>
    <w:p>
      <w:pPr>
        <w:pStyle w:val="BodyText"/>
      </w:pPr>
      <w:r>
        <w:t xml:space="preserve">Três chaves de leitura ajudam a interpretar os números:</w:t>
      </w:r>
    </w:p>
    <w:p>
      <w:pPr>
        <w:pStyle w:val="BodyText"/>
      </w:pPr>
      <w:r>
        <w:rPr>
          <w:bCs/>
          <w:b/>
        </w:rPr>
        <w:t xml:space="preserve">O intervalo importa mais que o ponto.</w:t>
      </w:r>
      <w:r>
        <w:t xml:space="preserve"> </w:t>
      </w:r>
      <w:r>
        <w:t xml:space="preserve">Toda estimativa aqui vem de uma</w:t>
      </w:r>
      <w:r>
        <w:t xml:space="preserve"> </w:t>
      </w:r>
      <w:r>
        <w:t xml:space="preserve">amostra, não de um censo. Quando os intervalos de confiança de dois estratos se</w:t>
      </w:r>
      <w:r>
        <w:t xml:space="preserve"> </w:t>
      </w:r>
      <w:r>
        <w:t xml:space="preserve">sobrepõem, a diferença entre eles pode ser apenas ruído amostral — mesmo que os</w:t>
      </w:r>
      <w:r>
        <w:t xml:space="preserve"> </w:t>
      </w:r>
      <w:r>
        <w:t xml:space="preserve">valores centrais pareçam distantes. Por isso o gráfico mostra a barra inteira,</w:t>
      </w:r>
      <w:r>
        <w:t xml:space="preserve"> </w:t>
      </w:r>
      <w:r>
        <w:t xml:space="preserve">e não só o ponto.</w:t>
      </w:r>
    </w:p>
    <w:p>
      <w:pPr>
        <w:pStyle w:val="BodyText"/>
      </w:pPr>
      <w:r>
        <w:rPr>
          <w:bCs/>
          <w:b/>
        </w:rPr>
        <w:t xml:space="preserve">Nem toda estimativa tem o mesmo peso.</w:t>
      </w:r>
      <w:r>
        <w:t xml:space="preserve"> </w:t>
      </w:r>
      <w:r>
        <w:t xml:space="preserve">A coluna de precisão classifica cada</w:t>
      </w:r>
      <w:r>
        <w:t xml:space="preserve"> </w:t>
      </w:r>
      <w:r>
        <w:t xml:space="preserve">número pelo coeficiente de variação: quanto menor, mais confiável. Estimativas</w:t>
      </w:r>
      <w:r>
        <w:t xml:space="preserve"> </w:t>
      </w:r>
      <w:r>
        <w:t xml:space="preserve">marcadas como</w:t>
      </w:r>
      <w:r>
        <w:t xml:space="preserve"> </w:t>
      </w:r>
      <w:r>
        <w:rPr>
          <w:iCs/>
          <w:i/>
        </w:rPr>
        <w:t xml:space="preserve">regular</w:t>
      </w:r>
      <w:r>
        <w:t xml:space="preserve"> </w:t>
      </w:r>
      <w:r>
        <w:t xml:space="preserve">devem ser lidas com cautela; as marcadas como</w:t>
      </w:r>
      <w:r>
        <w:t xml:space="preserve"> </w:t>
      </w:r>
      <w:r>
        <w:rPr>
          <w:iCs/>
          <w:i/>
        </w:rPr>
        <w:t xml:space="preserve">baixa</w:t>
      </w:r>
      <w:r>
        <w:t xml:space="preserve"> </w:t>
      </w:r>
      <w:r>
        <w:t xml:space="preserve">aparecem na tabela por completude, mas não sustentam conclusão. Isso é</w:t>
      </w:r>
      <w:r>
        <w:t xml:space="preserve"> </w:t>
      </w:r>
      <w:r>
        <w:t xml:space="preserve">esperado — quanto mais fino o recorte territorial, menos pessoas da amostra</w:t>
      </w:r>
      <w:r>
        <w:t xml:space="preserve"> </w:t>
      </w:r>
      <w:r>
        <w:t xml:space="preserve">caem dentro dele.</w:t>
      </w:r>
    </w:p>
    <w:p>
      <w:pPr>
        <w:pStyle w:val="BodyText"/>
      </w:pPr>
      <w:r>
        <w:rPr>
          <w:bCs/>
          <w:b/>
        </w:rPr>
        <w:t xml:space="preserve">Diferença visível não é diferença comprovada.</w:t>
      </w:r>
      <w:r>
        <w:t xml:space="preserve"> </w:t>
      </w:r>
      <w:r>
        <w:t xml:space="preserve">A última linha de cada</w:t>
      </w:r>
      <w:r>
        <w:t xml:space="preserve"> </w:t>
      </w:r>
      <w:r>
        <w:t xml:space="preserve">tabela traz o teste que responde se as diferenças entre as categorias daquele</w:t>
      </w:r>
      <w:r>
        <w:t xml:space="preserve"> </w:t>
      </w:r>
      <w:r>
        <w:t xml:space="preserve">recorte são estatisticamente significativas. É esse teste, e não a inspeção</w:t>
      </w:r>
      <w:r>
        <w:t xml:space="preserve"> </w:t>
      </w:r>
      <w:r>
        <w:t xml:space="preserve">visual da tabela, que autoriza afirmar que dois estratos são diferentes. O</w:t>
      </w:r>
      <w:r>
        <w:t xml:space="preserve"> </w:t>
      </w:r>
      <w:r>
        <w:t xml:space="preserve">p-valor usado é o</w:t>
      </w:r>
      <w:r>
        <w:t xml:space="preserve"> </w:t>
      </w:r>
      <w:r>
        <w:rPr>
          <w:bCs/>
          <w:b/>
        </w:rPr>
        <w:t xml:space="preserve">ajustado</w:t>
      </w:r>
      <w:r>
        <w:t xml:space="preserve">: como o relatório faz centenas de comparações</w:t>
      </w:r>
      <w:r>
        <w:t xml:space="preserve"> </w:t>
      </w:r>
      <w:r>
        <w:t xml:space="preserve">por trimestre, algumas sairiam significativas por puro acaso, e a correção</w:t>
      </w:r>
      <w:r>
        <w:t xml:space="preserve"> </w:t>
      </w:r>
      <w:r>
        <w:t xml:space="preserve">desconta esse efeito.</w:t>
      </w:r>
    </w:p>
    <w:p>
      <w:r>
        <w:pict>
          <v:rect style="width:0;height:1.5pt" o:hralign="center" o:hrstd="t" o:hr="t"/>
        </w:pict>
      </w:r>
    </w:p>
    <w:bookmarkEnd w:id="27"/>
    <w:bookmarkStart w:id="40" w:name="desocupação"/>
    <w:p>
      <w:pPr>
        <w:pStyle w:val="Heading3"/>
      </w:pPr>
      <w:r>
        <w:t xml:space="preserve">3.2 Desocupação</w:t>
      </w:r>
    </w:p>
    <w:p>
      <w:pPr>
        <w:pStyle w:val="FirstParagraph"/>
      </w:pPr>
      <w:r>
        <w:t xml:space="preserve">Esta dimensão responde à pergunta mais direta que se pode fazer sobre um</w:t>
      </w:r>
      <w:r>
        <w:t xml:space="preserve"> </w:t>
      </w:r>
      <w:r>
        <w:t xml:space="preserve">mercado de trabalho: quem procura emprego está conseguindo encontrar? A taxa de</w:t>
      </w:r>
      <w:r>
        <w:t xml:space="preserve"> </w:t>
      </w:r>
      <w:r>
        <w:t xml:space="preserve">desocupação mede isso para a população em geral. Os dois indicadores auxiliares</w:t>
      </w:r>
      <w:r>
        <w:t xml:space="preserve"> </w:t>
      </w:r>
      <w:r>
        <w:t xml:space="preserve">deslocam a pergunta para onde a resposta dói mais — o orçamento doméstico:</w:t>
      </w:r>
      <w:r>
        <w:t xml:space="preserve"> </w:t>
      </w:r>
      <w:r>
        <w:t xml:space="preserve">quando quem está sem trabalho é a pessoa responsável pelo domicílio, ou quem</w:t>
      </w:r>
      <w:r>
        <w:t xml:space="preserve"> </w:t>
      </w:r>
      <w:r>
        <w:t xml:space="preserve">divide com ela o sustento da casa, o desemprego deixa de ser um problema</w:t>
      </w:r>
      <w:r>
        <w:t xml:space="preserve"> </w:t>
      </w:r>
      <w:r>
        <w:t xml:space="preserve">individual e vira um problema familiar.</w:t>
      </w:r>
    </w:p>
    <w:bookmarkStart w:id="31" w:name="taxa-de-desocupação"/>
    <w:p>
      <w:pPr>
        <w:pStyle w:val="Heading4"/>
      </w:pPr>
      <w:r>
        <w:t xml:space="preserve">3.2.1 Taxa de desocupação</w:t>
      </w:r>
    </w:p>
    <w:p>
      <w:pPr>
        <w:pStyle w:val="FirstParagraph"/>
      </w:pPr>
      <w:r>
        <w:rPr>
          <w:bCs/>
          <w:b/>
        </w:rPr>
        <w:t xml:space="preserve">Tabela 2</w:t>
      </w:r>
      <w:r>
        <w:t xml:space="preserve"> </w:t>
      </w:r>
      <w:r>
        <w:t xml:space="preserve">— Taxa de desocupação,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[5,2; 5,5]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[7,3; 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[7,1; 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[6,3; 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[8,2; 13,6]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[11,8;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[6,4; 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[11,8;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[6,1; 10,3]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[4,0; 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[6,5; 13,4]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2220020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[12,3; 26,3]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[2,2; 7,4]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os 13 estratos de 7 dígitos aparecem na íntegra no anexo</w:t>
      </w:r>
      <w:r>
        <w:t xml:space="preserve"> </w:t>
      </w:r>
      <w:r>
        <w:t xml:space="preserve">metodológico; aqui são exibidos apenas os extremos.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desocupação por recorte geográfico" title="" id="29" name="Picture"/>
            <a:graphic>
              <a:graphicData uri="http://schemas.openxmlformats.org/drawingml/2006/picture">
                <pic:pic>
                  <pic:nvPicPr>
                    <pic:cNvPr descr="./output/figuras/comp_geo_Taxa_Desocupac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desocupação por recorte geográfico</w:t>
      </w:r>
    </w:p>
    <w:p>
      <w:pPr>
        <w:pStyle w:val="BodyTex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Taxa de desocupação por recorte geográfico, com intervalo de</w:t>
      </w:r>
      <w:r>
        <w:t xml:space="preserve"> </w:t>
      </w:r>
      <w:r>
        <w:t xml:space="preserve">confiança de 95% — 2º trimestre de 2026</w:t>
      </w:r>
    </w:p>
    <w:p>
      <w:pPr>
        <w:pStyle w:val="BodyText"/>
      </w:pPr>
      <w:r>
        <w:t xml:space="preserve">O Piauí registrou taxa de desocupação de 8,3%, ante</w:t>
      </w:r>
      <w:r>
        <w:t xml:space="preserve"> </w:t>
      </w:r>
      <w:r>
        <w:t xml:space="preserve">7,6% no Nordeste e 5,4%</w:t>
      </w:r>
      <w:r>
        <w:t xml:space="preserve"> </w:t>
      </w:r>
      <w:r>
        <w:t xml:space="preserve">no Brasil. Dentro do estado, a distância entre o estrato com maior e menor</w:t>
      </w:r>
      <w:r>
        <w:t xml:space="preserve"> </w:t>
      </w:r>
      <w:r>
        <w:t xml:space="preserve">desocupação foi de 14,5 pontos percentuais, separando</w:t>
      </w:r>
      <w:r>
        <w:t xml:space="preserve"> </w:t>
      </w:r>
      <w:r>
        <w:t xml:space="preserve">estrato 2220020 (19,3%)</w:t>
      </w:r>
      <w:r>
        <w:t xml:space="preserve"> </w:t>
      </w:r>
      <w:r>
        <w:t xml:space="preserve">de estrato 2210013 (4,8%).</w:t>
      </w:r>
    </w:p>
    <w:p>
      <w:pPr>
        <w:pStyle w:val="BodyText"/>
      </w:pPr>
      <w:r>
        <w:t xml:space="preserve">A diferença</w:t>
      </w:r>
      <w:r>
        <w:t xml:space="preserve"> </w:t>
      </w:r>
      <w:r>
        <w:t xml:space="preserve">entre Teresina e o restante do estado não alcançou significância estatística</w:t>
      </w:r>
      <w:r>
        <w:t xml:space="preserve"> </w:t>
      </w:r>
      <w:r>
        <w:t xml:space="preserve">neste trimestre (p ajustado = 0,064), o</w:t>
      </w:r>
      <w:r>
        <w:t xml:space="preserve"> </w:t>
      </w:r>
      <w:r>
        <w:t xml:space="preserve">que recomenda cautela antes de tratá-la como um padrão consolidado.</w:t>
      </w:r>
    </w:p>
    <w:p>
      <w:pPr>
        <w:pStyle w:val="BodyText"/>
      </w:pPr>
      <w:r>
        <w:t xml:space="preserve">A comparação entre zona urbana e rural merece atenção específica, porque a</w:t>
      </w:r>
      <w:r>
        <w:t xml:space="preserve"> </w:t>
      </w:r>
      <w:r>
        <w:t xml:space="preserve">desocupação rural costuma ser estruturalmente mais baixa por um motivo que não</w:t>
      </w:r>
      <w:r>
        <w:t xml:space="preserve"> </w:t>
      </w:r>
      <w:r>
        <w:t xml:space="preserve">é positivo: parte da população ocupada na agricultura familiar não procura</w:t>
      </w:r>
      <w:r>
        <w:t xml:space="preserve"> </w:t>
      </w:r>
      <w:r>
        <w:t xml:space="preserve">trabalho no sentido que a pesquisa capta, e por isso não é contada como</w:t>
      </w:r>
      <w:r>
        <w:t xml:space="preserve"> </w:t>
      </w:r>
      <w:r>
        <w:t xml:space="preserve">desocupada. Neste trimestre a diferença foi de 3,4</w:t>
      </w:r>
      <w:r>
        <w:t xml:space="preserve"> </w:t>
      </w:r>
      <w:r>
        <w:t xml:space="preserve">pontos (*).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da desocupação — incluir só se o recorte for significativo E o CV ficar abaixo de 15% em TODAS as subdivisões de cada corte geográfico (ver anexo §5.3). Consultar output/tabelas/comparacao_demografica_</w:t>
      </w:r>
      <w:r>
        <w:t xml:space="preserve">.csv.</w:t>
      </w:r>
    </w:p>
    <w:bookmarkEnd w:id="31"/>
    <w:bookmarkStart w:id="35" w:name="Xd1b2ad90a202d83d698be391e20f76697e1fb6b"/>
    <w:p>
      <w:pPr>
        <w:pStyle w:val="Heading4"/>
      </w:pPr>
      <w:r>
        <w:t xml:space="preserve">3.2.2 Desocupação da pessoa responsável pelo domicílio</w:t>
      </w:r>
    </w:p>
    <w:p>
      <w:pPr>
        <w:pStyle w:val="FirstParagraph"/>
      </w:pPr>
      <w:r>
        <w:t xml:space="preserve">Este indicador mede quanto dos desocupados são pessoas responsáveis pelo</w:t>
      </w:r>
      <w:r>
        <w:t xml:space="preserve"> </w:t>
      </w:r>
      <w:r>
        <w:t xml:space="preserve">domicílio. Uma taxa de desocupação alta concentrada em jovens que moram com os</w:t>
      </w:r>
      <w:r>
        <w:t xml:space="preserve"> </w:t>
      </w:r>
      <w:r>
        <w:t xml:space="preserve">pais tem um significado social muito diferente da mesma taxa concentrada em</w:t>
      </w:r>
      <w:r>
        <w:t xml:space="preserve"> </w:t>
      </w:r>
      <w:r>
        <w:t xml:space="preserve">quem sustenta a casa — e é essa distinção que o indicador captura.</w:t>
      </w:r>
    </w:p>
    <w:p>
      <w:pPr>
        <w:pStyle w:val="BodyText"/>
      </w:pPr>
      <w:r>
        <w:rPr>
          <w:bCs/>
          <w:b/>
        </w:rPr>
        <w:t xml:space="preserve">Tabela 3</w:t>
      </w:r>
      <w:r>
        <w:t xml:space="preserve"> </w:t>
      </w:r>
      <w:r>
        <w:t xml:space="preserve">— Pessoas responsáveis pelo domicílio entre os desocupados, por</w:t>
      </w:r>
      <w:r>
        <w:t xml:space="preserve"> </w:t>
      </w:r>
      <w:r>
        <w:t xml:space="preserve">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[35,2; 37,5]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[36,1; 39,7]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[31,8; 44,0]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[29,1; 44,0]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[31,8; 50,0]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[23,3; 53,5]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[34,0; 50,9]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[23,3; 53,5]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[34,2; 59,9]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[13,9; 43,1]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[35,3; 66,9]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[29,3; 88,0]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[10,9; 41,2]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sponsáveis pelo domicílio entre os desocupados" title="" id="33" name="Picture"/>
            <a:graphic>
              <a:graphicData uri="http://schemas.openxmlformats.org/drawingml/2006/picture">
                <pic:pic>
                  <pic:nvPicPr>
                    <pic:cNvPr descr="./output/figuras/comp_geo_Chefes_Familia_Desocupado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Responsáveis pelo domicílio entre os desocupados</w:t>
      </w:r>
    </w:p>
    <w:p>
      <w:pPr>
        <w:pStyle w:val="BodyTex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Pessoas responsáveis pelo domicílio entre os desocupados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Em estrato 2251012,</w:t>
      </w:r>
      <w:r>
        <w:t xml:space="preserve"> </w:t>
      </w:r>
      <w:r>
        <w:t xml:space="preserve">58,6% dos desocupados eram</w:t>
      </w:r>
      <w:r>
        <w:t xml:space="preserve"> </w:t>
      </w:r>
      <w:r>
        <w:t xml:space="preserve">responsáveis pelo domicílio, contra 26,1%</w:t>
      </w:r>
      <w:r>
        <w:t xml:space="preserve"> </w:t>
      </w:r>
      <w:r>
        <w:t xml:space="preserve">em estrato 2210030.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uma ou duas frases interpretando o contraste acima — o que significa, para o orçamento das famílias daquele estrato, essa concentração.</w:t>
      </w:r>
    </w:p>
    <w:bookmarkEnd w:id="35"/>
    <w:bookmarkStart w:id="39" w:name="Xc76167837fba252ecd20b236dca1fc167620c72"/>
    <w:p>
      <w:pPr>
        <w:pStyle w:val="Heading4"/>
      </w:pPr>
      <w:r>
        <w:t xml:space="preserve">3.2.3 Desocupação de quem contribui para a renda do domicílio</w:t>
      </w:r>
    </w:p>
    <w:p>
      <w:pPr>
        <w:pStyle w:val="FirstParagraph"/>
      </w:pPr>
      <w:r>
        <w:t xml:space="preserve">Amplia o indicador anterior para incluir o cônjuge ou companheiro(a), captando</w:t>
      </w:r>
      <w:r>
        <w:t xml:space="preserve"> </w:t>
      </w:r>
      <w:r>
        <w:t xml:space="preserve">não apenas quem é formalmente o responsável pelo domicílio mas o conjunto de</w:t>
      </w:r>
      <w:r>
        <w:t xml:space="preserve"> </w:t>
      </w:r>
      <w:r>
        <w:t xml:space="preserve">adultos de quem a renda da casa depende diretamente.</w:t>
      </w:r>
    </w:p>
    <w:p>
      <w:pPr>
        <w:pStyle w:val="BodyText"/>
      </w:pPr>
      <w:r>
        <w:rPr>
          <w:bCs/>
          <w:b/>
        </w:rPr>
        <w:t xml:space="preserve">Tabela 4</w:t>
      </w:r>
      <w:r>
        <w:t xml:space="preserve"> </w:t>
      </w:r>
      <w:r>
        <w:t xml:space="preserve">— Responsáveis ou cônjuges entre os desocupados,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[51,4; 54,1]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[52,7; 56,4]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[49,2; 62,1]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[46,3; 60,6]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[49,4; 71,7]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[42,8;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[53,5; 71,5]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[42,8;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[55,2; 77,5]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[33,0; 76,8]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[53,7; 77,8]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2253011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[42,6; 102,8]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[33,4; 55,5]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sponsáveis ou cônjuges entre os desocupados" title="" id="37" name="Picture"/>
            <a:graphic>
              <a:graphicData uri="http://schemas.openxmlformats.org/drawingml/2006/picture">
                <pic:pic>
                  <pic:nvPicPr>
                    <pic:cNvPr descr="./output/figuras/comp_geo_Conribuintes_Desocupad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Responsáveis ou cônjuges entre os desocupados</w:t>
      </w:r>
    </w:p>
    <w:p>
      <w:pPr>
        <w:pStyle w:val="BodyText"/>
      </w:pPr>
      <w:r>
        <w:rPr>
          <w:bCs/>
          <w:b/>
        </w:rPr>
        <w:t xml:space="preserve">Figura 3</w:t>
      </w:r>
      <w:r>
        <w:t xml:space="preserve"> </w:t>
      </w:r>
      <w:r>
        <w:t xml:space="preserve">— Responsáveis ou cônjuges entre os desocupados — 2º trimestre de 2026</w:t>
      </w:r>
    </w:p>
    <w:p>
      <w:pPr>
        <w:pStyle w:val="BodyText"/>
      </w:pPr>
      <w:r>
        <w:t xml:space="preserve">No Piauí, 55,6% dos desocupados eram</w:t>
      </w:r>
      <w:r>
        <w:t xml:space="preserve"> </w:t>
      </w:r>
      <w:r>
        <w:t xml:space="preserve">responsáveis pelo domicílio ou cônjuges, contra</w:t>
      </w:r>
      <w:r>
        <w:t xml:space="preserve"> </w:t>
      </w:r>
      <w:r>
        <w:t xml:space="preserve">37,9% apenas de responsáveis — a diferença</w:t>
      </w:r>
      <w:r>
        <w:t xml:space="preserve"> </w:t>
      </w:r>
      <w:r>
        <w:t xml:space="preserve">corresponde aos cônjuges desocupados.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essa diferença diz sobre o arranjo de sustento das famílias do estado.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rendimento"/>
    <w:p>
      <w:pPr>
        <w:pStyle w:val="Heading3"/>
      </w:pPr>
      <w:r>
        <w:t xml:space="preserve">3.3 Rendimento</w:t>
      </w:r>
    </w:p>
    <w:p>
      <w:pPr>
        <w:pStyle w:val="FirstParagraph"/>
      </w:pPr>
      <w:r>
        <w:t xml:space="preserve">Se a dimensão anterior pergunta quem tem trabalho, esta pergunta quanto esse</w:t>
      </w:r>
      <w:r>
        <w:t xml:space="preserve"> </w:t>
      </w:r>
      <w:r>
        <w:t xml:space="preserve">trabalho paga. O rendimento médio habitual é o indicador principal: mede o que</w:t>
      </w:r>
      <w:r>
        <w:t xml:space="preserve"> </w:t>
      </w:r>
      <w:r>
        <w:t xml:space="preserve">a pessoa recebe de forma regular, e não o que recebeu excepcionalmente naquele</w:t>
      </w:r>
      <w:r>
        <w:t xml:space="preserve"> </w:t>
      </w:r>
      <w:r>
        <w:t xml:space="preserve">mês, o que o torna mais adequado para comparar territórios. Os auxiliares</w:t>
      </w:r>
      <w:r>
        <w:t xml:space="preserve"> </w:t>
      </w:r>
      <w:r>
        <w:t xml:space="preserve">tratam do piso e da dispersão: quantos ganham abaixo do mínimo por hora, e</w:t>
      </w:r>
      <w:r>
        <w:t xml:space="preserve"> </w:t>
      </w:r>
      <w:r>
        <w:t xml:space="preserve">quanto a formalidade separa os rendimentos.</w:t>
      </w:r>
    </w:p>
    <w:bookmarkStart w:id="44" w:name="rendimento-médio-real-habitual"/>
    <w:p>
      <w:pPr>
        <w:pStyle w:val="Heading4"/>
      </w:pPr>
      <w:r>
        <w:t xml:space="preserve">3.3.1 Rendimento médio real habitual</w:t>
      </w:r>
    </w:p>
    <w:p>
      <w:pPr>
        <w:pStyle w:val="FirstParagraph"/>
      </w:pPr>
      <w:r>
        <w:rPr>
          <w:bCs/>
          <w:b/>
        </w:rPr>
        <w:t xml:space="preserve">Tabela 5</w:t>
      </w:r>
      <w:r>
        <w:t xml:space="preserve"> </w:t>
      </w:r>
      <w:r>
        <w:t xml:space="preserve">— Rendimento médio real habitualmente recebido em todos os</w:t>
      </w:r>
      <w:r>
        <w:t xml:space="preserve"> </w:t>
      </w:r>
      <w:r>
        <w:t xml:space="preserve">trabalhos, por recorte geográfico — 2º trimestre de 2026</w:t>
      </w:r>
    </w:p>
    <w:p>
      <w:pPr>
        <w:pStyle w:val="BodyText"/>
      </w:pPr>
      <w:r>
        <w:t xml:space="preserve">Recorte | Categoria | Estimativa (R$) | IC 95% | CV (%) | Precisão |</w:t>
      </w:r>
    </w:p>
    <w:p>
      <w:pPr>
        <w:pStyle w:val="BodyText"/>
      </w:pPr>
      <w:r>
        <w:t xml:space="preserve">|—|—|—:|:—:|—:|—|</w:t>
      </w:r>
      <w:r>
        <w:t xml:space="preserve"> </w:t>
      </w:r>
      <w:r>
        <w:t xml:space="preserve">| Agregados | Brasil | R$ 3.738 | [R$ 3.679; R$ 3.798] | 0,8 | excelente |</w:t>
      </w:r>
      <w:r>
        <w:t xml:space="preserve"> </w:t>
      </w:r>
      <w:r>
        <w:t xml:space="preserve">| Agregados | Nordeste | R$ 2.645 | [R$ 2.564; R$ 2.725] | 1,6 | excelente |</w:t>
      </w:r>
      <w:r>
        <w:t xml:space="preserve"> </w:t>
      </w:r>
      <w:r>
        <w:t xml:space="preserve">| Agregados | Piauí | R$ 2.547 | [R$ 2.356; R$ 2.738] | 3,8 | excelente |</w:t>
      </w:r>
      <w:r>
        <w:t xml:space="preserve"> </w:t>
      </w:r>
      <w:r>
        <w:t xml:space="preserve">| Agregados | Teresina | R$ 3.690 | [R$ 3.207; R$ 4.173] | 6,7 | boa |</w:t>
      </w:r>
      <w:r>
        <w:t xml:space="preserve"> </w:t>
      </w:r>
      <w:r>
        <w:t xml:space="preserve">| Zona | Urbana | R$ 2.902 | [R$ 2.658; R$ 3.146] | 4,3 | excelente |</w:t>
      </w:r>
      <w:r>
        <w:t xml:space="preserve"> </w:t>
      </w:r>
      <w:r>
        <w:t xml:space="preserve">| Zona | Rural | R$ 1.310 | [R$ 1.194; R$ 1.425] | 4,5 | excelente |</w:t>
      </w:r>
      <w:r>
        <w:t xml:space="preserve"> </w:t>
      </w:r>
      <w:r>
        <w:t xml:space="preserve">| Administrativo | Capital | R$ 3.690 | [R$ 3.207; R$ 4.173] | 6,7 | boa |</w:t>
      </w:r>
      <w:r>
        <w:t xml:space="preserve"> </w:t>
      </w:r>
      <w:r>
        <w:t xml:space="preserve">| Administrativo | Resto da RIDE | R$ 1.900 | [R$ 1.645; R$ 2.156] | 6,9 | boa |</w:t>
      </w:r>
      <w:r>
        <w:t xml:space="preserve"> </w:t>
      </w:r>
      <w:r>
        <w:t xml:space="preserve">| Administrativo | Resto da UF | R$ 1.992 | [R$ 1.817; R$ 2.167] | 4,5 | excelente |</w:t>
      </w:r>
      <w:r>
        <w:t xml:space="preserve"> </w:t>
      </w:r>
      <w:r>
        <w:t xml:space="preserve">| Estrato agregado | Teresina | R$ 3.690 | [R$ 3.207; R$ 4.173] | 6,7 | boa |</w:t>
      </w:r>
      <w:r>
        <w:t xml:space="preserve"> </w:t>
      </w:r>
      <w:r>
        <w:t xml:space="preserve">| Estrato agregado | Entorno metropolitano | R$ 1.900 | [R$ 1.645; R$ 2.156] | 6,9 | boa |</w:t>
      </w:r>
      <w:r>
        <w:t xml:space="preserve"> </w:t>
      </w:r>
      <w:r>
        <w:t xml:space="preserve">| Estrato agregado | Centro-Leste | R$ 1.991 | [R$ 1.569; R$ 2.412] | 10,8 | boa |</w:t>
      </w:r>
      <w:r>
        <w:t xml:space="preserve"> </w:t>
      </w:r>
      <w:r>
        <w:t xml:space="preserve">| Estrato agregado | Baixo Parnaíba | R$ 1.678 | [R$ 1.505; R$ 1.850] | 5,3 | boa |</w:t>
      </w:r>
      <w:r>
        <w:t xml:space="preserve"> </w:t>
      </w:r>
      <w:r>
        <w:t xml:space="preserve">| Estrato agregado | Alto Parnaíba e Chapadas Sul | R$ 2.463 | [R$ 2.152; R$ 2.774] | 6,4 | boa |</w:t>
      </w:r>
      <w:r>
        <w:t xml:space="preserve"> </w:t>
      </w:r>
      <w:r>
        <w:t xml:space="preserve">| Estrato (7 dígitos) | maior: 2210013 | R$ 6.034 | [R$ 4.434; R$ 7.635] | 13,5 | boa |</w:t>
      </w:r>
      <w:r>
        <w:t xml:space="preserve"> </w:t>
      </w:r>
      <w:r>
        <w:t xml:space="preserve">| Estrato (7 dígitos) | menor: 2252020 | R$ 1.113 | [R$ 986; R$ 1.239] | 5,8 | boa |</w:t>
      </w:r>
    </w:p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valores deflacionados para reais do último trimestre da série.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médio habitual por recorte geográfico" title="" id="42" name="Picture"/>
            <a:graphic>
              <a:graphicData uri="http://schemas.openxmlformats.org/drawingml/2006/picture">
                <pic:pic>
                  <pic:nvPicPr>
                    <pic:cNvPr descr="./output/figuras/comp_geo_Rendimento_Medio_Habitua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médio habitual por recorte geográfico</w:t>
      </w:r>
    </w:p>
    <w:p>
      <w:pPr>
        <w:pStyle w:val="BodyTex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Rendimento médio real habitual por recorte geográfico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O rendimento médio no Piauí foi de R$ 2.547,</w:t>
      </w:r>
      <w:r>
        <w:t xml:space="preserve"> </w:t>
      </w:r>
      <w:r>
        <w:t xml:space="preserve">equivalente a 68,1% da média</w:t>
      </w:r>
      <w:r>
        <w:t xml:space="preserve"> </w:t>
      </w:r>
      <w:r>
        <w:t xml:space="preserve">nacional. Dentro do estado, estrato 2210013</w:t>
      </w:r>
      <w:r>
        <w:t xml:space="preserve"> </w:t>
      </w:r>
      <w:r>
        <w:t xml:space="preserve">apresentou o maior rendimento médio (R$ 6.034)</w:t>
      </w:r>
      <w:r>
        <w:t xml:space="preserve"> </w:t>
      </w:r>
      <w:r>
        <w:t xml:space="preserve">e estrato 2252020 o menor</w:t>
      </w:r>
      <w:r>
        <w:t xml:space="preserve"> </w:t>
      </w:r>
      <w:r>
        <w:t xml:space="preserve">(R$ 1.113) — uma razão de</w:t>
      </w:r>
      <w:r>
        <w:t xml:space="preserve"> </w:t>
      </w:r>
      <w:r>
        <w:t xml:space="preserve">5,42 entre os extremos.</w:t>
      </w:r>
    </w:p>
    <w:p>
      <w:pPr>
        <w:pStyle w:val="BodyText"/>
      </w:pPr>
      <w:r>
        <w:t xml:space="preserve">Vale registrar o que uma média de rendimento não mostra: ela é sensível a</w:t>
      </w:r>
      <w:r>
        <w:t xml:space="preserve"> </w:t>
      </w:r>
      <w:r>
        <w:t xml:space="preserve">valores muito altos e, em territórios pequenos, um punhado de rendimentos</w:t>
      </w:r>
      <w:r>
        <w:t xml:space="preserve"> </w:t>
      </w:r>
      <w:r>
        <w:t xml:space="preserve">elevados desloca o resultado inteiro. A distribuição completa dos rendimentos</w:t>
      </w:r>
      <w:r>
        <w:t xml:space="preserve"> </w:t>
      </w:r>
      <w:r>
        <w:t xml:space="preserve">por estrato está no anexo metodológico, e é ela que revela se a média</w:t>
      </w:r>
      <w:r>
        <w:t xml:space="preserve"> </w:t>
      </w:r>
      <w:r>
        <w:t xml:space="preserve">representa a maioria ou é puxada pela cauda.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do rendimento médio — incluir só se significativo E com CV abaixo de 15% em todas as subdivisões de cada corte geográfico.</w:t>
      </w:r>
    </w:p>
    <w:bookmarkEnd w:id="44"/>
    <w:bookmarkStart w:id="48" w:name="sub-remuneração"/>
    <w:p>
      <w:pPr>
        <w:pStyle w:val="Heading4"/>
      </w:pPr>
      <w:r>
        <w:t xml:space="preserve">3.3.2 Sub-remuneração</w:t>
      </w:r>
    </w:p>
    <w:p>
      <w:pPr>
        <w:pStyle w:val="FirstParagraph"/>
      </w:pPr>
      <w:r>
        <w:t xml:space="preserve">Mede o percentual de ocupados que, dividido o que recebem pelas horas que</w:t>
      </w:r>
      <w:r>
        <w:t xml:space="preserve"> </w:t>
      </w:r>
      <w:r>
        <w:t xml:space="preserve">trabalham, ganham menos que o salário mínimo por hora — hoje R$ 7,37.</w:t>
      </w:r>
      <w:r>
        <w:t xml:space="preserve"> </w:t>
      </w:r>
      <w:r>
        <w:t xml:space="preserve">É um indicador de precariedade que a taxa de desocupação não alcança: trata-se</w:t>
      </w:r>
      <w:r>
        <w:t xml:space="preserve"> </w:t>
      </w:r>
      <w:r>
        <w:t xml:space="preserve">de gente trabalhando, e trabalhando por menos do que o piso legal equivalente.</w:t>
      </w:r>
    </w:p>
    <w:p>
      <w:pPr>
        <w:pStyle w:val="BodyText"/>
      </w:pPr>
      <w:r>
        <w:rPr>
          <w:bCs/>
          <w:b/>
        </w:rPr>
        <w:t xml:space="preserve">Tabela 6</w:t>
      </w:r>
      <w:r>
        <w:t xml:space="preserve"> </w:t>
      </w:r>
      <w:r>
        <w:t xml:space="preserve">— Sub-remuneração por hora trabalhada, por recorte geográfico —</w:t>
      </w:r>
      <w:r>
        <w:t xml:space="preserve"> </w:t>
      </w:r>
      <w:r>
        <w:t xml:space="preserve">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[18,5; 19,0]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[35,1; 36,3]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[35,8; 40,5]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[30,1; 35,7]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[52,1; 61,0]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[34,5; 47,6]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[41,4; 47,8]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[34,5; 47,6]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[37,8; 47,9]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[47,8; 58,3]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[28,8; 39,9]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[50,0; 84,8]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[11,6; 23,9]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Sub-remuneração por recorte geográfico" title="" id="46" name="Picture"/>
            <a:graphic>
              <a:graphicData uri="http://schemas.openxmlformats.org/drawingml/2006/picture">
                <pic:pic>
                  <pic:nvPicPr>
                    <pic:cNvPr descr="./output/figuras/comp_geo_Percentual_Subremuneraca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Sub-remuneração por recorte geográfico</w:t>
      </w:r>
    </w:p>
    <w:p>
      <w:pPr>
        <w:pStyle w:val="BodyText"/>
      </w:pPr>
      <w:r>
        <w:rPr>
          <w:bCs/>
          <w:b/>
        </w:rPr>
        <w:t xml:space="preserve">Figura 5</w:t>
      </w:r>
      <w:r>
        <w:t xml:space="preserve"> </w:t>
      </w:r>
      <w:r>
        <w:t xml:space="preserve">— Percentual de ocupados com rendimento-hora abaixo do salário</w:t>
      </w:r>
      <w:r>
        <w:t xml:space="preserve"> </w:t>
      </w:r>
      <w:r>
        <w:t xml:space="preserve">mínimo horário — 2º trimestre de 2026</w:t>
      </w:r>
    </w:p>
    <w:p>
      <w:pPr>
        <w:pStyle w:val="BodyText"/>
      </w:pPr>
      <w:r>
        <w:t xml:space="preserve">38,2% dos ocupados do Piauí recebiam abaixo</w:t>
      </w:r>
      <w:r>
        <w:t xml:space="preserve"> </w:t>
      </w:r>
      <w:r>
        <w:t xml:space="preserve">do mínimo por hora. A incidência foi de</w:t>
      </w:r>
      <w:r>
        <w:t xml:space="preserve"> </w:t>
      </w:r>
      <w:r>
        <w:t xml:space="preserve">67,4% em</w:t>
      </w:r>
      <w:r>
        <w:t xml:space="preserve"> </w:t>
      </w:r>
      <w:r>
        <w:t xml:space="preserve">estrato 2252021 e</w:t>
      </w:r>
      <w:r>
        <w:t xml:space="preserve"> </w:t>
      </w:r>
      <w:r>
        <w:t xml:space="preserve">17,7% em</w:t>
      </w:r>
      <w:r>
        <w:t xml:space="preserve"> </w:t>
      </w:r>
      <w:r>
        <w:t xml:space="preserve">estrato 2210012.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a distância entre esses dois extremos sugere sobre a estrutura produtiva dos territórios envolvidos.</w:t>
      </w:r>
    </w:p>
    <w:bookmarkEnd w:id="48"/>
    <w:bookmarkStart w:id="55" w:name="desigualdade-entre-formais-e-informais"/>
    <w:p>
      <w:pPr>
        <w:pStyle w:val="Heading4"/>
      </w:pPr>
      <w:r>
        <w:t xml:space="preserve">3.3.3 Desigualdade entre formais e informais</w:t>
      </w:r>
    </w:p>
    <w:p>
      <w:pPr>
        <w:pStyle w:val="FirstParagraph"/>
      </w:pPr>
      <w:r>
        <w:t xml:space="preserve">O indicador é a razão entre o rendimento médio dos ocupados formais e o dos</w:t>
      </w:r>
      <w:r>
        <w:t xml:space="preserve"> </w:t>
      </w:r>
      <w:r>
        <w:t xml:space="preserve">informais. Um valor de 2,0 significa que o trabalhador formal ganha, em média,</w:t>
      </w:r>
      <w:r>
        <w:t xml:space="preserve"> </w:t>
      </w:r>
      <w:r>
        <w:t xml:space="preserve">o dobro do informal. Quanto mais alta a razão, mais a carteira assinada — e não</w:t>
      </w:r>
      <w:r>
        <w:t xml:space="preserve"> </w:t>
      </w:r>
      <w:r>
        <w:t xml:space="preserve">o esforço ou a jornada — determina quanto se ganha.</w:t>
      </w:r>
    </w:p>
    <w:p>
      <w:pPr>
        <w:pStyle w:val="BodyText"/>
      </w:pPr>
      <w:r>
        <w:rPr>
          <w:bCs/>
          <w:b/>
        </w:rPr>
        <w:t xml:space="preserve">Tabela 7</w:t>
      </w:r>
      <w:r>
        <w:t xml:space="preserve"> </w:t>
      </w:r>
      <w:r>
        <w:t xml:space="preserve">— Rendimento médio por situação de formalidade e razão</w:t>
      </w:r>
      <w:r>
        <w:t xml:space="preserve"> </w:t>
      </w:r>
      <w:r>
        <w:t xml:space="preserve">formal/informal,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320"/>
        <w:gridCol w:w="1056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Formais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I</m:t>
              </m:r>
              <m:r>
                <m:t>n</m:t>
              </m:r>
              <m:r>
                <m:t>f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Razão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IC 95% da razão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[1,85; 1,92]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[2,28; 2,44]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[2,52; 2,93]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[2,30; 2,70]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[2,30; 2,94]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[1,60; 2,74]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[2,60; 3,14]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[1,60; 2,74]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[2,19; 3,25]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[2,65; 3,36]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[2,35; 3,22]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Dados:</w:t>
      </w:r>
      <w:r>
        <w:t xml:space="preserve"> </w:t>
      </w:r>
      <w:r>
        <w:rPr>
          <w:rStyle w:val="VerbatimChar"/>
        </w:rPr>
        <w:t xml:space="preserve">output/desigualdade_formal_informal_2026T2.csv</w:t>
      </w:r>
      <w:r>
        <w:t xml:space="preserve">.</w:t>
      </w:r>
    </w:p>
    <w:p>
      <w:pPr>
        <w:pStyle w:val="BodyText"/>
      </w:pPr>
      <w:r>
        <w:t xml:space="preserve">Nota de leitura sobre o intervalo desta tabela: ao contrário dos demais, ele é</w:t>
      </w:r>
      <w:r>
        <w:t xml:space="preserve"> </w:t>
      </w:r>
      <w:r>
        <w:rPr>
          <w:bCs/>
          <w:b/>
        </w:rPr>
        <w:t xml:space="preserve">assimétrico</w:t>
      </w:r>
      <w:r>
        <w:t xml:space="preserve"> </w:t>
      </w:r>
      <w:r>
        <w:t xml:space="preserve">em torno da estimativa. Isso é intencional e correto — uma</w:t>
      </w:r>
      <w:r>
        <w:t xml:space="preserve"> </w:t>
      </w:r>
      <w:r>
        <w:t xml:space="preserve">razão não pode ser negativa, e o intervalo é construído na escala logarítmica</w:t>
      </w:r>
      <w:r>
        <w:t xml:space="preserve"> </w:t>
      </w:r>
      <w:r>
        <w:t xml:space="preserve">antes de voltar à escala da razão. O anexo metodológico (§4.4) detalha o</w:t>
      </w:r>
      <w:r>
        <w:t xml:space="preserve"> </w:t>
      </w:r>
      <w:r>
        <w:t xml:space="preserve">procedimento.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no setor formal" title="" id="50" name="Picture"/>
            <a:graphic>
              <a:graphicData uri="http://schemas.openxmlformats.org/drawingml/2006/picture">
                <pic:pic>
                  <pic:nvPicPr>
                    <pic:cNvPr descr="./output/figuras/comp_geo_Rendimento_Form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no setor formal</w:t>
      </w:r>
    </w:p>
    <w:p>
      <w:pPr>
        <w:pStyle w:val="BodyText"/>
      </w:pPr>
      <w:r>
        <w:rPr>
          <w:bCs/>
          <w:b/>
        </w:rPr>
        <w:t xml:space="preserve">Figura 6</w:t>
      </w:r>
      <w:r>
        <w:t xml:space="preserve"> </w:t>
      </w:r>
      <w:r>
        <w:t xml:space="preserve">— Rendimento médio dos ocupados formais — 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no setor informal" title="" id="53" name="Picture"/>
            <a:graphic>
              <a:graphicData uri="http://schemas.openxmlformats.org/drawingml/2006/picture">
                <pic:pic>
                  <pic:nvPicPr>
                    <pic:cNvPr descr="./output/figuras/comp_geo_Rendimento_Informa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no setor informal</w:t>
      </w:r>
    </w:p>
    <w:p>
      <w:pPr>
        <w:pStyle w:val="BodyText"/>
      </w:pPr>
      <w:r>
        <w:rPr>
          <w:bCs/>
          <w:b/>
        </w:rPr>
        <w:t xml:space="preserve">Figura 7</w:t>
      </w:r>
      <w:r>
        <w:t xml:space="preserve"> </w:t>
      </w:r>
      <w:r>
        <w:t xml:space="preserve">— Rendimento médio dos ocupados informais — 2º trimestre de 2026</w:t>
      </w:r>
    </w:p>
    <w:p>
      <w:pPr>
        <w:pStyle w:val="BodyText"/>
      </w:pPr>
      <w:r>
        <w:t xml:space="preserve">A razão formal/informal no Piauí foi de 2,72 — ou seja,</w:t>
      </w:r>
      <w:r>
        <w:t xml:space="preserve"> </w:t>
      </w:r>
      <w:r>
        <w:t xml:space="preserve">o trabalhador com carteira ganhou, em média, 172% a mais que o</w:t>
      </w:r>
      <w:r>
        <w:t xml:space="preserve"> </w:t>
      </w:r>
      <w:r>
        <w:t xml:space="preserve">informal: R$ 3.675 contra R$ 1.353.</w:t>
      </w:r>
      <w:r>
        <w:t xml:space="preserve"> </w:t>
      </w:r>
      <w:r>
        <w:t xml:space="preserve">Entre os estratos, a razão foi mais alta em estrato 2253020</w:t>
      </w:r>
      <w:r>
        <w:t xml:space="preserve"> </w:t>
      </w:r>
      <w:r>
        <w:t xml:space="preserve">(3,63) e mais baixa em estrato 2253022</w:t>
      </w:r>
      <w:r>
        <w:t xml:space="preserve"> </w:t>
      </w:r>
      <w:r>
        <w:t xml:space="preserve">(1,35).</w:t>
      </w:r>
    </w:p>
    <w:p>
      <w:pPr>
        <w:pStyle w:val="BodyText"/>
      </w:pPr>
      <w:r>
        <w:t xml:space="preserve">Vale contrastar com a capital: em Teresina a razão foi de</w:t>
      </w:r>
      <w:r>
        <w:t xml:space="preserve"> </w:t>
      </w:r>
      <w:r>
        <w:t xml:space="preserve">2,12, a mais baixa entre os recortes agregados — não</w:t>
      </w:r>
      <w:r>
        <w:t xml:space="preserve"> </w:t>
      </w:r>
      <w:r>
        <w:t xml:space="preserve">porque o formal pague pouco ali, mas porque o informal teresinense ganha</w:t>
      </w:r>
      <w:r>
        <w:t xml:space="preserve"> </w:t>
      </w:r>
      <w:r>
        <w:t xml:space="preserve">R$ 2.142, bem acima do informal do interior.</w:t>
      </w:r>
    </w:p>
    <w:p>
      <w:pPr>
        <w:pStyle w:val="BodyText"/>
      </w:pPr>
      <w:r>
        <w:t xml:space="preserve">Duas leituras opostas produzem o mesmo número baixo, e vale distingui-las. Uma</w:t>
      </w:r>
      <w:r>
        <w:t xml:space="preserve"> </w:t>
      </w:r>
      <w:r>
        <w:t xml:space="preserve">razão próxima de 1 pode significar que o mercado formal daquele território não</w:t>
      </w:r>
      <w:r>
        <w:t xml:space="preserve"> </w:t>
      </w:r>
      <w:r>
        <w:t xml:space="preserve">paga muito melhor que o informal — o que é má notícia, e costuma indicar que a</w:t>
      </w:r>
      <w:r>
        <w:t xml:space="preserve"> </w:t>
      </w:r>
      <w:r>
        <w:t xml:space="preserve">formalização se concentra em ocupações de baixa remuneração. Mas pode também</w:t>
      </w:r>
      <w:r>
        <w:t xml:space="preserve"> </w:t>
      </w:r>
      <w:r>
        <w:t xml:space="preserve">significar que o mercado informal ali é relativamente bem pago, o que muda o</w:t>
      </w:r>
      <w:r>
        <w:t xml:space="preserve"> </w:t>
      </w:r>
      <w:r>
        <w:t xml:space="preserve">diagnóstico por completo. A comparação com os rendimentos absolutos das Figuras</w:t>
      </w:r>
      <w:r>
        <w:t xml:space="preserve"> </w:t>
      </w:r>
      <w:r>
        <w:t xml:space="preserve">6 e 7 é o que separa os dois casos.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dizer qual dos dois casos se aplica aos estratos de razão mais baixa deste trimestre, olhando os rendimentos absolutos das Figuras 6 e 7.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9" w:name="inserção-no-mercado-de-trabalho"/>
    <w:p>
      <w:pPr>
        <w:pStyle w:val="Heading3"/>
      </w:pPr>
      <w:r>
        <w:t xml:space="preserve">3.4 Inserção no mercado de trabalho</w:t>
      </w:r>
    </w:p>
    <w:p>
      <w:pPr>
        <w:pStyle w:val="FirstParagraph"/>
      </w:pPr>
      <w:r>
        <w:t xml:space="preserve">As duas dimensões anteriores tratam de ter trabalho e de quanto ele paga. Esta</w:t>
      </w:r>
      <w:r>
        <w:t xml:space="preserve"> </w:t>
      </w:r>
      <w:r>
        <w:t xml:space="preserve">trata da qualidade do vínculo: com ou sem carteira, com jornada suficiente ou</w:t>
      </w:r>
      <w:r>
        <w:t xml:space="preserve"> </w:t>
      </w:r>
      <w:r>
        <w:t xml:space="preserve">não, com qual escolaridade. São as condições que determinam acesso a</w:t>
      </w:r>
      <w:r>
        <w:t xml:space="preserve"> </w:t>
      </w:r>
      <w:r>
        <w:t xml:space="preserve">previdência, seguro-desemprego, licenças e estabilidade — e que separam um</w:t>
      </w:r>
      <w:r>
        <w:t xml:space="preserve"> </w:t>
      </w:r>
      <w:r>
        <w:t xml:space="preserve">mercado de trabalho que protege de um que apenas ocupa.</w:t>
      </w:r>
    </w:p>
    <w:bookmarkStart w:id="60" w:name="taxa-de-informalidade"/>
    <w:p>
      <w:pPr>
        <w:pStyle w:val="Heading4"/>
      </w:pPr>
      <w:r>
        <w:t xml:space="preserve">3.4.1 Taxa de informalidade</w:t>
      </w:r>
    </w:p>
    <w:p>
      <w:pPr>
        <w:pStyle w:val="FirstParagraph"/>
      </w:pPr>
      <w:r>
        <w:rPr>
          <w:bCs/>
          <w:b/>
        </w:rPr>
        <w:t xml:space="preserve">Tabela 8</w:t>
      </w:r>
      <w:r>
        <w:t xml:space="preserve"> </w:t>
      </w:r>
      <w:r>
        <w:t xml:space="preserve">— Taxa de informalidade,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[37,1; 37,8]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[48,1; 49,4]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[47,4; 51,6]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[41,5; 46,5]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[64,1; 72,2]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[48,0; 63,7]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[53,5; 58,7]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[48,0; 63,7]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[52,0; 61,7]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[56,4; 65,1]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[42,4; 53,7]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[57,9; 96,4]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38,4]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informalidade por recorte geográfico" title="" id="58" name="Picture"/>
            <a:graphic>
              <a:graphicData uri="http://schemas.openxmlformats.org/drawingml/2006/picture">
                <pic:pic>
                  <pic:nvPicPr>
                    <pic:cNvPr descr="./output/figuras/comp_geo_Taxa_Informalidad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informalidade por recorte geográfico</w:t>
      </w:r>
    </w:p>
    <w:p>
      <w:pPr>
        <w:pStyle w:val="BodyText"/>
      </w:pPr>
      <w:r>
        <w:rPr>
          <w:bCs/>
          <w:b/>
        </w:rPr>
        <w:t xml:space="preserve">Figura 8</w:t>
      </w:r>
      <w:r>
        <w:t xml:space="preserve"> </w:t>
      </w:r>
      <w:r>
        <w:t xml:space="preserve">— Taxa de informalidade por recorte geográfico — 2º trimestre de 2026</w:t>
      </w:r>
    </w:p>
    <w:p>
      <w:pPr>
        <w:pStyle w:val="BodyText"/>
      </w:pPr>
      <w:r>
        <w:t xml:space="preserve">A informalidade no Piauí atingiu 49,5% dos</w:t>
      </w:r>
      <w:r>
        <w:t xml:space="preserve"> </w:t>
      </w:r>
      <w:r>
        <w:t xml:space="preserve">ocupados, contra 48,7% no Nordeste e</w:t>
      </w:r>
      <w:r>
        <w:t xml:space="preserve"> </w:t>
      </w:r>
      <w:r>
        <w:t xml:space="preserve">37,4% no Brasil. A variação interna ao estado foi</w:t>
      </w:r>
      <w:r>
        <w:t xml:space="preserve"> </w:t>
      </w:r>
      <w:r>
        <w:t xml:space="preserve">de 46,8 pontos, de</w:t>
      </w:r>
      <w:r>
        <w:t xml:space="preserve"> </w:t>
      </w:r>
      <w:r>
        <w:t xml:space="preserve">30,3% em</w:t>
      </w:r>
      <w:r>
        <w:t xml:space="preserve"> </w:t>
      </w:r>
      <w:r>
        <w:t xml:space="preserve">estrato 2210012 a</w:t>
      </w:r>
      <w:r>
        <w:t xml:space="preserve"> </w:t>
      </w:r>
      <w:r>
        <w:t xml:space="preserve">77,1% em</w:t>
      </w:r>
      <w:r>
        <w:t xml:space="preserve"> </w:t>
      </w:r>
      <w:r>
        <w:t xml:space="preserve">estrato 2252021.</w:t>
      </w:r>
    </w:p>
    <w:p>
      <w:pPr>
        <w:pStyle w:val="BodyText"/>
      </w:pPr>
      <w:r>
        <w:t xml:space="preserve">O contraste entre zona urbana e rural tende a ser o mais acentuado deste</w:t>
      </w:r>
      <w:r>
        <w:t xml:space="preserve"> </w:t>
      </w:r>
      <w:r>
        <w:t xml:space="preserve">indicador, e por razão estrutural: a produção agrícola familiar e o trabalho</w:t>
      </w:r>
      <w:r>
        <w:t xml:space="preserve"> </w:t>
      </w:r>
      <w:r>
        <w:t xml:space="preserve">por conta própria no campo são majoritariamente informais por natureza da</w:t>
      </w:r>
      <w:r>
        <w:t xml:space="preserve"> </w:t>
      </w:r>
      <w:r>
        <w:t xml:space="preserve">atividade, não por escolha do trabalhador. Neste trimestre a diferença foi de</w:t>
      </w:r>
      <w:r>
        <w:t xml:space="preserve"> </w:t>
      </w:r>
      <w:r>
        <w:t xml:space="preserve">24,1 pontos</w:t>
      </w:r>
      <w:r>
        <w:t xml:space="preserve"> </w:t>
      </w:r>
      <w:r>
        <w:t xml:space="preserve">(***).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da informalidade — incluir só se significativo E com CV abaixo de 15% em todas as subdivisões de cada corte geográfico.</w:t>
      </w:r>
    </w:p>
    <w:bookmarkEnd w:id="60"/>
    <w:bookmarkStart w:id="64" w:name="sub-ocupação-por-insuficiência-de-horas"/>
    <w:p>
      <w:pPr>
        <w:pStyle w:val="Heading4"/>
      </w:pPr>
      <w:r>
        <w:t xml:space="preserve">3.4.2 Sub-ocupação por insuficiência de horas</w:t>
      </w:r>
    </w:p>
    <w:p>
      <w:pPr>
        <w:pStyle w:val="FirstParagraph"/>
      </w:pPr>
      <w:r>
        <w:t xml:space="preserve">Capta quem está trabalhando menos horas do que gostaria e poderia. É o</w:t>
      </w:r>
      <w:r>
        <w:t xml:space="preserve"> </w:t>
      </w:r>
      <w:r>
        <w:t xml:space="preserve">indicador que revela a ociosidade escondida dentro da ocupação: a pessoa é</w:t>
      </w:r>
      <w:r>
        <w:t xml:space="preserve"> </w:t>
      </w:r>
      <w:r>
        <w:t xml:space="preserve">contada como ocupada, mas sua capacidade de trabalho está sendo subutilizada.</w:t>
      </w:r>
    </w:p>
    <w:p>
      <w:pPr>
        <w:pStyle w:val="BodyText"/>
      </w:pPr>
      <w:r>
        <w:rPr>
          <w:bCs/>
          <w:b/>
        </w:rPr>
        <w:t xml:space="preserve">Tabela 9</w:t>
      </w:r>
      <w:r>
        <w:t xml:space="preserve"> </w:t>
      </w:r>
      <w:r>
        <w:t xml:space="preserve">— Sub-ocupação por insuficiência de horas, por recorte geográfico</w:t>
      </w:r>
      <w:r>
        <w:t xml:space="preserve"> </w:t>
      </w:r>
      <w:r>
        <w:t xml:space="preserve">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[3,8; 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[7,0; 7,7]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[9,8; 12,5]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[7,3; 10,2]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[16,0; 22,7]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[2,7; 10,1]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[14,6; 19,0]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[2,7; 10,1]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[17,8; 24,9]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[9,7; 17,9]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[11,5; 19,1]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[20,0; 34,9]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2253012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[3,5; 12,0]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Sub-ocupação por recorte geográfico" title="" id="62" name="Picture"/>
            <a:graphic>
              <a:graphicData uri="http://schemas.openxmlformats.org/drawingml/2006/picture">
                <pic:pic>
                  <pic:nvPicPr>
                    <pic:cNvPr descr="./output/figuras/comp_geo_Taxa_Subocupacao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Sub-ocupação por recorte geográfico</w:t>
      </w:r>
    </w:p>
    <w:p>
      <w:pPr>
        <w:pStyle w:val="BodyText"/>
      </w:pPr>
      <w:r>
        <w:rPr>
          <w:bCs/>
          <w:b/>
        </w:rPr>
        <w:t xml:space="preserve">Figura 9</w:t>
      </w:r>
      <w:r>
        <w:t xml:space="preserve"> </w:t>
      </w:r>
      <w:r>
        <w:t xml:space="preserve">— Percentual de ocupados subocupados por insuficiência de horas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11,2% dos ocupados do Piauí estavam subocupados, com</w:t>
      </w:r>
      <w:r>
        <w:t xml:space="preserve"> </w:t>
      </w:r>
      <w:r>
        <w:t xml:space="preserve">27,5% em estrato 2251020</w:t>
      </w:r>
      <w:r>
        <w:t xml:space="preserve"> </w:t>
      </w:r>
      <w:r>
        <w:t xml:space="preserve">e 7,8% em estrato 2253012.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relacionar a subocupação com a informalidade do mesmo território — jornada insuficiente e vínculo precário costumam andar juntos, mas nem sempre.</w:t>
      </w:r>
    </w:p>
    <w:bookmarkEnd w:id="64"/>
    <w:bookmarkStart w:id="68" w:name="escolaridade-dos-ocupados"/>
    <w:p>
      <w:pPr>
        <w:pStyle w:val="Heading4"/>
      </w:pPr>
      <w:r>
        <w:t xml:space="preserve">3.4.3 Escolaridade dos ocupados</w:t>
      </w:r>
    </w:p>
    <w:p>
      <w:pPr>
        <w:pStyle w:val="FirstParagraph"/>
      </w:pPr>
      <w:r>
        <w:t xml:space="preserve">Mede o percentual de ocupados com ensino médio completo ou mais. Funciona como</w:t>
      </w:r>
      <w:r>
        <w:t xml:space="preserve"> </w:t>
      </w:r>
      <w:r>
        <w:t xml:space="preserve">aproximação da qualificação da mão de obra empregada e, indiretamente, do tipo</w:t>
      </w:r>
      <w:r>
        <w:t xml:space="preserve"> </w:t>
      </w:r>
      <w:r>
        <w:t xml:space="preserve">de posto de trabalho que cada território oferece.</w:t>
      </w:r>
    </w:p>
    <w:p>
      <w:pPr>
        <w:pStyle w:val="BodyText"/>
      </w:pPr>
      <w:r>
        <w:rPr>
          <w:bCs/>
          <w:b/>
        </w:rPr>
        <w:t xml:space="preserve">Tabela 10</w:t>
      </w:r>
      <w:r>
        <w:t xml:space="preserve"> </w:t>
      </w:r>
      <w:r>
        <w:t xml:space="preserve">— Ocupados com ensino médio completo ou mais,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[72,9; 73,6]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[68,7; 70,1]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[65,0; 69,0]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[72,4; 76,8]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[37,4; 45,1]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[67,1; 76,9]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[54,6; 60,4]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[67,1; 76,9]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[54,1; 63,3]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[48,9; 59,4]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[55,9;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[86,7; 96,1]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[21,6; 42,8]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Ocupados com médio completo ou mais" title="" id="66" name="Picture"/>
            <a:graphic>
              <a:graphicData uri="http://schemas.openxmlformats.org/drawingml/2006/picture">
                <pic:pic>
                  <pic:nvPicPr>
                    <pic:cNvPr descr="./output/figuras/comp_geo_Proporcao_Ocupados_Escolarizado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Ocupados com médio completo ou mais</w:t>
      </w:r>
    </w:p>
    <w:p>
      <w:pPr>
        <w:pStyle w:val="BodyText"/>
      </w:pPr>
      <w:r>
        <w:rPr>
          <w:bCs/>
          <w:b/>
        </w:rPr>
        <w:t xml:space="preserve">Figura 10</w:t>
      </w:r>
      <w:r>
        <w:t xml:space="preserve"> </w:t>
      </w:r>
      <w:r>
        <w:t xml:space="preserve">— Percentual de ocupados com ensino médio completo ou mais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91,4% em</w:t>
      </w:r>
      <w:r>
        <w:t xml:space="preserve"> </w:t>
      </w:r>
      <w:r>
        <w:t xml:space="preserve">estrato 2210013 e</w:t>
      </w:r>
      <w:r>
        <w:t xml:space="preserve"> </w:t>
      </w:r>
      <w:r>
        <w:t xml:space="preserve">32,2% em</w:t>
      </w:r>
      <w:r>
        <w:t xml:space="preserve"> </w:t>
      </w:r>
      <w:r>
        <w:t xml:space="preserve">estrato 2254020 — uma diferença de</w:t>
      </w:r>
      <w:r>
        <w:t xml:space="preserve"> </w:t>
      </w:r>
      <w:r>
        <w:t xml:space="preserve">59,2 pontos. Cabe uma cautela de leitura: este indicador mede a</w:t>
      </w:r>
      <w:r>
        <w:t xml:space="preserve"> </w:t>
      </w:r>
      <w:r>
        <w:t xml:space="preserve">escolaridade de quem</w:t>
      </w:r>
      <w:r>
        <w:t xml:space="preserve"> </w:t>
      </w:r>
      <w:r>
        <w:rPr>
          <w:iCs/>
          <w:i/>
        </w:rPr>
        <w:t xml:space="preserve">está ocupado</w:t>
      </w:r>
      <w:r>
        <w:t xml:space="preserve">, não a da população. Um estrato pode</w:t>
      </w:r>
      <w:r>
        <w:t xml:space="preserve"> </w:t>
      </w:r>
      <w:r>
        <w:t xml:space="preserve">aparecer com escolaridade alta simplesmente porque os menos escolarizados não</w:t>
      </w:r>
      <w:r>
        <w:t xml:space="preserve"> </w:t>
      </w:r>
      <w:r>
        <w:t xml:space="preserve">encontraram trabalho, e não porque a população seja mais escolarizada.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91" w:name="desalento"/>
    <w:p>
      <w:pPr>
        <w:pStyle w:val="Heading3"/>
      </w:pPr>
      <w:r>
        <w:t xml:space="preserve">3.5 Desalento</w:t>
      </w:r>
    </w:p>
    <w:p>
      <w:pPr>
        <w:pStyle w:val="FirstParagraph"/>
      </w:pPr>
      <w:r>
        <w:t xml:space="preserve">O desalento é a face do desemprego que as estatísticas convencionais não</w:t>
      </w:r>
      <w:r>
        <w:t xml:space="preserve"> </w:t>
      </w:r>
      <w:r>
        <w:t xml:space="preserve">capturam. Uma pessoa desalentada gostaria de trabalhar, está disponível para</w:t>
      </w:r>
      <w:r>
        <w:t xml:space="preserve"> </w:t>
      </w:r>
      <w:r>
        <w:t xml:space="preserve">isso, mas deixou de procurar por acreditar que não encontraria vaga. Como não</w:t>
      </w:r>
      <w:r>
        <w:t xml:space="preserve"> </w:t>
      </w:r>
      <w:r>
        <w:t xml:space="preserve">procurou, não é contada como desocupada — sai da força de trabalho e some da</w:t>
      </w:r>
      <w:r>
        <w:t xml:space="preserve"> </w:t>
      </w:r>
      <w:r>
        <w:t xml:space="preserve">taxa de desocupação. É por isso que um território pode ter desemprego em queda</w:t>
      </w:r>
      <w:r>
        <w:t xml:space="preserve"> </w:t>
      </w:r>
      <w:r>
        <w:t xml:space="preserve">e mercado de trabalho piorando ao mesmo tempo.</w:t>
      </w:r>
    </w:p>
    <w:bookmarkStart w:id="76" w:name="percentual-de-desalentados"/>
    <w:p>
      <w:pPr>
        <w:pStyle w:val="Heading4"/>
      </w:pPr>
      <w:r>
        <w:t xml:space="preserve">3.5.1 Percentual de desalentados</w:t>
      </w:r>
    </w:p>
    <w:p>
      <w:pPr>
        <w:pStyle w:val="FirstParagraph"/>
      </w:pPr>
      <w:r>
        <w:rPr>
          <w:bCs/>
          <w:b/>
        </w:rPr>
        <w:t xml:space="preserve">Tabela 11</w:t>
      </w:r>
      <w:r>
        <w:t xml:space="preserve"> </w:t>
      </w:r>
      <w:r>
        <w:t xml:space="preserve">— Desalentados na força de trabalho ampliada,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[2,0; 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[5,0; 5,6]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[5,7; 8,3]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[2,4; 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[13,0; 20,1]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[1,2; 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[8,4; 12,4]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[1,2; 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[10,0; 16,9]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[4,7; 10,9]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[5,0; 14,7]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[10,0; 36,5]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[4,3; 10,2]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Desalentados na força ampliada" title="" id="71" name="Picture"/>
            <a:graphic>
              <a:graphicData uri="http://schemas.openxmlformats.org/drawingml/2006/picture">
                <pic:pic>
                  <pic:nvPicPr>
                    <pic:cNvPr descr="./output/figuras/comp_geo_Desalentados_Forca_Ampliad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Desalentados na força ampliada</w:t>
      </w:r>
    </w:p>
    <w:p>
      <w:pPr>
        <w:pStyle w:val="BodyText"/>
      </w:pPr>
      <w:r>
        <w:rPr>
          <w:bCs/>
          <w:b/>
        </w:rPr>
        <w:t xml:space="preserve">Figura 11</w:t>
      </w:r>
      <w:r>
        <w:t xml:space="preserve"> </w:t>
      </w:r>
      <w:r>
        <w:t xml:space="preserve">— Percentual de desalentados na força de trabalho ampliada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Desalentados fora da força de trabalho" title="" id="74" name="Picture"/>
            <a:graphic>
              <a:graphicData uri="http://schemas.openxmlformats.org/drawingml/2006/picture">
                <pic:pic>
                  <pic:nvPicPr>
                    <pic:cNvPr descr="./output/figuras/comp_geo_Desalentados_Fora_Forc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Desalentados fora da força de trabalho</w:t>
      </w:r>
    </w:p>
    <w:p>
      <w:pPr>
        <w:pStyle w:val="BodyText"/>
      </w:pPr>
      <w:r>
        <w:rPr>
          <w:bCs/>
          <w:b/>
        </w:rPr>
        <w:t xml:space="preserve">Figura 12</w:t>
      </w:r>
      <w:r>
        <w:t xml:space="preserve"> </w:t>
      </w:r>
      <w:r>
        <w:t xml:space="preserve">— Desalentados como percentual das pessoas fora da força de</w:t>
      </w:r>
      <w:r>
        <w:t xml:space="preserve"> </w:t>
      </w:r>
      <w:r>
        <w:t xml:space="preserve">trabalho — 2º trimestre de 2026</w:t>
      </w:r>
    </w:p>
    <w:p>
      <w:pPr>
        <w:pStyle w:val="BodyText"/>
      </w:pPr>
      <w:r>
        <w:t xml:space="preserve">O desalento atingiu 7,0% da força de</w:t>
      </w:r>
      <w:r>
        <w:t xml:space="preserve"> </w:t>
      </w:r>
      <w:r>
        <w:t xml:space="preserve">trabalho ampliada do Piauí, com 23,2%</w:t>
      </w:r>
      <w:r>
        <w:t xml:space="preserve"> </w:t>
      </w:r>
      <w:r>
        <w:t xml:space="preserve">em estrato 2251022 e</w:t>
      </w:r>
      <w:r>
        <w:t xml:space="preserve"> </w:t>
      </w:r>
      <w:r>
        <w:t xml:space="preserve">7,2% em</w:t>
      </w:r>
      <w:r>
        <w:t xml:space="preserve"> </w:t>
      </w:r>
      <w:r>
        <w:t xml:space="preserve">estrato 2251011. Entre as pessoas fora da</w:t>
      </w:r>
      <w:r>
        <w:t xml:space="preserve"> </w:t>
      </w:r>
      <w:r>
        <w:t xml:space="preserve">força de trabalho, os desalentados foram</w:t>
      </w:r>
      <w:r>
        <w:t xml:space="preserve"> </w:t>
      </w:r>
      <w:r>
        <w:t xml:space="preserve">68,4% no estado.</w:t>
      </w:r>
    </w:p>
    <w:p>
      <w:pPr>
        <w:pStyle w:val="BodyText"/>
      </w:pPr>
      <w:r>
        <w:t xml:space="preserve">A leitura conjunta com a taxa de desocupação é o que dá sentido ao indicador.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a lista de estratos com maior desalento com a de maior desocupação (Tabelas 2 e 11) e dizer se coincidem. Quando desalento alto convive com desocupação baixa, a taxa de desemprego daquele território está subestimando o problema.</w:t>
      </w:r>
    </w:p>
    <w:bookmarkEnd w:id="76"/>
    <w:bookmarkStart w:id="80" w:name="jovens-que-não-trabalham-nem-estudam"/>
    <w:p>
      <w:pPr>
        <w:pStyle w:val="Heading4"/>
      </w:pPr>
      <w:r>
        <w:t xml:space="preserve">3.5.2 Jovens que não trabalham nem estudam</w:t>
      </w:r>
    </w:p>
    <w:p>
      <w:pPr>
        <w:pStyle w:val="FirstParagraph"/>
      </w:pPr>
      <w:r>
        <w:rPr>
          <w:bCs/>
          <w:b/>
        </w:rPr>
        <w:t xml:space="preserve">Tabela 12</w:t>
      </w:r>
      <w:r>
        <w:t xml:space="preserve"> </w:t>
      </w:r>
      <w:r>
        <w:t xml:space="preserve">— Jovens de 14 a 29 anos que não trabalham nem estudam, por</w:t>
      </w:r>
      <w:r>
        <w:t xml:space="preserve"> </w:t>
      </w:r>
      <w:r>
        <w:t xml:space="preserve">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[17,6; 18,2]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[23,9; 25,1]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[22,3; 26,2]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[18,4; 22,9]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[29,7; 37,1]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37,0]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[23,7; 28,7]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37,0]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[20,9; 28,0]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[23,1; 37,3]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[35,5; 64,1]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[6,9; 20,1]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jovens nem-nem" title="" id="78" name="Picture"/>
            <a:graphic>
              <a:graphicData uri="http://schemas.openxmlformats.org/drawingml/2006/picture">
                <pic:pic>
                  <pic:nvPicPr>
                    <pic:cNvPr descr="./output/figuras/comp_geo_Taxa_Nem_Ne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jovens nem-nem</w:t>
      </w:r>
    </w:p>
    <w:p>
      <w:pPr>
        <w:pStyle w:val="BodyText"/>
      </w:pPr>
      <w:r>
        <w:rPr>
          <w:bCs/>
          <w:b/>
        </w:rPr>
        <w:t xml:space="preserve">Figura 13</w:t>
      </w:r>
      <w:r>
        <w:t xml:space="preserve"> </w:t>
      </w:r>
      <w:r>
        <w:t xml:space="preserve">— Percentual de jovens de 14 a 29 anos que não trabalham nem</w:t>
      </w:r>
      <w:r>
        <w:t xml:space="preserve"> </w:t>
      </w:r>
      <w:r>
        <w:t xml:space="preserve">estudam — 2º trimestre de 2026</w:t>
      </w:r>
    </w:p>
    <w:p>
      <w:pPr>
        <w:pStyle w:val="BodyText"/>
      </w:pPr>
      <w:r>
        <w:t xml:space="preserve">24,3% dos jovens piauienses de 14 a 29 anos não</w:t>
      </w:r>
      <w:r>
        <w:t xml:space="preserve"> </w:t>
      </w:r>
      <w:r>
        <w:t xml:space="preserve">trabalhavam nem estudavam. A incidência variou de</w:t>
      </w:r>
      <w:r>
        <w:t xml:space="preserve"> </w:t>
      </w:r>
      <w:r>
        <w:t xml:space="preserve">13,5% em estrato 2210012 a</w:t>
      </w:r>
      <w:r>
        <w:t xml:space="preserve"> </w:t>
      </w:r>
      <w:r>
        <w:t xml:space="preserve">49,8% em estrato 2251022.</w:t>
      </w:r>
    </w:p>
    <w:p>
      <w:pPr>
        <w:pStyle w:val="BodyText"/>
      </w:pPr>
      <w:r>
        <w:t xml:space="preserve">Este é o indicador com maior conteúdo prospectivo do relatório: ele não mede o</w:t>
      </w:r>
      <w:r>
        <w:t xml:space="preserve"> </w:t>
      </w:r>
      <w:r>
        <w:t xml:space="preserve">mercado de trabalho de hoje, mas a formação — ou a não formação — da força de</w:t>
      </w:r>
      <w:r>
        <w:t xml:space="preserve"> </w:t>
      </w:r>
      <w:r>
        <w:t xml:space="preserve">trabalho da próxima década.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a amplitude entre os estratos extremos significa para a próxima década de oferta de trabalho no estado.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dos nem-nem — é o recorte em que a diferença por sexo costuma ser mais acentuada, por conta do trabalho doméstico e de cuidado não remunerado. Incluir só se significativo E com CV abaixo de 15% em todas as subdivisões.</w:t>
      </w:r>
    </w:p>
    <w:bookmarkEnd w:id="80"/>
    <w:bookmarkStart w:id="90" w:name="motivos-para-não-procurar-trabalho"/>
    <w:p>
      <w:pPr>
        <w:pStyle w:val="Heading4"/>
      </w:pPr>
      <w:r>
        <w:t xml:space="preserve">3.5.3 Motivos para não procurar trabalho</w:t>
      </w:r>
    </w:p>
    <w:p>
      <w:pPr>
        <w:pStyle w:val="FirstParagraph"/>
      </w:pPr>
      <w:r>
        <w:t xml:space="preserve">Os indicadores anteriores dizem quantos desistiram. Este diz por quê — e é o</w:t>
      </w:r>
      <w:r>
        <w:t xml:space="preserve"> </w:t>
      </w:r>
      <w:r>
        <w:t xml:space="preserve">que separa um diagnóstico de falta de vagas de um diagnóstico de</w:t>
      </w:r>
      <w:r>
        <w:t xml:space="preserve"> </w:t>
      </w:r>
      <w:r>
        <w:t xml:space="preserve">incompatibilidade entre a mão de obra disponível e as vagas existentes. Os dois</w:t>
      </w:r>
      <w:r>
        <w:t xml:space="preserve"> </w:t>
      </w:r>
      <w:r>
        <w:t xml:space="preserve">pedem políticas públicas diferentes.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a desistência entre os desalentados" title="" id="82" name="Picture"/>
            <a:graphic>
              <a:graphicData uri="http://schemas.openxmlformats.org/drawingml/2006/picture">
                <pic:pic>
                  <pic:nvPicPr>
                    <pic:cNvPr descr="./output/figuras/comp_geo_Motivo_Desistencia_Desalentad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da desistência entre os desalentados</w:t>
      </w:r>
    </w:p>
    <w:p>
      <w:pPr>
        <w:pStyle w:val="BodyText"/>
      </w:pPr>
      <w:r>
        <w:rPr>
          <w:bCs/>
          <w:b/>
        </w:rPr>
        <w:t xml:space="preserve">Figura 14</w:t>
      </w:r>
      <w:r>
        <w:t xml:space="preserve"> </w:t>
      </w:r>
      <w:r>
        <w:t xml:space="preserve">— Motivo declarado da desistência, entre os desalentados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e não procurar trabalho entre os nem-nem" title="" id="85" name="Picture"/>
            <a:graphic>
              <a:graphicData uri="http://schemas.openxmlformats.org/drawingml/2006/picture">
                <pic:pic>
                  <pic:nvPicPr>
                    <pic:cNvPr descr="./output/figuras/comp_geo_Motivo_Nao_Procura_NemNem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de não procurar trabalho entre os nem-nem</w:t>
      </w:r>
    </w:p>
    <w:p>
      <w:pPr>
        <w:pStyle w:val="BodyText"/>
      </w:pPr>
      <w:r>
        <w:rPr>
          <w:bCs/>
          <w:b/>
        </w:rPr>
        <w:t xml:space="preserve">Figura 15</w:t>
      </w:r>
      <w:r>
        <w:t xml:space="preserve"> </w:t>
      </w:r>
      <w:r>
        <w:t xml:space="preserve">— Motivo de não ter procurado trabalho, entre os jovens nem-nem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e não iniciar trabalho entre os nem-nem" title="" id="88" name="Picture"/>
            <a:graphic>
              <a:graphicData uri="http://schemas.openxmlformats.org/drawingml/2006/picture">
                <pic:pic>
                  <pic:nvPicPr>
                    <pic:cNvPr descr="./output/figuras/comp_geo_Motivo_Nao_Inicio_NemNem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de não iniciar trabalho entre os nem-nem</w:t>
      </w:r>
    </w:p>
    <w:p>
      <w:pPr>
        <w:pStyle w:val="BodyText"/>
      </w:pPr>
      <w:r>
        <w:rPr>
          <w:bCs/>
          <w:b/>
        </w:rPr>
        <w:t xml:space="preserve">Figura 16</w:t>
      </w:r>
      <w:r>
        <w:t xml:space="preserve"> </w:t>
      </w:r>
      <w:r>
        <w:t xml:space="preserve">— Motivo de não ter iniciado trabalho, entre os jovens nem-nem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rPr>
          <w:bCs/>
          <w:b/>
        </w:rPr>
        <w:t xml:space="preserve">Tabela 13</w:t>
      </w:r>
      <w:r>
        <w:t xml:space="preserve"> </w:t>
      </w:r>
      <w:r>
        <w:t xml:space="preserve">— Motivo da desistência entre os desalentados,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950"/>
        <w:gridCol w:w="950"/>
        <w:gridCol w:w="1267"/>
        <w:gridCol w:w="1584"/>
        <w:gridCol w:w="1267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[53,8; 57,8]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[65,2; 69,7]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[64,8; 81,5]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[21,9; 62,3]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[36,9; 72,9]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[78,2; 90,9]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[21,9; 62,3]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[0,9; 113,8]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[66,1; 83,0]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[21,9; 62,3]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[0,9; 113,8]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[70,5; 88,9]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[37,0; 75,4]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[72,4; 98,9]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[100,0; 100,0]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[31,5; 32,9]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[26,4; 30,0]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[21,1; 25,2]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[13,5; 30,1]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[9,3; 49,1]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[19,0; 55,2]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[6,2; 18,2]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[9,3; 49,1]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99,1]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[12,6; 29,2]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[9,3; 49,1]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99,1]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[9,4; 27,2]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[13,8; 55,3]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21,2]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[31,0; 113,7]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[31,2; 100,6]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mostra apenas as categorias</w:t>
      </w:r>
      <w:r>
        <w:t xml:space="preserve"> </w:t>
      </w:r>
      <w:r>
        <w:t xml:space="preserve">“</w:t>
      </w:r>
      <w:r>
        <w:t xml:space="preserve">Não havia trabalho na localidade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Tinha</w:t>
      </w:r>
      <w:r>
        <w:t xml:space="preserve"> </w:t>
      </w:r>
      <w:r>
        <w:t xml:space="preserve">que cuidar dos afazeres domésticos, do(s) filho(s) ou de outro(s) parente(s)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Não conseguia trabalho adequado</w:t>
      </w:r>
      <w:r>
        <w:t xml:space="preserve">”</w:t>
      </w:r>
      <w:r>
        <w:t xml:space="preserve">, independentemente do CV — as demais</w:t>
      </w:r>
      <w:r>
        <w:t xml:space="preserve"> </w:t>
      </w:r>
      <w:r>
        <w:t xml:space="preserve">categorias de V4074A não entram nesta tabela.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o peso das três categorias entre os territórios —</w:t>
      </w:r>
      <w:r>
        <w:t xml:space="preserve"> </w:t>
      </w:r>
      <w:r>
        <w:t xml:space="preserve">“</w:t>
      </w:r>
      <w:r>
        <w:t xml:space="preserve">não havia trabalho na localidade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não conseguia trabalho adequado</w:t>
      </w:r>
      <w:r>
        <w:t xml:space="preserve">”</w:t>
      </w:r>
      <w:r>
        <w:t xml:space="preserve"> </w:t>
      </w:r>
      <w:r>
        <w:t xml:space="preserve">são causas do lado da oferta (falta de vaga, ou vaga incompatível), enquanto</w:t>
      </w:r>
      <w:r>
        <w:t xml:space="preserve"> </w:t>
      </w:r>
      <w:r>
        <w:t xml:space="preserve">“</w:t>
      </w:r>
      <w:r>
        <w:t xml:space="preserve">tinha que cuidar dos afazeres domésticos</w:t>
      </w:r>
      <w:r>
        <w:t xml:space="preserve">”</w:t>
      </w:r>
      <w:r>
        <w:t xml:space="preserve"> </w:t>
      </w:r>
      <w:r>
        <w:t xml:space="preserve">é do lado da demanda por cuidado; são diagnósticos que pedem políticas diferentes.</w:t>
      </w:r>
    </w:p>
    <w:p>
      <w:pPr>
        <w:pStyle w:val="FirstParagraph"/>
      </w:pPr>
      <w:r>
        <w:rPr>
          <w:bCs/>
          <w:b/>
        </w:rPr>
        <w:t xml:space="preserve">Tabela 14</w:t>
      </w:r>
      <w:r>
        <w:t xml:space="preserve"> </w:t>
      </w:r>
      <w:r>
        <w:t xml:space="preserve">— Distribuição dos motivos declarados, jovens que não procuraram</w:t>
      </w:r>
      <w:r>
        <w:t xml:space="preserve"> </w:t>
      </w:r>
      <w:r>
        <w:t xml:space="preserve">trabalho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2084"/>
        <w:gridCol w:w="166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Motivo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Tinha que cuidar dos afazeres domésticos, do(s) filho(s) ou de outro(s) parente(s)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[37,6; 48,9]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[14,7; 22,3]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Estava estudando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[4,7; 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nomear o motivo mais frequente da tabela acima e dizer que política pública ele aponta — falta de vaga pede uma coisa, incompatibilidade de qualificação pede outra.</w:t>
      </w:r>
    </w:p>
    <w:p>
      <w:pPr>
        <w:pStyle w:val="FirstParagraph"/>
      </w:pPr>
      <w:r>
        <w:rPr>
          <w:bCs/>
          <w:b/>
        </w:rPr>
        <w:t xml:space="preserve">Tabela 15</w:t>
      </w:r>
      <w:r>
        <w:t xml:space="preserve"> </w:t>
      </w:r>
      <w:r>
        <w:t xml:space="preserve">— Motivo de não ter iniciado trabalho entre os jovens nem-nem,</w:t>
      </w:r>
      <w:r>
        <w:t xml:space="preserve"> </w:t>
      </w:r>
      <w:r>
        <w:t xml:space="preserve">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950"/>
        <w:gridCol w:w="950"/>
        <w:gridCol w:w="1267"/>
        <w:gridCol w:w="1584"/>
        <w:gridCol w:w="1267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[12,8; 14,6]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[10,9; 13,7]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[4,2; 11,0]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11,8]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[3,4; 12,5]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[2,5; 11,4]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11,8]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[0,5; 22,2]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[4,2; 12,1]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11,8]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[0,5; 22,2]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[2,1; 17,9]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[1,4; 11,7]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136,1]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[46,1; 48,4]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[49,7; 53,2]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[49,9; 63,1]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[39,2; 60,0]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[44,2; 60,2]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[52,2; 74,8]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[39,2; 60,0]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[39,4; 81,2]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[49,8; 66,9]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[39,2; 60,0]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[39,4; 81,2]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[36,8; 66,4]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[43,8; 70,2]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[55,3; 84,3]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[100,0; 100,0]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74,8]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[19,4; 21,5]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[18,9; 21,4]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[21,1; 31,4]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[13,1; 28,1]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[20,0; 33,0]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[17,1; 34,6]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[13,1; 28,1]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[4,9; 35,2]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[22,0; 35,2]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[13,1; 28,1]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[4,9; 35,2]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[22,8; 46,6]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[19,4; 42,3]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[4,8; 28,0]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[22,0; 70,8]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[10,7; 31,2]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mostra apenas as categorias</w:t>
      </w:r>
      <w:r>
        <w:t xml:space="preserve"> </w:t>
      </w:r>
      <w:r>
        <w:t xml:space="preserve">“</w:t>
      </w:r>
      <w:r>
        <w:t xml:space="preserve">Por não querer trabalhar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Tinha que</w:t>
      </w:r>
      <w:r>
        <w:t xml:space="preserve"> </w:t>
      </w:r>
      <w:r>
        <w:t xml:space="preserve">cuidar dos afazeres domésticos, do(s) filho(s) ou de outro(s) parente(s)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Por problema de saúde ou gravidez</w:t>
      </w:r>
      <w:r>
        <w:t xml:space="preserve">”</w:t>
      </w:r>
      <w:r>
        <w:t xml:space="preserve">, independentemente do CV — as demais</w:t>
      </w:r>
      <w:r>
        <w:t xml:space="preserve"> </w:t>
      </w:r>
      <w:r>
        <w:t xml:space="preserve">categorias de V4078A não entram nesta tabela.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o peso das três categorias entre os territórios —</w:t>
      </w:r>
      <w:r>
        <w:t xml:space="preserve"> </w:t>
      </w:r>
      <w:r>
        <w:t xml:space="preserve">“</w:t>
      </w:r>
      <w:r>
        <w:t xml:space="preserve">tinha que cuidar dos afazeres domésticos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por problema de saúde ou gravidez</w:t>
      </w:r>
      <w:r>
        <w:t xml:space="preserve">”</w:t>
      </w:r>
      <w:r>
        <w:t xml:space="preserve"> </w:t>
      </w:r>
      <w:r>
        <w:t xml:space="preserve">são impedimentos, enquanto</w:t>
      </w:r>
      <w:r>
        <w:t xml:space="preserve"> </w:t>
      </w:r>
      <w:r>
        <w:t xml:space="preserve">“</w:t>
      </w:r>
      <w:r>
        <w:t xml:space="preserve">não queria trabalhar</w:t>
      </w:r>
      <w:r>
        <w:t xml:space="preserve">”</w:t>
      </w:r>
      <w:r>
        <w:t xml:space="preserve"> </w:t>
      </w:r>
      <w:r>
        <w:t xml:space="preserve">é desinteresse declarado; tratar as duas primeiras como a mesma coisa que</w:t>
      </w:r>
      <w:r>
        <w:t xml:space="preserve"> </w:t>
      </w:r>
      <w:r>
        <w:t xml:space="preserve">“</w:t>
      </w:r>
      <w:r>
        <w:t xml:space="preserve">não queria trabalhar</w:t>
      </w:r>
      <w:r>
        <w:t xml:space="preserve">”</w:t>
      </w:r>
      <w:r>
        <w:t xml:space="preserve"> </w:t>
      </w:r>
      <w:r>
        <w:t xml:space="preserve">seria um erro de leitura.</w:t>
      </w:r>
    </w:p>
    <w:p>
      <w:pPr>
        <w:pStyle w:val="FirstParagraph"/>
      </w:pPr>
      <w:r>
        <w:t xml:space="preserve">Estes são os indicadores mais frágeis do relatório em termos de precisão: são</w:t>
      </w:r>
      <w:r>
        <w:t xml:space="preserve"> </w:t>
      </w:r>
      <w:r>
        <w:t xml:space="preserve">proporções calculadas sobre um subconjunto já pequeno — os desalentados, ou os</w:t>
      </w:r>
      <w:r>
        <w:t xml:space="preserve"> </w:t>
      </w:r>
      <w:r>
        <w:t xml:space="preserve">jovens nem-nem — e depois repartidas entre várias categorias de resposta. É</w:t>
      </w:r>
      <w:r>
        <w:t xml:space="preserve"> </w:t>
      </w:r>
      <w:r>
        <w:t xml:space="preserve">normal que a maioria das células apareça com CV alto nos estratos mais finos, e</w:t>
      </w:r>
      <w:r>
        <w:t xml:space="preserve"> </w:t>
      </w:r>
      <w:r>
        <w:t xml:space="preserve">elas devem ser lidas como indicativas, não conclusivas. As Tabelas 13 e 15 são</w:t>
      </w:r>
      <w:r>
        <w:t xml:space="preserve"> </w:t>
      </w:r>
      <w:r>
        <w:t xml:space="preserve">a exceção deliberada: como pedido, elas mostram categorias específicas</w:t>
      </w:r>
      <w:r>
        <w:t xml:space="preserve"> </w:t>
      </w:r>
      <w:r>
        <w:rPr>
          <w:bCs/>
          <w:b/>
        </w:rPr>
        <w:t xml:space="preserve">independentemente do CV</w:t>
      </w:r>
      <w:r>
        <w:t xml:space="preserve"> </w:t>
      </w:r>
      <w:r>
        <w:t xml:space="preserve">— a leitura deve se apoiar no IC ao lado de cada</w:t>
      </w:r>
      <w:r>
        <w:t xml:space="preserve"> </w:t>
      </w:r>
      <w:r>
        <w:t xml:space="preserve">estimativa, não na estimativa pontual sozinha.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1abdfdd75baeef37c9c427c55f62adaf1f36130"/>
    <w:p>
      <w:pPr>
        <w:pStyle w:val="Heading3"/>
      </w:pPr>
      <w:r>
        <w:t xml:space="preserve">3.6 Síntese: onde as diferenças são estatisticamente significativas</w:t>
      </w:r>
    </w:p>
    <w:p>
      <w:pPr>
        <w:pStyle w:val="FirstParagraph"/>
      </w:pPr>
      <w:r>
        <w:t xml:space="preserve">Esta subseção reúne, em um único quadro, o resultado dos testes aplicados ao</w:t>
      </w:r>
      <w:r>
        <w:t xml:space="preserve"> </w:t>
      </w:r>
      <w:r>
        <w:t xml:space="preserve">longo da seção. A pergunta que ela responde é: para cada indicador, quais</w:t>
      </w:r>
      <w:r>
        <w:t xml:space="preserve"> </w:t>
      </w:r>
      <w:r>
        <w:t xml:space="preserve">recortes territoriais produzem diferenças que não se explicam por acaso</w:t>
      </w:r>
      <w:r>
        <w:t xml:space="preserve"> </w:t>
      </w:r>
      <w:r>
        <w:t xml:space="preserve">amostral?</w:t>
      </w:r>
    </w:p>
    <w:p>
      <w:pPr>
        <w:pStyle w:val="BodyText"/>
      </w:pPr>
      <w:r>
        <w:rPr>
          <w:bCs/>
          <w:b/>
        </w:rPr>
        <w:t xml:space="preserve">Tabela 16</w:t>
      </w:r>
      <w:r>
        <w:t xml:space="preserve"> </w:t>
      </w:r>
      <w:r>
        <w:t xml:space="preserve">— Testes de diferença entre categorias, por indicador e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(7 díg.)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Teresina × resto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desocupação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Responsáveis desocupados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Responsáveis ou cônjuges desocupados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 médio habitual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Sub-remuneração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informalidade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Sub-ocupação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Ocupados com médio completo ou mais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Desalentados (força ampliada)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Desalentados (fora da força)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Jovens nem-nem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</w:tbl>
    <w:p>
      <w:pPr>
        <w:pStyle w:val="BodyText"/>
      </w:pPr>
      <w:r>
        <w:t xml:space="preserve">Legenda: *** p &lt; 0,001; ** p &lt; 0,01; * p &lt; 0,05; ns = não significativo;</w:t>
      </w:r>
      <w:r>
        <w:t xml:space="preserve"> </w:t>
      </w:r>
      <w:r>
        <w:t xml:space="preserve">— = o teste não se sustenta nessa resolução (ver adiante). Os símbolos</w:t>
      </w:r>
      <w:r>
        <w:t xml:space="preserve"> </w:t>
      </w:r>
      <w:r>
        <w:t xml:space="preserve">referem-se ao</w:t>
      </w:r>
      <w:r>
        <w:t xml:space="preserve"> </w:t>
      </w:r>
      <w:r>
        <w:rPr>
          <w:bCs/>
          <w:b/>
        </w:rPr>
        <w:t xml:space="preserve">p-valor ajustado</w:t>
      </w:r>
      <w:r>
        <w:t xml:space="preserve"> </w:t>
      </w:r>
      <w:r>
        <w:t xml:space="preserve">para multiplicidade; a tabela completa, com</w:t>
      </w:r>
      <w:r>
        <w:t xml:space="preserve"> </w:t>
      </w:r>
      <w:r>
        <w:t xml:space="preserve">os p-valores brutos ao lado, está no anexo metodológico.</w:t>
      </w:r>
    </w:p>
    <w:p>
      <w:pPr>
        <w:pStyle w:val="BodyText"/>
      </w:pPr>
      <w:r>
        <w:rPr>
          <w:bCs/>
          <w:b/>
        </w:rPr>
        <w:t xml:space="preserve">Como ler a tabela.</w:t>
      </w:r>
      <w:r>
        <w:t xml:space="preserve"> </w:t>
      </w:r>
      <w:r>
        <w:t xml:space="preserve">Duas leituras saltam.</w:t>
      </w:r>
    </w:p>
    <w:p>
      <w:pPr>
        <w:pStyle w:val="BodyText"/>
      </w:pPr>
      <w:r>
        <w:t xml:space="preserve">A primeira:</w:t>
      </w:r>
      <w:r>
        <w:t xml:space="preserve"> </w:t>
      </w:r>
      <w:r>
        <w:rPr>
          <w:bCs/>
          <w:b/>
        </w:rPr>
        <w:t xml:space="preserve">quase tudo difere entre territórios</w:t>
      </w:r>
      <w:r>
        <w:t xml:space="preserve">. Nas quatro colunas em que</w:t>
      </w:r>
      <w:r>
        <w:t xml:space="preserve"> </w:t>
      </w:r>
      <w:r>
        <w:t xml:space="preserve">o teste se sustenta, a esmagadora maioria das células traz três asteriscos. O</w:t>
      </w:r>
      <w:r>
        <w:t xml:space="preserve"> </w:t>
      </w:r>
      <w:r>
        <w:t xml:space="preserve">Piauí não é homogêneo em praticamente nenhuma das dimensões medidas — e a</w:t>
      </w:r>
      <w:r>
        <w:t xml:space="preserve"> </w:t>
      </w:r>
      <w:r>
        <w:t xml:space="preserve">coluna</w:t>
      </w:r>
      <w:r>
        <w:t xml:space="preserve"> </w:t>
      </w:r>
      <w:r>
        <w:t xml:space="preserve">“</w:t>
      </w:r>
      <w:r>
        <w:t xml:space="preserve">Teresina × resto</w:t>
      </w:r>
      <w:r>
        <w:t xml:space="preserve">”</w:t>
      </w:r>
      <w:r>
        <w:t xml:space="preserve"> </w:t>
      </w:r>
      <w:r>
        <w:t xml:space="preserve">mostra que a capital se destaca do estado em dez dos</w:t>
      </w:r>
      <w:r>
        <w:t xml:space="preserve"> </w:t>
      </w:r>
      <w:r>
        <w:t xml:space="preserve">onze indicadores.</w:t>
      </w:r>
    </w:p>
    <w:p>
      <w:pPr>
        <w:pStyle w:val="BodyText"/>
      </w:pPr>
      <w:r>
        <w:t xml:space="preserve">A segunda é mais sutil e diz respeito ao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de indicador. Os três</w:t>
      </w:r>
      <w:r>
        <w:t xml:space="preserve"> </w:t>
      </w:r>
      <w:r>
        <w:t xml:space="preserve">primeiros — desocupação e suas variantes por posição no domicílio — são os</w:t>
      </w:r>
      <w:r>
        <w:t xml:space="preserve"> </w:t>
      </w:r>
      <w:r>
        <w:t xml:space="preserve">únicos que oscilam entre significativo e não significativo conforme o recorte.</w:t>
      </w:r>
      <w:r>
        <w:t xml:space="preserve"> </w:t>
      </w:r>
      <w:r>
        <w:t xml:space="preserve">Todos os demais, ligados a</w:t>
      </w:r>
      <w:r>
        <w:t xml:space="preserve"> </w:t>
      </w:r>
      <w:r>
        <w:rPr>
          <w:bCs/>
          <w:b/>
        </w:rPr>
        <w:t xml:space="preserve">renda, informalidade e escolaridade</w:t>
      </w:r>
      <w:r>
        <w:t xml:space="preserve">, são</w:t>
      </w:r>
      <w:r>
        <w:t xml:space="preserve"> </w:t>
      </w:r>
      <w:r>
        <w:t xml:space="preserve">significativos em todos os cortes territoriais disponíveis. A diferença é</w:t>
      </w:r>
      <w:r>
        <w:t xml:space="preserve"> </w:t>
      </w:r>
      <w:r>
        <w:t xml:space="preserve">substantiva: estar desempregado é uma condição relativamente distribuída pelo</w:t>
      </w:r>
      <w:r>
        <w:t xml:space="preserve"> </w:t>
      </w:r>
      <w:r>
        <w:t xml:space="preserve">estado, enquanto</w:t>
      </w:r>
      <w:r>
        <w:t xml:space="preserve"> </w:t>
      </w:r>
      <w:r>
        <w:rPr>
          <w:iCs/>
          <w:i/>
        </w:rPr>
        <w:t xml:space="preserve">quanto se ganha e sob que vínculo</w:t>
      </w:r>
      <w:r>
        <w:t xml:space="preserve"> </w:t>
      </w:r>
      <w:r>
        <w:t xml:space="preserve">depende fortemente de onde</w:t>
      </w:r>
      <w:r>
        <w:t xml:space="preserve"> </w:t>
      </w:r>
      <w:r>
        <w:t xml:space="preserve">se mora.</w:t>
      </w:r>
    </w:p>
    <w:p>
      <w:pPr>
        <w:pStyle w:val="BodyText"/>
      </w:pPr>
      <w:r>
        <w:rPr>
          <w:bCs/>
          <w:b/>
        </w:rPr>
        <w:t xml:space="preserve">Sobre a coluna do estrato de 7 dígitos.</w:t>
      </w:r>
      <w:r>
        <w:t xml:space="preserve"> </w:t>
      </w:r>
      <w:r>
        <w:t xml:space="preserve">Três indicadores trazem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. Não</w:t>
      </w:r>
      <w:r>
        <w:t xml:space="preserve"> </w:t>
      </w:r>
      <w:r>
        <w:t xml:space="preserve">são resultados omitidos por conveniência: nesse recorte, com 26 categorias e</w:t>
      </w:r>
      <w:r>
        <w:t xml:space="preserve"> </w:t>
      </w:r>
      <w:r>
        <w:t xml:space="preserve">estratos de até 3 UPAs, a matriz de covariância replicada perde posto e o</w:t>
      </w:r>
      <w:r>
        <w:t xml:space="preserve"> </w:t>
      </w:r>
      <w:r>
        <w:t xml:space="preserve">p-valor que sairia dali seria enviesado para encontrar diferença (seção 6.5 do</w:t>
      </w:r>
      <w:r>
        <w:t xml:space="preserve"> </w:t>
      </w:r>
      <w:r>
        <w:t xml:space="preserve">anexo). No caso da taxa de desocupação o posto cai para 1 de 26 — o teste</w:t>
      </w:r>
      <w:r>
        <w:t xml:space="preserve"> </w:t>
      </w:r>
      <w:r>
        <w:t xml:space="preserve">simplesmente não existe. A leitura desses três indicadores no nível mais fino</w:t>
      </w:r>
      <w:r>
        <w:t xml:space="preserve"> </w:t>
      </w:r>
      <w:r>
        <w:t xml:space="preserve">deve se apoiar nos intervalos de confiança das tabelas anteriores, não em</w:t>
      </w:r>
      <w:r>
        <w:t xml:space="preserve"> </w:t>
      </w:r>
      <w:r>
        <w:t xml:space="preserve">teste de hipótese. Onde o teste se sustenta no recorte fino, ele é conservador:</w:t>
      </w:r>
      <w:r>
        <w:t xml:space="preserve"> </w:t>
      </w:r>
      <w:r>
        <w:t xml:space="preserve">apenas rendimento médio e escolaridade dos ocupados discriminam entre os 26</w:t>
      </w:r>
      <w:r>
        <w:t xml:space="preserve"> </w:t>
      </w:r>
      <w:r>
        <w:t xml:space="preserve">estratos.</w:t>
      </w:r>
      <w:r>
        <w:t xml:space="preserve"> </w:t>
      </w:r>
      <w:r>
        <w:t xml:space="preserve">Fonte:</w:t>
      </w:r>
      <w:r>
        <w:t xml:space="preserve"> </w:t>
      </w:r>
      <w:r>
        <w:rPr>
          <w:rStyle w:val="VerbatimChar"/>
        </w:rPr>
        <w:t xml:space="preserve">output/tabelas/anova_regional_2026T2.csv</w:t>
      </w:r>
      <w:r>
        <w:t xml:space="preserve">. Elaboração própria.</w:t>
      </w:r>
    </w:p>
    <w:p>
      <w:pPr>
        <w:pStyle w:val="CaptionedFigure"/>
      </w:pPr>
      <w:r>
        <w:drawing>
          <wp:inline>
            <wp:extent cx="5334000" cy="10001250"/>
            <wp:effectExtent b="0" l="0" r="0" t="0"/>
            <wp:docPr descr="ANOVA regional" title="" id="93" name="Picture"/>
            <a:graphic>
              <a:graphicData uri="http://schemas.openxmlformats.org/drawingml/2006/picture">
                <pic:pic>
                  <pic:nvPicPr>
                    <pic:cNvPr descr="./output/figuras/anova_regional_2026T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0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ANOVA regional</w:t>
      </w:r>
    </w:p>
    <w:p>
      <w:pPr>
        <w:pStyle w:val="BodyText"/>
      </w:pPr>
      <w:r>
        <w:rPr>
          <w:bCs/>
          <w:b/>
        </w:rPr>
        <w:t xml:space="preserve">Figura 17</w:t>
      </w:r>
      <w:r>
        <w:t xml:space="preserve"> </w:t>
      </w:r>
      <w:r>
        <w:t xml:space="preserve">— p-valores dos testes de diferença entre categorias, por</w:t>
      </w:r>
      <w:r>
        <w:t xml:space="preserve"> </w:t>
      </w:r>
      <w:r>
        <w:t xml:space="preserve">indicador e recorte regional — 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dizer quantos testes regionais foram realizados, quantos deram significativos pelo p-valor bruto e quantos sobreviveram ao ajuste (os três números saem no console ao rodar o pipeline), e indicar quais recortes discriminam mais e quais indicadores são mais homogêneos no território.</w:t>
      </w:r>
    </w:p>
    <w:p>
      <w:pPr>
        <w:pStyle w:val="FirstParagraph"/>
      </w:pPr>
      <w:r>
        <w:t xml:space="preserve">Duas observações que a leitura desta tabela exige.</w:t>
      </w:r>
    </w:p>
    <w:p>
      <w:pPr>
        <w:pStyle w:val="BodyText"/>
      </w:pPr>
      <w:r>
        <w:rPr>
          <w:bCs/>
          <w:b/>
        </w:rPr>
        <w:t xml:space="preserve">Significância estatística não é relevância prática.</w:t>
      </w:r>
      <w:r>
        <w:t xml:space="preserve"> </w:t>
      </w:r>
      <w:r>
        <w:t xml:space="preserve">Uma diferença pode ser</w:t>
      </w:r>
      <w:r>
        <w:t xml:space="preserve"> </w:t>
      </w:r>
      <w:r>
        <w:t xml:space="preserve">estatisticamente sólida e pequena demais para orientar política pública; e um</w:t>
      </w:r>
      <w:r>
        <w:t xml:space="preserve"> </w:t>
      </w:r>
      <w:r>
        <w:t xml:space="preserve">recorte com poucas observações pode não atingir significância diante de uma</w:t>
      </w:r>
      <w:r>
        <w:t xml:space="preserve"> </w:t>
      </w:r>
      <w:r>
        <w:t xml:space="preserve">diferença real e grande, por falta de amostra. O teste responde</w:t>
      </w:r>
      <w:r>
        <w:t xml:space="preserve"> </w:t>
      </w:r>
      <w:r>
        <w:t xml:space="preserve">“</w:t>
      </w:r>
      <w:r>
        <w:t xml:space="preserve">isto é</w:t>
      </w:r>
      <w:r>
        <w:t xml:space="preserve"> </w:t>
      </w:r>
      <w:r>
        <w:t xml:space="preserve">distinguível do acaso?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isto importa?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Os p-valores desta edição passaram por duas correções.</w:t>
      </w:r>
      <w:r>
        <w:t xml:space="preserve"> </w:t>
      </w:r>
      <w:r>
        <w:t xml:space="preserve">A primeira é de</w:t>
      </w:r>
      <w:r>
        <w:t xml:space="preserve"> </w:t>
      </w:r>
      <w:r>
        <w:t xml:space="preserve">calibração: o teste usado é a razão de verossimilhanças de Rao-Scott, e não o</w:t>
      </w:r>
      <w:r>
        <w:t xml:space="preserve"> </w:t>
      </w:r>
      <w:r>
        <w:t xml:space="preserve">teste de Wald, porque este último rejeitava a hipótese nula em metade das</w:t>
      </w:r>
      <w:r>
        <w:t xml:space="preserve"> </w:t>
      </w:r>
      <w:r>
        <w:t xml:space="preserve">vezes em que ela era verdadeira nos recortes com muitas categorias. A segunda</w:t>
      </w:r>
      <w:r>
        <w:t xml:space="preserve"> </w:t>
      </w:r>
      <w:r>
        <w:t xml:space="preserve">é de multiplicidade: com centenas de comparações por trimestre, parte da</w:t>
      </w:r>
      <w:r>
        <w:t xml:space="preserve"> </w:t>
      </w:r>
      <w:r>
        <w:t xml:space="preserve">significância bruta seria produto do volume de testes, e o ajuste desconta esse</w:t>
      </w:r>
      <w:r>
        <w:t xml:space="preserve"> </w:t>
      </w:r>
      <w:r>
        <w:t xml:space="preserve">efeito. Há ainda uma terceira, de natureza diferente: alguns cruzamentos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produzem teste algum</w:t>
      </w:r>
      <w:r>
        <w:t xml:space="preserve">. Quando a matriz de covariância do modelo perde posto —</w:t>
      </w:r>
      <w:r>
        <w:t xml:space="preserve"> </w:t>
      </w:r>
      <w:r>
        <w:t xml:space="preserve">o que acontece em recortes de muitas categorias dentro de estratos pequenos —</w:t>
      </w:r>
      <w:r>
        <w:t xml:space="preserve"> </w:t>
      </w:r>
      <w:r>
        <w:t xml:space="preserve">o p-valor que sairia dali seria enviesado na direção de encontrar diferença.</w:t>
      </w:r>
      <w:r>
        <w:t xml:space="preserve"> </w:t>
      </w:r>
      <w:r>
        <w:t xml:space="preserve">Nesses casos o teste é refeito no recorte agregado, e se ainda assim não</w:t>
      </w:r>
      <w:r>
        <w:t xml:space="preserve"> </w:t>
      </w:r>
      <w:r>
        <w:t xml:space="preserve">sustentar, a célula fica vazia. Uma lacuna honesta vale mais que um asterisco</w:t>
      </w:r>
      <w:r>
        <w:t xml:space="preserve"> </w:t>
      </w:r>
      <w:r>
        <w:t xml:space="preserve">inventado. O anexo metodológico (seções 6.4, 6.5 e 6.8) documenta as três, com</w:t>
      </w:r>
      <w:r>
        <w:t xml:space="preserve"> </w:t>
      </w:r>
      <w:r>
        <w:t xml:space="preserve">as simulações e os diagnósticos que as motivaram.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considerações-finais"/>
    <w:p>
      <w:pPr>
        <w:pStyle w:val="Heading2"/>
      </w:pPr>
      <w:r>
        <w:t xml:space="preserve">4 Considerações finais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síntese geral em três a cinco parágrafos, retomando (i) o quadro do Piauí frente a Brasil e Nordeste; (ii) o eixo capital-interior; (iii) o eixo urbano-rural; (iv) as dimensões em que o estado é mais homogêneo; (v) o que mudou em relação ao trimestre anterior.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ressalvas de encerramento — repetir que as estatísticas por estrato são experimentais e que estimativas com CV acima de 15% não sustentam conclusão.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2" Target="media/rId9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7" Target="media/rId87.png" /><Relationship Type="http://schemas.openxmlformats.org/officeDocument/2006/relationships/image" Id="rId84" Target="media/rId84.png" /><Relationship Type="http://schemas.openxmlformats.org/officeDocument/2006/relationships/image" Id="rId45" Target="media/rId45.png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28" Target="media/rId28.png" /><Relationship Type="http://schemas.openxmlformats.org/officeDocument/2006/relationships/image" Id="rId57" Target="media/rId57.png" /><Relationship Type="http://schemas.openxmlformats.org/officeDocument/2006/relationships/image" Id="rId77" Target="media/rId7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2026-08-27T13:36:04Z</dcterms:created>
  <dcterms:modified xsi:type="dcterms:W3CDTF">2026-08-27T13:36:04Z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