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 AUTOMÁTICA DO RELATÓRIO — REVER OS TEXTOS E REDIGIR AS ANÁLISES</w:t>
      </w:r>
    </w:p>
    <w:bookmarkStart w:id="9" w:name="destaques-do-trimestre"/>
    <w:p>
      <w:pPr>
        <w:pStyle w:val="Ttulo2"/>
      </w:pPr>
      <w:r>
        <w:t xml:space="preserve">1 Destaques do trimestre</w:t>
      </w:r>
    </w:p>
    <w:p>
      <w:pPr>
        <w:pStyle w:val="FirstParagraph"/>
      </w:pPr>
      <w:r>
        <w:t xml:space="preserve">No 2º trimestre de 2026, a taxa de desocupação do Piauí foi de</w:t>
      </w:r>
      <w:r>
        <w:t xml:space="preserve"> </w:t>
      </w:r>
      <w:r>
        <w:t xml:space="preserve">8,3%, ante 7,6% no</w:t>
      </w:r>
      <w:r>
        <w:t xml:space="preserve"> </w:t>
      </w:r>
      <w:r>
        <w:t xml:space="preserve">Nordeste e 5,4% no Brasil. A taxa de participação</w:t>
      </w:r>
      <w:r>
        <w:t xml:space="preserve"> </w:t>
      </w:r>
      <w:r>
        <w:t xml:space="preserve">na força de trabalho ficou em 52,9%</w:t>
      </w:r>
      <w:r>
        <w:t xml:space="preserve"> </w:t>
      </w:r>
      <w:r>
        <w:t xml:space="preserve">(62,1% no Brasil) e a taxa composta de</w:t>
      </w:r>
      <w:r>
        <w:t xml:space="preserve"> </w:t>
      </w:r>
      <w:r>
        <w:t xml:space="preserve">subutilização, em 26,6%. O rendimento</w:t>
      </w:r>
      <w:r>
        <w:t xml:space="preserve"> </w:t>
      </w:r>
      <w:r>
        <w:t xml:space="preserve">médio real habitual do trabalho no estado, de</w:t>
      </w:r>
      <w:r>
        <w:t xml:space="preserve"> </w:t>
      </w:r>
      <w:r>
        <w:t xml:space="preserve">R$ 2.547, equivale a</w:t>
      </w:r>
      <w:r>
        <w:t xml:space="preserve"> </w:t>
      </w:r>
      <w:r>
        <w:t xml:space="preserve">68,1% do nacional.</w:t>
      </w:r>
    </w:p>
    <w:p>
      <w:pPr>
        <w:pStyle w:val="Corpodetexto"/>
      </w:pPr>
      <w:r>
        <w:rPr>
          <w:b/>
          <w:bCs/>
        </w:rPr>
        <w:t xml:space="preserve">Tabela 1</w:t>
      </w:r>
      <w:r>
        <w:t xml:space="preserve"> </w:t>
      </w:r>
      <w:r>
        <w:t xml:space="preserve">— Indicadores de destaque: Brasil, Nordeste e Piauí, e variação do Piauí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Piauí: variação sobre 2026T1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Piauí: variação sobre 2025T2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−0,6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−0,6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−0,2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−0,5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desocupação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−0,6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−0,2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composta de subutilização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−3,8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−3,5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−0,8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−2,3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real habitual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R$ 2.645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R$ 2.547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−R$ 143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+R$ 10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de Gini do rendimento do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−0,023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−0,027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Jovens de 14 a 29 anos que não estudam nem trabalham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−0,8 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−0,1 ns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  <w:r>
        <w:t xml:space="preserve"> </w:t>
      </w:r>
      <w:r>
        <w:t xml:space="preserve">Nota: variação em pontos percentuais (taxas), reais (rendimento) ou unidades</w:t>
      </w:r>
      <w:r>
        <w:t xml:space="preserve"> </w:t>
      </w:r>
      <w:r>
        <w:t xml:space="preserve">do índice (Gini). *** p &lt; 0,001; ** p &lt; 0,01; * p &lt; 0,05; ns = não</w:t>
      </w:r>
      <w:r>
        <w:t xml:space="preserve"> </w:t>
      </w:r>
      <w:r>
        <w:t xml:space="preserve">significativo (p ajustado). † = precisão regular na série; – = não sustenta</w:t>
      </w:r>
      <w:r>
        <w:t xml:space="preserve"> </w:t>
      </w:r>
      <w:r>
        <w:t xml:space="preserve">leitura. Ver seção 2.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dois ou três parágrafos com a leitura dos destaques — só o que a Tabela 1 marca como significativo; variação</w:t>
      </w:r>
      <w:r>
        <w:t xml:space="preserve"> </w:t>
      </w:r>
      <w:r>
        <w:t xml:space="preserve">“ns”</w:t>
      </w:r>
      <w:r>
        <w:t xml:space="preserve"> </w:t>
      </w:r>
      <w:r>
        <w:t xml:space="preserve">não é aumento nem queda.</w:t>
      </w:r>
    </w:p>
    <w:bookmarkEnd w:id="9"/>
    <w:bookmarkStart w:id="10" w:name="como-ler-as-tabelas"/>
    <w:p>
      <w:pPr>
        <w:pStyle w:val="Ttulo2"/>
      </w:pPr>
      <w:r>
        <w:t xml:space="preserve">2 Como ler as tabelas</w:t>
      </w:r>
    </w:p>
    <w:p>
      <w:pPr>
        <w:pStyle w:val="FirstParagraph"/>
      </w:pPr>
      <w:r>
        <w:t xml:space="preserve">Todas as estimativas vêm de uma amostra, e por isso cada número tem uma</w:t>
      </w:r>
      <w:r>
        <w:t xml:space="preserve"> </w:t>
      </w:r>
      <w:r>
        <w:t xml:space="preserve">margem de erro. Três marcas orientam a leitura: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 sem marca</w:t>
      </w:r>
      <w:r>
        <w:t xml:space="preserve">: o indicador, naquele território, teve coeficiente de</w:t>
      </w:r>
      <w:r>
        <w:t xml:space="preserve"> </w:t>
      </w:r>
      <w:r>
        <w:t xml:space="preserve">variação abaixo de 15% em pelo menos 80% dos trimestres desde 2022. É um</w:t>
      </w:r>
      <w:r>
        <w:t xml:space="preserve"> </w:t>
      </w:r>
      <w:r>
        <w:t xml:space="preserve">número confiável para acompanhamento trimestral.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 com †</w:t>
      </w:r>
      <w:r>
        <w:t xml:space="preserve">: precisão regular (coeficiente de variação entre 15% e 30%</w:t>
      </w:r>
      <w:r>
        <w:t xml:space="preserve"> </w:t>
      </w:r>
      <w:r>
        <w:t xml:space="preserve">na maior parte da série). Serve como indicação, não como base para decisão.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–</w:t>
      </w:r>
      <w:r>
        <w:t xml:space="preserve">: a amostra não sustenta a estimativa naquele território.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asteriscos</w:t>
      </w:r>
      <w:r>
        <w:t xml:space="preserve"> </w:t>
      </w:r>
      <w:r>
        <w:t xml:space="preserve">dizem se as diferenças são estatisticamente significativas,</w:t>
      </w:r>
      <w:r>
        <w:t xml:space="preserve"> </w:t>
      </w:r>
      <w:r>
        <w:t xml:space="preserve">isto é, se não se explicam por acaso amostral: *** p &lt; 0,001; ** p &lt; 0,01;</w:t>
      </w:r>
      <w:r>
        <w:t xml:space="preserve"> </w:t>
      </w:r>
      <w:r>
        <w:t xml:space="preserve">* p &lt; 0,05; ns = não significativo. Nas matrizes territoriais, a coluna</w:t>
      </w:r>
      <w:r>
        <w:t xml:space="preserve"> </w:t>
      </w:r>
      <w:r>
        <w:t xml:space="preserve">“Teste estratos”</w:t>
      </w:r>
      <w:r>
        <w:t xml:space="preserve"> </w:t>
      </w:r>
      <w:r>
        <w:t xml:space="preserve">diz se os cinco estratos diferem entre si, e</w:t>
      </w:r>
      <w:r>
        <w:t xml:space="preserve"> </w:t>
      </w:r>
      <w:r>
        <w:t xml:space="preserve">“Teste zona”</w:t>
      </w:r>
      <w:r>
        <w:t xml:space="preserve">, se</w:t>
      </w:r>
      <w:r>
        <w:t xml:space="preserve"> </w:t>
      </w:r>
      <w:r>
        <w:t xml:space="preserve">urbano e rural diferem. Os testes não apontam</w:t>
      </w:r>
      <w:r>
        <w:t xml:space="preserve"> </w:t>
      </w:r>
      <w:r>
        <w:rPr>
          <w:i/>
          <w:iCs/>
        </w:rPr>
        <w:t xml:space="preserve">qual</w:t>
      </w:r>
      <w:r>
        <w:t xml:space="preserve"> </w:t>
      </w:r>
      <w:r>
        <w:t xml:space="preserve">território difere — para</w:t>
      </w:r>
      <w:r>
        <w:t xml:space="preserve"> </w:t>
      </w:r>
      <w:r>
        <w:t xml:space="preserve">isso, compare os valores. Detalhes na nota metodológica (Anexo A).</w:t>
      </w:r>
    </w:p>
    <w:bookmarkEnd w:id="10"/>
    <w:bookmarkStart w:id="11" w:name="ocupação-e-desocupação"/>
    <w:p>
      <w:pPr>
        <w:pStyle w:val="Ttulo2"/>
      </w:pPr>
      <w:r>
        <w:t xml:space="preserve">3 Ocupação e desocupação</w:t>
      </w:r>
    </w:p>
    <w:p>
      <w:pPr>
        <w:pStyle w:val="FirstParagraph"/>
      </w:pPr>
      <w:r>
        <w:rPr>
          <w:b/>
          <w:bCs/>
        </w:rPr>
        <w:t xml:space="preserve">Tabela 2</w:t>
      </w:r>
      <w:r>
        <w:t xml:space="preserve"> </w:t>
      </w:r>
      <w:r>
        <w:t xml:space="preserve">— Ocupação e desocupação, por território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7"/>
        <w:gridCol w:w="703"/>
        <w:gridCol w:w="703"/>
        <w:gridCol w:w="703"/>
        <w:gridCol w:w="703"/>
        <w:gridCol w:w="703"/>
        <w:gridCol w:w="703"/>
        <w:gridCol w:w="879"/>
        <w:gridCol w:w="703"/>
        <w:gridCol w:w="703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desocupação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composta de subutilização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pelo domicílio entre os desocupados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47,0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51,1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ou cônjuges entre os desocupados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em idade de trabalhar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na força de trabalho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fora da força de trabalho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ocupadas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desocupadas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subutilizadas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Tabela 2 — um parágrafo curto, apoiado nos pontos de atenção (seção 8).</w:t>
      </w:r>
    </w:p>
    <w:bookmarkEnd w:id="11"/>
    <w:bookmarkStart w:id="12" w:name="qualidade-da-ocupação"/>
    <w:p>
      <w:pPr>
        <w:pStyle w:val="Ttulo2"/>
      </w:pPr>
      <w:r>
        <w:t xml:space="preserve">4 Qualidade da ocupação</w:t>
      </w:r>
    </w:p>
    <w:p>
      <w:pPr>
        <w:pStyle w:val="FirstParagraph"/>
      </w:pPr>
      <w:r>
        <w:rPr>
          <w:b/>
          <w:bCs/>
        </w:rPr>
        <w:t xml:space="preserve">Tabela 3</w:t>
      </w:r>
      <w:r>
        <w:t xml:space="preserve"> </w:t>
      </w:r>
      <w:r>
        <w:t xml:space="preserve">— Qualidade da ocupação, por território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7"/>
        <w:gridCol w:w="703"/>
        <w:gridCol w:w="703"/>
        <w:gridCol w:w="703"/>
        <w:gridCol w:w="703"/>
        <w:gridCol w:w="703"/>
        <w:gridCol w:w="703"/>
        <w:gridCol w:w="879"/>
        <w:gridCol w:w="703"/>
        <w:gridCol w:w="703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Subocupação por insuficiência de horas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Sub-remuneração (rendimento-hora abaixo do mínimo)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com ensino médio completo ou mais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Empregados no setor privado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Empregados no setor público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na agropecuária (mil pessoas)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Tabela 3 — um parágrafo curto.</w:t>
      </w:r>
    </w:p>
    <w:bookmarkEnd w:id="12"/>
    <w:bookmarkStart w:id="13" w:name="rendimento-e-desigualdade"/>
    <w:p>
      <w:pPr>
        <w:pStyle w:val="Ttulo2"/>
      </w:pPr>
      <w:r>
        <w:t xml:space="preserve">5 Rendimento e desigualdade</w:t>
      </w:r>
    </w:p>
    <w:p>
      <w:pPr>
        <w:pStyle w:val="FirstParagraph"/>
      </w:pPr>
      <w:r>
        <w:rPr>
          <w:b/>
          <w:bCs/>
        </w:rPr>
        <w:t xml:space="preserve">Tabela 4</w:t>
      </w:r>
      <w:r>
        <w:t xml:space="preserve"> </w:t>
      </w:r>
      <w:r>
        <w:t xml:space="preserve">— Rendimento e desigualdade, por território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7"/>
        <w:gridCol w:w="703"/>
        <w:gridCol w:w="703"/>
        <w:gridCol w:w="703"/>
        <w:gridCol w:w="703"/>
        <w:gridCol w:w="703"/>
        <w:gridCol w:w="703"/>
        <w:gridCol w:w="879"/>
        <w:gridCol w:w="703"/>
        <w:gridCol w:w="703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real habitual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R$ 3.690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R$ 1.678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dos formais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R$ 4.548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R$ 2.781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dos informais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R$ 2.142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Razão entre rendimento formal e informal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2,98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de Gini do rendimento do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  <w:r>
        <w:t xml:space="preserve"> </w:t>
      </w:r>
      <w:r>
        <w:t xml:space="preserve">Nota: rendimento médio real habitual de todos os trabalhos, deflacionado pelo</w:t>
      </w:r>
      <w:r>
        <w:t xml:space="preserve"> </w:t>
      </w:r>
      <w:r>
        <w:t xml:space="preserve">IBGE. O índice de Gini vai de 0 (igualdade total) a 1 (desigualdade máxima).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Tabela 4 — um parágrafo curto.</w:t>
      </w:r>
    </w:p>
    <w:bookmarkEnd w:id="13"/>
    <w:bookmarkStart w:id="14" w:name="vulnerabilidade"/>
    <w:p>
      <w:pPr>
        <w:pStyle w:val="Ttulo2"/>
      </w:pPr>
      <w:r>
        <w:t xml:space="preserve">6 Vulnerabilidade</w:t>
      </w:r>
    </w:p>
    <w:p>
      <w:pPr>
        <w:pStyle w:val="FirstParagraph"/>
      </w:pPr>
      <w:r>
        <w:rPr>
          <w:b/>
          <w:bCs/>
        </w:rPr>
        <w:t xml:space="preserve">Tabela 5</w:t>
      </w:r>
      <w:r>
        <w:t xml:space="preserve"> </w:t>
      </w:r>
      <w:r>
        <w:t xml:space="preserve">— Desalento e jovens que não estudam nem trabalham, por território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7"/>
        <w:gridCol w:w="703"/>
        <w:gridCol w:w="703"/>
        <w:gridCol w:w="703"/>
        <w:gridCol w:w="703"/>
        <w:gridCol w:w="703"/>
        <w:gridCol w:w="703"/>
        <w:gridCol w:w="879"/>
        <w:gridCol w:w="703"/>
        <w:gridCol w:w="703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ampliada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potencial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 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Jovens de 14 a 29 anos que não estudam nem trabalham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t xml:space="preserve">Os motivos declarados só têm amostra suficiente no nível do estado, e por isso</w:t>
      </w:r>
      <w:r>
        <w:t xml:space="preserve"> </w:t>
      </w:r>
      <w:r>
        <w:t xml:space="preserve">aparecem agrupados e sem recorte territorial.</w:t>
      </w:r>
    </w:p>
    <w:p>
      <w:pPr>
        <w:pStyle w:val="Corpodetexto"/>
      </w:pPr>
      <w:r>
        <w:rPr>
          <w:b/>
          <w:bCs/>
        </w:rPr>
        <w:t xml:space="preserve">Tabela 6</w:t>
      </w:r>
      <w:r>
        <w:t xml:space="preserve"> </w:t>
      </w:r>
      <w:r>
        <w:t xml:space="preserve">— Motivos declarados por desalentados e jovens nem-nem (distribuição, %) — 2º trimestre de 2026</w:t>
      </w:r>
    </w:p>
    <w:p>
      <w:pPr>
        <w:pStyle w:val="Corpodetexto"/>
      </w:pPr>
      <w:r>
        <w:rPr>
          <w:i/>
          <w:iCs/>
        </w:rPr>
        <w:t xml:space="preserve">(sem dados desta tabela na base do trimestre)</w:t>
      </w:r>
    </w:p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das Tabelas 5 e 6 — um parágrafo curto.</w:t>
      </w:r>
    </w:p>
    <w:bookmarkEnd w:id="14"/>
    <w:bookmarkStart w:id="15" w:name="X5988134fcbb50ed7644628f6d04b3c4b8e764ca"/>
    <w:p>
      <w:pPr>
        <w:pStyle w:val="Ttulo2"/>
      </w:pPr>
      <w:r>
        <w:t xml:space="preserve">7 Perfil da população em idade de trabalhar</w:t>
      </w:r>
    </w:p>
    <w:p>
      <w:pPr>
        <w:pStyle w:val="FirstParagraph"/>
      </w:pPr>
      <w:r>
        <w:rPr>
          <w:b/>
          <w:bCs/>
        </w:rPr>
        <w:t xml:space="preserve">Tabela 7</w:t>
      </w:r>
      <w:r>
        <w:t xml:space="preserve"> </w:t>
      </w:r>
      <w:r>
        <w:t xml:space="preserve">— Composição da população de 14 anos ou mais (%)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Brasil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Nordeste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Sexo: 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Sexo: 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ou raça: 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ou raça: Preta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ou raça: Amarela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ou raça: Parda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ou raça: Indígena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etária: 14 a 17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etária: 18 a 24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etária: 25 a 39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etária: 40 a 59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etária: 60 anos ou 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Sem instrução e menos de 1 ano de estudo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Fundamental incompleto ou equivalente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Fundamental completo ou equivalente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Médio incompleto ou equivalente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Médio completo ou equivalente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Superior incompleto ou equivalente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instrução: Superior completo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  <w:r>
        <w:t xml:space="preserve"> </w:t>
      </w:r>
      <w:r>
        <w:t xml:space="preserve">Nota: a composição por território está no Anexo D.</w:t>
      </w:r>
    </w:p>
    <w:bookmarkEnd w:id="15"/>
    <w:bookmarkStart w:id="16" w:name="pontos-de-atenção"/>
    <w:p>
      <w:pPr>
        <w:pStyle w:val="Ttulo2"/>
      </w:pPr>
      <w:r>
        <w:t xml:space="preserve">8 Pontos de atenção</w:t>
      </w:r>
    </w:p>
    <w:p>
      <w:pPr>
        <w:pStyle w:val="FirstParagraph"/>
      </w:pPr>
      <w:r>
        <w:t xml:space="preserve">Esta seção reúne apenas os resultados estatisticamente significativos e com</w:t>
      </w:r>
      <w:r>
        <w:t xml:space="preserve"> </w:t>
      </w:r>
      <w:r>
        <w:t xml:space="preserve">precisão suficiente.</w:t>
      </w:r>
    </w:p>
    <w:p>
      <w:pPr>
        <w:pStyle w:val="Corpodetexto"/>
      </w:pPr>
      <w:r>
        <w:rPr>
          <w:b/>
          <w:bCs/>
        </w:rPr>
        <w:t xml:space="preserve">Variações no tempo (Piauí)</w:t>
      </w:r>
    </w:p>
    <w:p>
      <w:pPr>
        <w:pStyle w:val="Compact"/>
        <w:numPr>
          <w:ilvl w:val="0"/>
          <w:numId w:val="1002"/>
        </w:numPr>
      </w:pPr>
      <w:r>
        <w:t xml:space="preserve">Nenhum dos indicadores de destaque teve variação estatisticamente significativa no Piauí em relação aos trimestres de comparação.</w:t>
      </w:r>
    </w:p>
    <w:p>
      <w:pPr>
        <w:pStyle w:val="FirstParagraph"/>
      </w:pPr>
      <w:r>
        <w:rPr>
          <w:b/>
          <w:bCs/>
        </w:rPr>
        <w:t xml:space="preserve">Diferenças entre territórios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Taxa de participação na força de trabalho (%)</w:t>
      </w:r>
      <w:r>
        <w:t xml:space="preserve">: entre os estratos, maior em Teresina (62,3) e menor em Centro-Leste (47,8) ***; urbana 58,3 × rural 40,6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Nível da ocupação (%)</w:t>
      </w:r>
      <w:r>
        <w:t xml:space="preserve">: entre os estratos, maior em Teresina (57,9) e menor em Centro-Leste (43,9) ***; urbana 53,9 × rural 36,2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Taxa de desocupação (%)</w:t>
      </w:r>
      <w:r>
        <w:t xml:space="preserve">: entre os estratos, maior em Entorno metropolitano (16,4 †) e menor em Baixo Parnaíba (6,7 †) **; urbana 7,5 × rural 10,9 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Taxa composta de subutilização (%)</w:t>
      </w:r>
      <w:r>
        <w:t xml:space="preserve">: entre os estratos, maior em Centro-Leste (40,0) e menor em Teresina (9,4) ***; urbana 20,6 × rural 43,3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Responsáveis pelo domicílio entre os desocupados (%)</w:t>
      </w:r>
      <w:r>
        <w:t xml:space="preserve">: entre os estratos, maior em Alto Parnaíba e Chapadas (51,1 †) e menor em Teresina (27,7 †) 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Taxa de informalidade (%)</w:t>
      </w:r>
      <w:r>
        <w:t xml:space="preserve">: entre os estratos, maior em Baixo Parnaíba (60,8) e menor em Teresina (35,7) ***; urbana 44,0 × rural 68,1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Subocupação por insuficiência de horas (%)</w:t>
      </w:r>
      <w:r>
        <w:t xml:space="preserve">: entre os estratos, maior em Centro-Leste (21,3) e menor em Entorno metropolitano (6,4 †) ***; urbana 8,7 × rural 19,4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Sub-remuneração (rendimento-hora abaixo do mínimo) (%)</w:t>
      </w:r>
      <w:r>
        <w:t xml:space="preserve">: entre os estratos, maior em Baixo Parnaíba (53,0) e menor em Teresina (25,7) ***; urbana 32,9 × rural 56,5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Ocupados com ensino médio completo ou mais (%)</w:t>
      </w:r>
      <w:r>
        <w:t xml:space="preserve">: entre os estratos, maior em Teresina (84,1) e menor em Baixo Parnaíba (54,2) ***; urbana 74,6 × rural 41,2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Rendimento médio real habitual (R$)</w:t>
      </w:r>
      <w:r>
        <w:t xml:space="preserve">: entre os estratos, maior em Teresina (R$ 3.690 †) e menor em Baixo Parnaíba (R$ 1.678 †) ***; urbana R$ 2.902 × rural R$ 1.310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Rendimento médio dos formais (R$)</w:t>
      </w:r>
      <w:r>
        <w:t xml:space="preserve">: entre os estratos, maior em Teresina (R$ 4.548 †) e menor em Entorno metropolitano (R$ 2.675) ***; urbana R$ 3.917 × rural R$ 2.226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Rendimento médio dos informais (R$)</w:t>
      </w:r>
      <w:r>
        <w:t xml:space="preserve">: entre os estratos, maior em Teresina (R$ 2.142 †) e menor em Baixo Parnaíba (R$ 932) ***; urbana R$ 1.573 × rural R$ 855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Desalentados na força de trabalho ampliada (%)</w:t>
      </w:r>
      <w:r>
        <w:t xml:space="preserve">: entre os estratos, maior em Centro-Leste (13,5) e menor em Teresina (0,7 †) ***; urbana 3,7 × rural 16,6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Desalentados na força de trabalho potencial (%)</w:t>
      </w:r>
      <w:r>
        <w:t xml:space="preserve">: entre os estratos, maior em Alto Parnaíba e Chapadas (76,4) e menor em Baixo Parnaíba (55,1) ***; urbana 60,8 × rural 74,2 ***.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Jovens de 14 a 29 anos que não estudam nem trabalham (%)</w:t>
      </w:r>
      <w:r>
        <w:t xml:space="preserve">: entre os estratos, maior em Entorno metropolitano (31,5) e menor em Teresina (17,7) **; urbana 20,6 × rural 33,4 ***.</w:t>
      </w:r>
    </w:p>
    <w:p>
      <w:pPr>
        <w:pStyle w:val="FirstParagraph"/>
      </w:pPr>
      <w:r>
        <w:rPr>
          <w:b/>
          <w:bCs/>
        </w:rPr>
        <w:t xml:space="preserve">Diferenças por sexo, cor ou raça, idade e instrução</w:t>
      </w:r>
    </w:p>
    <w:p>
      <w:pPr>
        <w:pStyle w:val="Corpodetexto"/>
      </w:pPr>
      <w:r>
        <w:t xml:space="preserve">Um recorte demográfico só aparece aqui se, naquele território, a diferença</w:t>
      </w:r>
      <w:r>
        <w:t xml:space="preserve"> </w:t>
      </w:r>
      <w:r>
        <w:t xml:space="preserve">entre os grupos for significativa e todos os grupos tiverem precisão boa na série.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Territórios onde a diferença é significativa e confiável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Compact"/>
            </w:pPr>
            <w:r>
              <w:t xml:space="preserve">Faixa etária</w:t>
            </w:r>
          </w:p>
        </w:tc>
        <w:tc>
          <w:tcPr/>
          <w:p>
            <w:pPr>
              <w:pStyle w:val="Compact"/>
            </w:pPr>
            <w:r>
              <w:t xml:space="preserve">Zona urbana, Teresina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Compact"/>
            </w:pPr>
            <w:r>
              <w:t xml:space="preserve">Instrução (7 níveis)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</w:t>
            </w:r>
          </w:p>
        </w:tc>
        <w:tc>
          <w:tcPr/>
          <w:p>
            <w:pPr>
              <w:pStyle w:val="Compact"/>
            </w:pPr>
            <w:r>
              <w:t xml:space="preserve">Faixa etária</w:t>
            </w:r>
          </w:p>
        </w:tc>
        <w:tc>
          <w:tcPr/>
          <w:p>
            <w:pPr>
              <w:pStyle w:val="Compact"/>
            </w:pPr>
            <w:r>
              <w:t xml:space="preserve">Zona urbana, Teresina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composta de subutilização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urbana, Centro-Leste,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composta de subutilização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</w:t>
            </w:r>
          </w:p>
        </w:tc>
        <w:tc>
          <w:tcPr/>
          <w:p>
            <w:pPr>
              <w:pStyle w:val="Compact"/>
            </w:pPr>
            <w:r>
              <w:t xml:space="preserve">Faixa etária</w:t>
            </w:r>
          </w:p>
        </w:tc>
        <w:tc>
          <w:tcPr/>
          <w:p>
            <w:pPr>
              <w:pStyle w:val="Compact"/>
            </w:pPr>
            <w:r>
              <w:t xml:space="preserve">Zona urbana, Baixo Parnaíba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</w:t>
            </w:r>
          </w:p>
        </w:tc>
        <w:tc>
          <w:tcPr/>
          <w:p>
            <w:pPr>
              <w:pStyle w:val="Compact"/>
            </w:pPr>
            <w:r>
              <w:t xml:space="preserve">Instrução (7 níveis)</w:t>
            </w:r>
          </w:p>
        </w:tc>
        <w:tc>
          <w:tcPr/>
          <w:p>
            <w:pPr>
              <w:pStyle w:val="Compact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urbana, Zona rural,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Subocupação por insuficiência de horas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Centro-Leste, Baixo Parnaíba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Compact"/>
            </w:pPr>
            <w:r>
              <w:t xml:space="preserve">Faixa etária</w:t>
            </w:r>
          </w:p>
        </w:tc>
        <w:tc>
          <w:tcPr/>
          <w:p>
            <w:pPr>
              <w:pStyle w:val="Compact"/>
            </w:pPr>
            <w:r>
              <w:t xml:space="preserve">Zona urbana, Teresina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real habitual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urbana, Zona rural, Entorno metropolitano, Centro-Leste, Alto Parnaíba e Chapadas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real habitual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rural, Centro-Leste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Compact"/>
            </w:pPr>
            <w:r>
              <w:t xml:space="preserve">Instrução (2 grupos)</w:t>
            </w:r>
          </w:p>
        </w:tc>
        <w:tc>
          <w:tcPr/>
          <w:p>
            <w:pPr>
              <w:pStyle w:val="Compact"/>
            </w:pPr>
            <w:r>
              <w:t xml:space="preserve">Zona rural, Baixo Parnaíba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rural, Baixo Parnaíba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Jovens de 14 a 29 anos que não estudam nem trabalham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Zona urbana, Zona rural</w:t>
            </w:r>
          </w:p>
        </w:tc>
      </w:tr>
    </w:tbl>
    <w:bookmarkEnd w:id="16"/>
    <w:bookmarkStart w:id="17" w:name="considerações-finais"/>
    <w:p>
      <w:pPr>
        <w:pStyle w:val="Ttulo2"/>
      </w:pPr>
      <w:r>
        <w:t xml:space="preserve">9 Considerações finais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síntese em dois ou três parágrafos — Piauí frente a Brasil e Nordeste; Teresina e interior; urbano e rural; o que mudou no tempo.</w:t>
      </w:r>
    </w:p>
    <w:bookmarkEnd w:id="17"/>
    <w:bookmarkStart w:id="18" w:name="anexo-a-nota-metodológica"/>
    <w:p>
      <w:pPr>
        <w:pStyle w:val="Ttulo2"/>
      </w:pPr>
      <w:r>
        <w:t xml:space="preserve">Anexo A — Nota metodológica</w:t>
      </w:r>
    </w:p>
    <w:p>
      <w:pPr>
        <w:pStyle w:val="FirstParagraph"/>
      </w:pPr>
      <w:r>
        <w:rPr>
          <w:b/>
          <w:bCs/>
        </w:rPr>
        <w:t xml:space="preserve">Fonte e desenho amostral.</w:t>
      </w:r>
      <w:r>
        <w:t xml:space="preserve"> </w:t>
      </w:r>
      <w:r>
        <w:t xml:space="preserve">Microdados da PNAD Contínua trimestral (IBGE),</w:t>
      </w:r>
      <w:r>
        <w:t xml:space="preserve"> </w:t>
      </w:r>
      <w:r>
        <w:t xml:space="preserve">com o desenho amostral completo: pesos calibrados e 200 réplicas de bootstrap</w:t>
      </w:r>
      <w:r>
        <w:t xml:space="preserve"> </w:t>
      </w:r>
      <w:r>
        <w:t xml:space="preserve">fornecidas pelo IBGE. Todas as estimativas, erros-padrão, intervalos de</w:t>
      </w:r>
      <w:r>
        <w:t xml:space="preserve"> </w:t>
      </w:r>
      <w:r>
        <w:t xml:space="preserve">confiança de 95% e coeficientes de variação (CV = erro-padrão / estimativa)</w:t>
      </w:r>
      <w:r>
        <w:t xml:space="preserve"> </w:t>
      </w:r>
      <w:r>
        <w:t xml:space="preserve">são calculados sobre esse desenho. Rendimentos em valores reais, deflacionados</w:t>
      </w:r>
      <w:r>
        <w:t xml:space="preserve"> </w:t>
      </w:r>
      <w:r>
        <w:t xml:space="preserve">pelo deflator do IBGE que acompanha os microdados. As definições dos</w:t>
      </w:r>
      <w:r>
        <w:t xml:space="preserve"> </w:t>
      </w:r>
      <w:r>
        <w:t xml:space="preserve">indicadores seguem as notas metodológicas da PNAD Contínua e estão validadas</w:t>
      </w:r>
      <w:r>
        <w:t xml:space="preserve"> </w:t>
      </w:r>
      <w:r>
        <w:t xml:space="preserve">contra as tabelas oficiais do SIDRA para o Piauí.</w:t>
      </w:r>
    </w:p>
    <w:p>
      <w:pPr>
        <w:pStyle w:val="Corpodetexto"/>
      </w:pPr>
      <w:r>
        <w:rPr>
          <w:b/>
          <w:bCs/>
        </w:rPr>
        <w:t xml:space="preserve">Territórios.</w:t>
      </w:r>
      <w:r>
        <w:t xml:space="preserve"> </w:t>
      </w:r>
      <w:r>
        <w:t xml:space="preserve">Brasil, Nordeste e Piauí; dentro do Piauí, os cinco estratos</w:t>
      </w:r>
      <w:r>
        <w:t xml:space="preserve"> </w:t>
      </w:r>
      <w:r>
        <w:t xml:space="preserve">agregados da amostra (Teresina, entorno metropolitano, Centro-Leste, Baixo</w:t>
      </w:r>
      <w:r>
        <w:t xml:space="preserve"> </w:t>
      </w:r>
      <w:r>
        <w:t xml:space="preserve">Parnaíba e Alto Parnaíba e Chapadas do Sul) e a situação do domicílio (urbana</w:t>
      </w:r>
      <w:r>
        <w:t xml:space="preserve"> </w:t>
      </w:r>
      <w:r>
        <w:t xml:space="preserve">ou rural). O estrato administrativo aparece só nos anexos, porque repete</w:t>
      </w:r>
      <w:r>
        <w:t xml:space="preserve"> </w:t>
      </w:r>
      <w:r>
        <w:t xml:space="preserve">informação dos estratos agregados.</w:t>
      </w:r>
    </w:p>
    <w:p>
      <w:pPr>
        <w:pStyle w:val="Corpodetexto"/>
      </w:pPr>
      <w:r>
        <w:rPr>
          <w:b/>
          <w:bCs/>
        </w:rPr>
        <w:t xml:space="preserve">Confiabilidade (marcas † e –).</w:t>
      </w:r>
      <w:r>
        <w:t xml:space="preserve"> </w:t>
      </w:r>
      <w:r>
        <w:t xml:space="preserve">A marca de cada número não vem do CV do</w:t>
      </w:r>
      <w:r>
        <w:t xml:space="preserve"> </w:t>
      </w:r>
      <w:r>
        <w:t xml:space="preserve">trimestre isolado, que é ele próprio sujeito a ruído, mas do comportamento do</w:t>
      </w:r>
      <w:r>
        <w:t xml:space="preserve"> </w:t>
      </w:r>
      <w:r>
        <w:t xml:space="preserve">mesmo indicador, no mesmo território, de 2022T1 até o trimestre atual. Sem</w:t>
      </w:r>
      <w:r>
        <w:t xml:space="preserve"> </w:t>
      </w:r>
      <w:r>
        <w:t xml:space="preserve">marca: CV abaixo de 15% em pelo menos 80% dos trimestres. †: nesse mesmo</w:t>
      </w:r>
      <w:r>
        <w:t xml:space="preserve"> </w:t>
      </w:r>
      <w:r>
        <w:t xml:space="preserve">patamar da série, CV entre 15% e 30%. –: acima de 30% ou instável (CV acima de</w:t>
      </w:r>
      <w:r>
        <w:t xml:space="preserve"> </w:t>
      </w:r>
      <w:r>
        <w:t xml:space="preserve">30% em algum dos quatro últimos trimestres). Os cortes de 15% e 30% seguem as</w:t>
      </w:r>
      <w:r>
        <w:t xml:space="preserve"> </w:t>
      </w:r>
      <w:r>
        <w:t xml:space="preserve">faixas de precisão usadas pelo IBGE. Brasil e Nordeste não fazem parte dessa</w:t>
      </w:r>
      <w:r>
        <w:t xml:space="preserve"> </w:t>
      </w:r>
      <w:r>
        <w:t xml:space="preserve">série e usam o CV do próprio trimestre.</w:t>
      </w:r>
    </w:p>
    <w:p>
      <w:pPr>
        <w:pStyle w:val="Corpodetexto"/>
      </w:pPr>
      <w:r>
        <w:rPr>
          <w:b/>
          <w:bCs/>
        </w:rPr>
        <w:t xml:space="preserve">Diferenças entre territórios e grupos.</w:t>
      </w:r>
      <w:r>
        <w:t xml:space="preserve"> </w:t>
      </w:r>
      <w:r>
        <w:t xml:space="preserve">Testes de razão de verossimilhança</w:t>
      </w:r>
      <w:r>
        <w:t xml:space="preserve"> </w:t>
      </w:r>
      <w:r>
        <w:t xml:space="preserve">sobre o desenho amostral (</w:t>
      </w:r>
      <w:r>
        <w:rPr>
          <w:rStyle w:val="VerbatimChar"/>
        </w:rPr>
        <w:t xml:space="preserve">svyglm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regTermTest</w:t>
      </w:r>
      <w:r>
        <w:t xml:space="preserve">, método LRT, e</w:t>
      </w:r>
      <w:r>
        <w:t xml:space="preserve"> </w:t>
      </w:r>
      <w:r>
        <w:rPr>
          <w:rStyle w:val="VerbatimChar"/>
        </w:rPr>
        <w:t xml:space="preserve">svychisq</w:t>
      </w:r>
      <w:r>
        <w:t xml:space="preserve"> </w:t>
      </w:r>
      <w:r>
        <w:t xml:space="preserve">para respostas categóricas). Os p-valores são ajustados para</w:t>
      </w:r>
      <w:r>
        <w:t xml:space="preserve"> </w:t>
      </w:r>
      <w:r>
        <w:t xml:space="preserve">comparações múltiplas pelo método de Benjamini-Hochberg.</w:t>
      </w:r>
    </w:p>
    <w:p>
      <w:pPr>
        <w:pStyle w:val="Corpodetexto"/>
      </w:pPr>
      <w:r>
        <w:rPr>
          <w:b/>
          <w:bCs/>
        </w:rPr>
        <w:t xml:space="preserve">Variações no tempo.</w:t>
      </w:r>
      <w:r>
        <w:t xml:space="preserve"> </w:t>
      </w:r>
      <w:r>
        <w:t xml:space="preserve">A diferença entre dois trimestres é testada tratando</w:t>
      </w:r>
      <w:r>
        <w:t xml:space="preserve"> </w:t>
      </w:r>
      <w:r>
        <w:t xml:space="preserve">as amostras como independentes. Como o painel rotativo da PNAD Contínua faz</w:t>
      </w:r>
      <w:r>
        <w:t xml:space="preserve"> </w:t>
      </w:r>
      <w:r>
        <w:t xml:space="preserve">trimestres próximos compartilharem domicílios, a variância verdadeira da</w:t>
      </w:r>
      <w:r>
        <w:t xml:space="preserve"> </w:t>
      </w:r>
      <w:r>
        <w:t xml:space="preserve">diferença é menor que a usada no teste: o resultado é conservador, ou seja,</w:t>
      </w:r>
      <w:r>
        <w:t xml:space="preserve"> </w:t>
      </w:r>
      <w:r>
        <w:t xml:space="preserve">pode deixar de apontar uma variação real, mas não aponta variações que não</w:t>
      </w:r>
      <w:r>
        <w:t xml:space="preserve"> </w:t>
      </w:r>
      <w:r>
        <w:t xml:space="preserve">existem. Os p-valores são ajustados por Benjamini-Hochberg dentro da Tabela 1.</w:t>
      </w:r>
    </w:p>
    <w:bookmarkEnd w:id="18"/>
    <w:bookmarkStart w:id="19" w:name="X7c6b245c783dbc32a5467cb8c06ff705bc15e06"/>
    <w:p>
      <w:pPr>
        <w:pStyle w:val="Ttulo2"/>
      </w:pPr>
      <w:r>
        <w:t xml:space="preserve">Anexo B — Resolução territorial de cada indicador</w:t>
      </w:r>
    </w:p>
    <w:p>
      <w:pPr>
        <w:pStyle w:val="FirstParagraph"/>
      </w:pPr>
      <w:r>
        <w:t xml:space="preserve">Percentual de categorias do indicador que passam no critério de confiabilidade</w:t>
      </w:r>
      <w:r>
        <w:t xml:space="preserve"> </w:t>
      </w:r>
      <w:r>
        <w:t xml:space="preserve">(sem marca), por nível territorial, de 2022T1 a 2026T2.</w:t>
      </w:r>
    </w:p>
    <w:p>
      <w:pPr>
        <w:pStyle w:val="Corpodetexto"/>
      </w:pPr>
      <w:r>
        <w:rPr>
          <w:b/>
          <w:bCs/>
        </w:rPr>
        <w:t xml:space="preserve">Tabela B.1</w:t>
      </w:r>
      <w:r>
        <w:t xml:space="preserve"> </w:t>
      </w:r>
      <w:r>
        <w:t xml:space="preserve">— Aprovação na triagem de confiabilidade, por indicador e nível territorial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Piauí e 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Estrato administrativo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Estrato agregado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desocupação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composta de subutilização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pelo domicílio entre os desocupados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em idade de trabalhar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na força de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fora da força de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ocupadas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desocupadas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 subutilizadas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Subocupação por insuficiência de 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Empregados no setor privado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Empregados no setor público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na agropecuária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real habitual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dos formais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dos informais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Razão entre rendimento formal e informal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de Gini do rendimento do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Jovens de 14 a 29 anos que não estudam nem trabalham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ou raça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instrução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que o desalentado desistiu de procurar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que o jovem nem-nem não procurou trabalho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19"/>
    <w:bookmarkStart w:id="20" w:name="Xe754e31ad8688ed3f571c457a0de751ba027293"/>
    <w:p>
      <w:pPr>
        <w:pStyle w:val="Ttulo2"/>
      </w:pPr>
      <w:r>
        <w:t xml:space="preserve">Anexo C — Testes de diferença entre territórios</w:t>
      </w:r>
    </w:p>
    <w:p>
      <w:pPr>
        <w:pStyle w:val="FirstParagraph"/>
      </w:pPr>
      <w:r>
        <w:rPr>
          <w:b/>
          <w:bCs/>
        </w:rPr>
        <w:t xml:space="preserve">Tabela C.1</w:t>
      </w:r>
      <w:r>
        <w:t xml:space="preserve"> </w:t>
      </w:r>
      <w:r>
        <w:t xml:space="preserve">— p-valor bruto / p-valor ajustado, por indicador e recorte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Zona (urbana × rural)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Estrato administrativo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Teresina × resto do Piauí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da ocupação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desocupação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0,010 / 0,012 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 / 0,009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0,057 / 0,062 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composta de subutilização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pelo domicílio entre os desocupados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0,460 / 0,471 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0,044 / 0,049 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0,037 / 0,043 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0,011 / 0,013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0,268 / 0,277 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 / 0,002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0,056 / 0,062 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informalidade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Subocupação por insuficiência de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real habitual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dos formais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médio dos informais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Jovens de 14 a 29 anos que não estudam nem trabalham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0,001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 / &lt; 0,001 ***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20"/>
    <w:bookmarkStart w:id="21" w:name="anexo-d-tabelas-completas"/>
    <w:p>
      <w:pPr>
        <w:pStyle w:val="Ttulo2"/>
      </w:pPr>
      <w:r>
        <w:t xml:space="preserve">Anexo D — Tabelas completas</w:t>
      </w:r>
    </w:p>
    <w:p>
      <w:pPr>
        <w:pStyle w:val="FirstParagraph"/>
      </w:pPr>
      <w:r>
        <w:rPr>
          <w:b/>
          <w:bCs/>
        </w:rPr>
        <w:t xml:space="preserve">Tabela D.1</w:t>
      </w:r>
      <w:r>
        <w:t xml:space="preserve"> </w:t>
      </w:r>
      <w:r>
        <w:t xml:space="preserve">— Taxa de participação na força de trabalho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(61,9, 62,3)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(53,7, 54,6)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(51,4, 54,4)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(60,0, 64,7)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(56,5, 60,0)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(37,8, 43,5)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(60,0, 64,7)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(48,4, 57,5)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(47,0, 51,0)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(60,0, 64,7)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(48,4, 57,5)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(44,2, 51,4)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(45,2, 51,5)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(47,6, 56,0)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</w:t>
      </w:r>
      <w:r>
        <w:t xml:space="preserve"> </w:t>
      </w:r>
      <w:r>
        <w:t xml:space="preserve">— Nível da ocupação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(58,6, 59,0)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(49,6, 50,5)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(46,9, 50,1)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(55,3, 60,4)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(52,0, 55,7)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(33,2, 39,2)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(55,3, 60,4)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(41,5, 47,1)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(43,0, 47,1)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(55,3, 60,4)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(41,5, 47,1)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(40,5, 47,3)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(41,5, 48,7)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(42,1, 51,1)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</w:t>
      </w:r>
      <w:r>
        <w:t xml:space="preserve"> </w:t>
      </w:r>
      <w:r>
        <w:t xml:space="preserve">— Taxa de desocupação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(5,2, 5,5)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(7,3, 7,9)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(5,8, 8,5)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(6,3, 8,7)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(8,2, 13,6)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(5,8, 8,5)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(11,8, 20,9)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(6,4, 9,7)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(5,8, 8,5)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(11,8, 20,9)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(6,1, 10,3)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(4,0, 9,3)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(6,5, 13,4)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</w:t>
      </w:r>
      <w:r>
        <w:t xml:space="preserve"> </w:t>
      </w:r>
      <w:r>
        <w:t xml:space="preserve">— Taxa composta de subutilização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(12,7, 13,1)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(20,8, 21,9)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(24,3, 28,9)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(7,7, 11,0)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(18,0, 23,1)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(39,0, 47,6)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(7,7, 11,0)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(20,8, 30,0)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(31,3, 37,8)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(7,7, 11,0)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(20,8, 30,0)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(35,9, 44,2)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(23,9, 36,7)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(27,0, 39,5)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D.5</w:t>
      </w:r>
      <w:r>
        <w:t xml:space="preserve"> </w:t>
      </w:r>
      <w:r>
        <w:t xml:space="preserve">— Responsáveis pelo domicílio entre os desocupados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(35,2, 37,5)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(36,1, 39,7)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(31,8, 44,0)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(20,4, 35,1)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(29,1, 44,0)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(31,8, 50,0)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(20,4, 35,1)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(23,3, 53,5)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(34,0, 50,9)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(20,4, 35,1)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(23,3, 53,5)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(34,2, 59,9)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(13,9, 43,1)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(35,3, 66,9)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D.6</w:t>
      </w:r>
      <w:r>
        <w:t xml:space="preserve"> </w:t>
      </w:r>
      <w:r>
        <w:t xml:space="preserve">— Responsáveis ou cônjuges entre os desocupados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(51,4, 54,1)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(52,7, 56,4)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(49,2, 62,1)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(33,3, 49,5)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(46,3, 60,6)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(49,4, 71,7)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(33,3, 49,5)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(42,8, 65,9)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(53,5, 71,5)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(33,3, 49,5)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(42,8, 65,9)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(55,2, 77,5)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(33,0, 76,8)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(53,7, 77,8)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D.7</w:t>
      </w:r>
      <w:r>
        <w:t xml:space="preserve"> </w:t>
      </w:r>
      <w:r>
        <w:t xml:space="preserve">— Pessoas em idade de trabalhar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(175.400, 175.400)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(46.292, 46.570)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(2.713, 2.774)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(731, 762)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(1.853, 1.961)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(786, 886)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(731, 762)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(173, 183)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(1.793, 1.845)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(731, 762)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(173, 183)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(610, 685)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(661, 765)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(411, 506)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D.8</w:t>
      </w:r>
      <w:r>
        <w:t xml:space="preserve"> </w:t>
      </w:r>
      <w:r>
        <w:t xml:space="preserve">— Pessoas na força de trabalho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(108.576, 109.261)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(24.946, 25.376)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(1.407, 1.494)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(446, 485)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(1.068, 1.155)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(308, 371)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(446, 485)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(87, 101)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(853, 929)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(446, 485)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(87, 101)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(280, 339)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(311, 378)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(205, 270)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D.9</w:t>
      </w:r>
      <w:r>
        <w:t xml:space="preserve"> </w:t>
      </w:r>
      <w:r>
        <w:t xml:space="preserve">— Pessoas fora da força de trabalho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(66.138, 66.824)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(21.050, 21.490)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(1.248, 1.338)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(262, 300)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(754, 838)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(459, 534)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(262, 300)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(74, 93)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(890, 966)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(262, 300)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(74, 93)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(307, 370)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(334, 403)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(192, 250)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D.10</w:t>
      </w:r>
      <w:r>
        <w:t xml:space="preserve"> </w:t>
      </w:r>
      <w:r>
        <w:t xml:space="preserve">— Pessoas ocupadas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(102.713, 103.401)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(23.027, 23.471)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(1.285, 1.376)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(411, 453)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(986, 1.069)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(273, 333)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(411, 453)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(74, 84)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(780, 858)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(411, 453)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(74, 84)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(257, 311)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(290, 353)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(182, 245)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D.11</w:t>
      </w:r>
      <w:r>
        <w:t xml:space="preserve"> </w:t>
      </w:r>
      <w:r>
        <w:t xml:space="preserve">— Pessoas desocupadas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(5.697, 6.026)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(1.833, 1.991)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(103, 138)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(70, 98)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(27, 47)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(57, 86)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(18, 32)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(13, 33)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(15, 32)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D.12</w:t>
      </w:r>
      <w:r>
        <w:t xml:space="preserve"> </w:t>
      </w:r>
      <w:r>
        <w:t xml:space="preserve">— Pessoas subutilizadas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(14.390, 14.928)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(5.709, 6.019)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(391, 468)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(37, 51)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(210, 276)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(162, 211)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(37, 51)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(19, 31)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(324, 396)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(37, 51)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(19, 31)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(131, 167)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(90, 151)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(68, 112)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D.13</w:t>
      </w:r>
      <w:r>
        <w:t xml:space="preserve"> </w:t>
      </w:r>
      <w:r>
        <w:t xml:space="preserve">— Taxa de informalidade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(37,1, 37,8)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(48,1, 49,4)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(47,4, 51,6)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(32,3, 39,2)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(41,5, 46,5)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(64,1, 72,2)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(32,3, 39,2)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(48,0, 63,7)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(53,5, 58,7)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(32,3, 39,2)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(48,0, 63,7)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(52,0, 61,7)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(56,4, 65,1)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(42,4, 53,7)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D.14</w:t>
      </w:r>
      <w:r>
        <w:t xml:space="preserve"> </w:t>
      </w:r>
      <w:r>
        <w:t xml:space="preserve">— Subocupação por insuficiência de horas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(3,8, 4,1)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(9,8, 12,5)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(0,7, 1,9)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(7,3, 10,2)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(16,0, 22,7)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(0,7, 1,9)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(2,7, 10,1)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(14,6, 19,0)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(0,7, 1,9)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(2,7, 10,1)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(17,8, 24,9)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(9,7, 17,9)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(11,5, 19,1)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D.15</w:t>
      </w:r>
      <w:r>
        <w:t xml:space="preserve"> </w:t>
      </w:r>
      <w:r>
        <w:t xml:space="preserve">— Sub-remuneração (rendimento-hora abaixo do mínimo)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(18,5, 19,0)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(35,1, 36,3)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(35,8, 40,5)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(22,2, 29,3)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(30,1, 35,7)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(52,1, 61,0)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(22,2, 29,3)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(34,5, 47,6)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(41,4, 47,8)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(22,2, 29,3)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(34,5, 47,6)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(37,8, 47,9)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(47,8, 58,3)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(28,8, 39,9)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D.16</w:t>
      </w:r>
      <w:r>
        <w:t xml:space="preserve"> </w:t>
      </w:r>
      <w:r>
        <w:t xml:space="preserve">— Ocupados com ensino médio completo ou mais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(72,9, 73,6)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(68,7, 70,1)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(65,0, 69,0)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(81,5, 86,7)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(72,4, 76,8)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(37,4, 45,1)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(81,5, 86,7)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(67,1, 76,9)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(54,6, 60,4)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(81,5, 86,7)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(67,1, 76,9)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(54,1, 63,3)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(48,9, 59,4)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(55,9, 65,9)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D.17</w:t>
      </w:r>
      <w:r>
        <w:t xml:space="preserve"> </w:t>
      </w:r>
      <w:r>
        <w:t xml:space="preserve">— Empregados no setor privado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(52.593, 53.381)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(10.390, 10.751)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(511, 570)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(186, 221)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(394, 453)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(103, 131)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(186, 221)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(29, 37)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(282, 326)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(186, 221)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(29, 37)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(92, 123)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(109, 143)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(54, 87)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D.18</w:t>
      </w:r>
      <w:r>
        <w:t xml:space="preserve"> </w:t>
      </w:r>
      <w:r>
        <w:t xml:space="preserve">— Empregados no setor público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(12.794, 13.242)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(3.718, 3.941)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(244, 301)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(59, 86)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(195, 247)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(40, 64)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(59, 86)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(9, 17)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(165, 209)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(59, 86)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(9, 17)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(55, 82)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(50, 74)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(43, 71)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D.19</w:t>
      </w:r>
      <w:r>
        <w:t xml:space="preserve"> </w:t>
      </w:r>
      <w:r>
        <w:t xml:space="preserve">— Ocupados na agropecuária (mil pessoas),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(7.704, 8.132)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(2.406, 2.618)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(126, 161)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(34, 53)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(84, 115)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(6, 11)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(116, 150)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(6, 11)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(37, 56)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(33, 59)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D.20</w:t>
      </w:r>
      <w:r>
        <w:t xml:space="preserve"> </w:t>
      </w:r>
      <w:r>
        <w:t xml:space="preserve">— Rendimento médio real habitual (R$),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R$ 3.738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(R$ 3.679, R$ 3.798)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R$ 2.645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(R$ 2.564, R$ 2.725)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(R$ 2.356, R$ 2.738)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(R$ 3.207, R$ 4.173)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(R$ 2.658, R$ 3.146)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(R$ 1.194, R$ 1.425)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(R$ 3.207, R$ 4.173)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(R$ 1.645, R$ 2.156)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(R$ 1.817, R$ 2.167)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(R$ 3.207, R$ 4.173)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(R$ 1.645, R$ 2.156)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(R$ 1.569, R$ 2.412)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R$ 1.678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(R$ 1.505, R$ 1.850)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(R$ 2.152, R$ 2.774)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D.21</w:t>
      </w:r>
      <w:r>
        <w:t xml:space="preserve"> </w:t>
      </w:r>
      <w:r>
        <w:t xml:space="preserve">— Rendimento médio dos formais (R$),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R$ 4.513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(R$ 4.435, R$ 4.590)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(R$ 3.523, R$ 3.777)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(R$ 3.377, R$ 3.972)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(R$ 3.920, R$ 5.176)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(R$ 3.578, R$ 4.257)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(R$ 1.991, R$ 2.461)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(R$ 3.920, R$ 5.176)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(R$ 2.106, R$ 3.244)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R$ 3.097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(R$ 2.812, R$ 3.382)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(R$ 3.920, R$ 5.176)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(R$ 2.106, R$ 3.244)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(R$ 2.336, R$ 3.763)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(R$ 2.502, R$ 3.060)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(R$ 3.095, R$ 3.924)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D.22</w:t>
      </w:r>
      <w:r>
        <w:t xml:space="preserve"> </w:t>
      </w:r>
      <w:r>
        <w:t xml:space="preserve">— Rendimento médio dos informais (R$),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(R$ 2.355, R$ 2.443)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(R$ 1.507, R$ 1.591)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R$ 1.353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(R$ 1.263, R$ 1.443)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(R$ 1.866, R$ 2.419)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R$ 1.573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(R$ 1.451, R$ 1.695)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(R$ 787, R$ 923)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(R$ 1.866, R$ 2.419)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(R$ 1.090, R$ 1.462)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(R$ 1.010, R$ 1.156)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(R$ 1.866, R$ 2.419)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(R$ 1.090, R$ 1.462)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(R$ 1.005, R$ 1.279)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(R$ 850, R$ 1.015)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(R$ 1.095, R$ 1.459)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D.23</w:t>
      </w:r>
      <w:r>
        <w:t xml:space="preserve"> </w:t>
      </w:r>
      <w:r>
        <w:t xml:space="preserve">— Razão entre rendimento formal e informal,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(1,85, 1,92)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(2,27, 2,44)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(2,51, 2,92)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(1,87, 2,38)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(2,29, 2,69)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(2,28, 2,92)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(1,87, 2,38)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(1,54, 2,66)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(2,59, 3,13)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(1,87, 2,38)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(1,54, 2,66)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(2,14, 3,20)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(2,63, 3,33)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(2,31, 3,18)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D.24</w:t>
      </w:r>
      <w:r>
        <w:t xml:space="preserve"> </w:t>
      </w:r>
      <w:r>
        <w:t xml:space="preserve">— Índice de Gini do rendimento do trabalho,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(0,478, 0,489)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(0,488, 0,510)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(0,484, 0,531)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(0,458, 0,532)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(0,470, 0,520)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(0,435, 0,487)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(0,458, 0,532)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(0,325, 0,465)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(0,467, 0,517)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(0,458, 0,532)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(0,325, 0,465)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(0,458, 0,570)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(0,441, 0,499)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(0,442, 0,512)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D.25</w:t>
      </w:r>
      <w:r>
        <w:t xml:space="preserve"> </w:t>
      </w:r>
      <w:r>
        <w:t xml:space="preserve">— Desalentados na força de trabalho ampliada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(2,0, 2,1)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(5,0, 5,6)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(5,7, 8,3)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(0,3, 1,0)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(2,4, 4,9)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(13,0, 20,1)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(0,3, 1,0)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(1,2, 5,4)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(8,4, 12,4)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(0,3, 1,0)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(1,2, 5,4)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(10,0, 16,9)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(4,7, 10,9)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(5,0, 14,7)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D.26</w:t>
      </w:r>
      <w:r>
        <w:t xml:space="preserve"> </w:t>
      </w:r>
      <w:r>
        <w:t xml:space="preserve">— Desalentados na força de trabalho potencial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(46,9, 50,0)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(60,9, 64,7)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(63,2, 73,6)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(34,5, 82,3)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(50,8, 70,8)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(68,0, 80,3)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(34,5, 82,3)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(40,8, 98,2)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(63,4, 74,0)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(34,5, 82,3)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(40,8, 98,2)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(68,9, 83,1)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(44,2, 66,0)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(63,2, 89,6)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D.27</w:t>
      </w:r>
      <w:r>
        <w:t xml:space="preserve"> </w:t>
      </w:r>
      <w:r>
        <w:t xml:space="preserve">— Jovens de 14 a 29 anos que não estudam nem trabalham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(17,6, 18,2)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(23,9, 25,1)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(22,3, 26,2)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(14,5, 20,9)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(18,4, 22,9)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(29,7, 37,1)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(14,5, 20,9)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(26,1, 37,0)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(23,7, 28,7)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(14,5, 20,9)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(26,1, 37,0)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(22,2, 29,0)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(20,9, 28,0)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(23,1, 37,3)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D.28</w:t>
      </w:r>
      <w:r>
        <w:t xml:space="preserve"> </w:t>
      </w:r>
      <w:r>
        <w:t xml:space="preserve">— Sexo: Masculino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(48,2, 48,2)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(47,3, 47,7)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(47,1, 48,5)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(44,2, 46,5)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(45,5, 47,3)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(49,8, 52,2)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(44,2, 46,5)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(46,2, 51,9)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(47,7, 49,6)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(44,2, 46,5)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(46,2, 51,9)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(47,4, 50,1)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(45,8, 48,9)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(48,5, 52,9)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D.29</w:t>
      </w:r>
      <w:r>
        <w:t xml:space="preserve"> </w:t>
      </w:r>
      <w:r>
        <w:t xml:space="preserve">— Sexo: Feminino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(51,8, 51,8)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(52,3, 52,7)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(51,5, 52,9)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(53,5, 55,8)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(52,7, 54,5)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(47,8, 50,2)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(53,5, 55,8)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(48,1, 53,8)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(50,4, 52,3)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(53,5, 55,8)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(48,1, 53,8)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(49,9, 52,6)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(51,1, 54,2)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(47,1, 51,5)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D.30</w:t>
      </w:r>
      <w:r>
        <w:t xml:space="preserve"> </w:t>
      </w:r>
      <w:r>
        <w:t xml:space="preserve">— Cor ou raça: Branca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(42,0, 42,8)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(24,1, 25,1)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(18,1, 20,8)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(19,3, 24,4)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(19,5, 23,2)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(13,0, 17,1)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(19,3, 24,4)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(7,2, 13,5)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(17,6, 21,0)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(19,3, 24,4)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(7,2, 13,5)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(19,5, 25,7)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(16,9, 22,9)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(10,9, 16,8)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D.31</w:t>
      </w:r>
      <w:r>
        <w:t xml:space="preserve"> </w:t>
      </w:r>
      <w:r>
        <w:t xml:space="preserve">— Cor ou raça: Preta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(10,8, 11,2)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(13,7, 14,5)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(12,5, 14,8)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(12,1, 15,7)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(11,9, 14,3)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(12,2, 17,7)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(12,1, 15,7)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(7,1, 13,1)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(12,3, 15,5)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(12,1, 15,7)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(7,1, 13,1)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(12,9, 19,0)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(7,6, 11,8)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(14,4, 20,8)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D.32</w:t>
      </w:r>
      <w:r>
        <w:t xml:space="preserve"> </w:t>
      </w:r>
      <w:r>
        <w:t xml:space="preserve">— Cor ou raça: Amarela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(0,5, 0,7)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(0,3, 0,3)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105,3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101,5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D.33</w:t>
      </w:r>
      <w:r>
        <w:t xml:space="preserve"> </w:t>
      </w:r>
      <w:r>
        <w:t xml:space="preserve">— Cor ou raça: Parda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(45,3, 46,0)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(60,0, 61,0)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(65,2, 68,2)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(61,6, 66,6)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(63,3, 67,4)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(66,8, 72,9)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(61,6, 66,6)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(75,3, 83,6)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(64,5, 68,6)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(61,6, 66,6)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(75,3, 83,6)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(57,2, 65,1)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(66,9, 73,7)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(64,5, 72,1)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D.34</w:t>
      </w:r>
      <w:r>
        <w:t xml:space="preserve"> </w:t>
      </w:r>
      <w:r>
        <w:t xml:space="preserve">— Cor ou raça: Indígena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(0,4, 0,4)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(0,4, 0,5)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36,9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46,6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49,9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59,4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(0,0, 0,4)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56,3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D.35</w:t>
      </w:r>
      <w:r>
        <w:t xml:space="preserve"> </w:t>
      </w:r>
      <w:r>
        <w:t xml:space="preserve">— Faixa etária: 14 a 17 anos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(6,6, 6,8)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(7,3, 7,6)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(6,4, 7,7)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(5,5, 7,5)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(5,9, 7,4)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(6,8, 9,1)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(5,5, 7,5)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(6,2, 9,6)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(6,4, 8,0)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(5,5, 7,5)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(6,2, 9,6)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(6,4, 9,1)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(6,0, 8,9)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(4,6, 7,7)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D.36</w:t>
      </w:r>
      <w:r>
        <w:t xml:space="preserve"> </w:t>
      </w:r>
      <w:r>
        <w:t xml:space="preserve">— Faixa etária: 18 a 24 anos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(12,0, 12,1)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(12,4, 12,9)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(12,1, 13,8)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(11,4, 13,8)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(12,6, 14,8)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(10,1, 12,7)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(11,4, 13,8)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(10,5, 16,6)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(12,0, 14,2)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(11,4, 13,8)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(10,5, 16,6)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(11,7, 14,9)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(11,3, 15,4)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(10,0, 14,8)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D.37</w:t>
      </w:r>
      <w:r>
        <w:t xml:space="preserve"> </w:t>
      </w:r>
      <w:r>
        <w:t xml:space="preserve">— Faixa etária: 25 a 39 anos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(27,7, 27,7)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(27,0, 27,8)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(25,4, 27,7)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(24,6, 28,4)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(25,8, 28,6)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(23,2, 27,0)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(24,6, 28,4)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(23,6, 30,1)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(25,0, 28,1)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(24,6, 28,4)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(23,6, 30,1)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(23,4, 28,3)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(24,3, 29,9)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(23,6, 30,0)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D.38</w:t>
      </w:r>
      <w:r>
        <w:t xml:space="preserve"> </w:t>
      </w:r>
      <w:r>
        <w:t xml:space="preserve">— Faixa etária: 40 a 59 anos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(32,9, 32,9)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(32,5, 33,2)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(32,5, 34,4)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(33,6, 37,1)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(32,4, 34,7)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(31,6, 34,7)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(33,6, 37,1)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(29,9, 36,9)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(31,4, 33,8)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(33,6, 37,1)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(29,9, 36,9)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(30,7, 34,5)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(29,6, 34,3)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(31,6, 35,6)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D.39</w:t>
      </w:r>
      <w:r>
        <w:t xml:space="preserve"> </w:t>
      </w:r>
      <w:r>
        <w:t xml:space="preserve">— Faixa etária: 60 anos ou mais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(20,7, 20,7)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(19,4, 20,1)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(18,9, 21,0)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(17,0, 21,1)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(17,5, 20,3)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(20,7, 24,1)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(17,0, 21,1)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(14,3, 22,3)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(19,1, 21,9)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(17,0, 21,1)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(14,3, 22,3)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(18,5, 22,5)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(17,8, 22,6)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(17,8, 24,3)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D.40</w:t>
      </w:r>
      <w:r>
        <w:t xml:space="preserve"> </w:t>
      </w:r>
      <w:r>
        <w:t xml:space="preserve">— Nível de instrução: Sem instrução e menos de 1 ano de estudo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(3,9, 4,1)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(7,3, 9,0)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(2,0, 3,2)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(5,1, 6,9)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(11,3, 14,8)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(2,0, 3,2)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(4,1, 8,0)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(9,4, 11,8)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(2,0, 3,2)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(4,1, 8,0)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(10,8, 14,7)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(6,9, 10,8)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(7,9, 12,9)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D.41</w:t>
      </w:r>
      <w:r>
        <w:t xml:space="preserve"> </w:t>
      </w:r>
      <w:r>
        <w:t xml:space="preserve">— Nível de instrução: Fundamental incompleto ou equivalente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(23,3, 23,7)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(27,7, 28,6)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(29,5, 32,3)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(15,2, 18,7)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(23,1, 26,4)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(42,3, 47,5)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(15,2, 18,7)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(29,7, 35,5)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(34,5, 38,4)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(15,2, 18,7)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(29,7, 35,5)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(32,3, 37,6)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(34,5, 40,8)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(31,8, 41,4)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D.42</w:t>
      </w:r>
      <w:r>
        <w:t xml:space="preserve"> </w:t>
      </w:r>
      <w:r>
        <w:t xml:space="preserve">— Nível de instrução: Fundamental completo ou equivalente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(7,8, 8,1)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(6,9, 8,2)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(5,0, 6,9)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(6,2, 7,7)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(7,8, 10,0)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(5,0, 6,9)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(6,8, 11,0)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(7,2, 8,9)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(5,0, 6,9)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(6,8, 11,0)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(6,8, 9,1)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(7,1, 10,3)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(5,4, 9,1)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D.43</w:t>
      </w:r>
      <w:r>
        <w:t xml:space="preserve"> </w:t>
      </w:r>
      <w:r>
        <w:t xml:space="preserve">— Nível de instrução: Médio incompleto ou equivalente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(8,0, 8,2)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(8,3, 8,8)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(7,7, 9,1)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(7,7, 9,3)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(7,1, 9,4)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(7,6, 11,6)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(7,6, 9,3)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(7,0, 9,1)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(7,6, 11,6)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(7,2, 9,8)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(6,9, 9,8)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(6,5, 10,4)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D.44</w:t>
      </w:r>
      <w:r>
        <w:t xml:space="preserve"> </w:t>
      </w:r>
      <w:r>
        <w:t xml:space="preserve">— Nível de instrução: Médio completo ou equivalente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(31,9, 32,4)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(30,8, 31,7)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(25,2, 27,5)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(32,2, 36,3)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(28,4, 31,5)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(16,4, 19,8)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(32,2, 36,3)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(30,0, 34,5)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(21,0, 24,1)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(32,2, 36,3)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(30,0, 34,5)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(19,7, 24,2)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(19,4, 24,5)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(20,4, 28,1)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D.45</w:t>
      </w:r>
      <w:r>
        <w:t xml:space="preserve"> </w:t>
      </w:r>
      <w:r>
        <w:t xml:space="preserve">— Nível de instrução: Superior incompleto ou equivalente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(5,8, 6,0)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(4,6, 5,1)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(4,4, 5,6)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(5,4, 7,0)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(1,6, 3,0)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(2,2, 5,9)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(3,1, 4,6)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(7,0, 9,3)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(2,2, 5,9)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(3,2, 5,2)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(2,6, 5,6)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(2,0, 4,1)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D.46</w:t>
      </w:r>
      <w:r>
        <w:t xml:space="preserve"> </w:t>
      </w:r>
      <w:r>
        <w:t xml:space="preserve">— Nível de instrução: Superior completo (%), por recorte geográfico — 2º trimestre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021"/>
        <w:gridCol w:w="1277"/>
        <w:gridCol w:w="1021"/>
        <w:gridCol w:w="766"/>
        <w:gridCol w:w="102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Recorte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(18,0, 18,7)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(12,2, 13,1)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(12,3, 15,0)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Agregados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(21,1, 27,0)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(15,8, 19,5)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(3,4, 5,5)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(21,1, 27,0)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(4,6, 8,5)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</w:pPr>
            <w:r>
              <w:t xml:space="preserve">Resto da 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(8,5, 11,5)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Teresina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(21,1, 27,0)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Entorno metropolitano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(4,6, 8,5)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Centro-Leste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(6,5, 12,9)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Baixo Parnaíba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(8,3, 12,4)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Estrato agregado</w:t>
            </w:r>
          </w:p>
        </w:tc>
        <w:tc>
          <w:tcPr/>
          <w:p>
            <w:pPr>
              <w:pStyle w:val="Compact"/>
            </w:pPr>
            <w:r>
              <w:t xml:space="preserve">Alto Parnaíba e Chapadas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(7,3, 12,7)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21"/>
    <w:sectPr w:rsidR="005409A3">
      <w:pgSz w:h="16838" w:w="11906"/>
      <w:pgMar w:bottom="1134" w:footer="708" w:gutter="0" w:header="708" w:left="1701" w:right="1134" w:top="170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E23227B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9A3"/>
    <w:rsid w:val="005409A3"/>
    <w:rsid w:val="00C01DF4"/>
    <w:rsid w:val="00DC4B4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spacing w:after="0" w:line="360" w:lineRule="auto"/>
      <w:ind w:firstLine="708"/>
      <w:jc w:val="both"/>
    </w:pPr>
    <w:rPr>
      <w:rFonts w:ascii="Times New Roman" w:cs="Times New Roman" w:eastAsia="Times New Roman" w:hAnsi="Times New Roman"/>
      <w:lang w:eastAsia="pt-BR" w:val="pt-BR"/>
    </w:rPr>
  </w:style>
  <w:style w:styleId="Ttulo1" w:type="paragraph">
    <w:name w:val="heading 1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0"/>
    </w:pPr>
    <w:rPr>
      <w:b/>
      <w:bCs/>
      <w:caps/>
      <w:color w:val="000000"/>
    </w:rPr>
  </w:style>
  <w:style w:styleId="Ttulo2" w:type="paragraph">
    <w:name w:val="heading 2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1"/>
    </w:pPr>
    <w:rPr>
      <w:b/>
      <w:bCs/>
      <w:color w:val="000000"/>
    </w:rPr>
  </w:style>
  <w:style w:styleId="Ttulo3" w:type="paragraph">
    <w:name w:val="heading 3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2"/>
    </w:pPr>
    <w:rPr>
      <w:b/>
      <w:bCs/>
      <w:i/>
      <w:iCs/>
      <w:color w:val="000000"/>
    </w:rPr>
  </w:style>
  <w:style w:styleId="Ttulo4" w:type="paragraph">
    <w:name w:val="heading 4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3"/>
    </w:pPr>
    <w:rPr>
      <w:i/>
      <w:iCs/>
      <w:color w:val="000000"/>
    </w:rPr>
  </w:style>
  <w:style w:styleId="Ttulo5" w:type="paragraph">
    <w:name w:val="heading 5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4"/>
    </w:pPr>
    <w:rPr>
      <w:color w:val="000000"/>
      <w:u w:val="single"/>
    </w:rPr>
  </w:style>
  <w:style w:styleId="Ttulo6" w:type="paragraph">
    <w:name w:val="heading 6"/>
    <w:basedOn w:val="Normal"/>
    <w:next w:val="Corpodetexto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tulo7" w:type="paragraph">
    <w:name w:val="heading 7"/>
    <w:basedOn w:val="Normal"/>
    <w:next w:val="Corpodetexto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Corpodetexto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Corpodetexto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link w:val="CorpodetextoChar"/>
    <w:qFormat/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line="200" w:lineRule="auto"/>
      <w:ind w:firstLine="0"/>
    </w:pPr>
  </w:style>
  <w:style w:styleId="Ttulo" w:type="paragraph">
    <w:name w:val="Title"/>
    <w:basedOn w:val="Normal"/>
    <w:next w:val="Author"/>
    <w:qFormat/>
    <w:pPr>
      <w:keepNext/>
      <w:keepLines/>
      <w:spacing w:after="240" w:before="2400" w:line="240" w:lineRule="auto"/>
      <w:ind w:firstLine="0"/>
      <w:jc w:val="center"/>
    </w:pPr>
    <w:rPr>
      <w:b/>
      <w:bCs/>
      <w:sz w:val="32"/>
      <w:szCs w:val="32"/>
    </w:rPr>
  </w:style>
  <w:style w:styleId="Subttulo" w:type="paragraph">
    <w:name w:val="Subtitle"/>
    <w:basedOn w:val="Ttulo"/>
    <w:next w:val="Author"/>
    <w:qFormat/>
    <w:pPr>
      <w:spacing w:after="1200" w:before="0"/>
    </w:pPr>
    <w:rPr>
      <w:b w:val="0"/>
      <w:bCs w:val="0"/>
      <w:sz w:val="26"/>
      <w:szCs w:val="26"/>
    </w:rPr>
  </w:style>
  <w:style w:customStyle="1" w:styleId="Author" w:type="paragraph">
    <w:name w:val="Author"/>
    <w:basedOn w:val="Normal"/>
    <w:next w:val="Data"/>
    <w:qFormat/>
    <w:pPr>
      <w:keepNext/>
      <w:keepLines/>
      <w:spacing w:after="120" w:line="240" w:lineRule="auto"/>
      <w:ind w:firstLine="0"/>
      <w:jc w:val="center"/>
    </w:pPr>
  </w:style>
  <w:style w:styleId="Data" w:type="paragraph">
    <w:name w:val="Date"/>
    <w:basedOn w:val="Normal"/>
    <w:next w:val="FirstParagraph"/>
    <w:qFormat/>
    <w:pPr>
      <w:keepNext/>
      <w:keepLines/>
      <w:spacing w:line="240" w:lineRule="auto"/>
      <w:ind w:firstLine="0"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20" w:before="120" w:line="240" w:lineRule="auto"/>
      <w:ind w:firstLine="0" w:left="2268"/>
    </w:pPr>
    <w:rPr>
      <w:sz w:val="20"/>
      <w:szCs w:val="20"/>
    </w:rPr>
  </w:style>
  <w:style w:styleId="Textodenotaderodap" w:type="paragraph">
    <w:name w:val="footnote text"/>
    <w:basedOn w:val="Normal"/>
    <w:uiPriority w:val="9"/>
    <w:unhideWhenUsed/>
    <w:qFormat/>
  </w:style>
  <w:style w:customStyle="1" w:styleId="Table" w:type="table">
    <w:name w:val="Table"/>
    <w:uiPriority w:val="99"/>
    <w:qFormat/>
    <w:pPr>
      <w:spacing w:after="0" w:line="200" w:lineRule="auto"/>
      <w:jc w:val="center"/>
    </w:pPr>
    <w:rPr>
      <w:rFonts w:ascii="Times New Roman" w:cs="Times New Roman" w:eastAsia="Times New Roman" w:hAnsi="Times New Roman"/>
      <w:sz w:val="16"/>
      <w:szCs w:val="16"/>
      <w:lang w:eastAsia="pt-BR" w:val="pt-BR"/>
    </w:rPr>
    <w:tblPr>
      <w:tblInd w:type="dxa" w:w="0"/>
      <w:tblBorders>
        <w:top w:color="000000" w:space="0" w:sz="8" w:val="single"/>
        <w:left w:val="nil"/>
        <w:bottom w:color="000000" w:space="0" w:sz="8" w:val="single"/>
        <w:right w:val="nil"/>
        <w:insideH w:val="nil"/>
        <w:insideV w:val="nil"/>
      </w:tblBorders>
      <w:tblCellMar>
        <w:top w:type="dxa" w:w="40"/>
        <w:left w:type="dxa" w:w="60"/>
        <w:bottom w:type="dxa" w:w="40"/>
        <w:right w:type="dxa" w:w="60"/>
      </w:tblCellMar>
    </w:tblPr>
    <w:tcPr>
      <w:vAlign w:val="center"/>
    </w:tcPr>
    <w:tblStylePr w:type="firstRow">
      <w:pPr>
        <w:jc w:val="center"/>
      </w:pPr>
      <w:rPr>
        <w:rFonts w:ascii="Times New Roman" w:cs="Times New Roman" w:eastAsia="Times New Roman" w:hAnsi="Times New Roman"/>
        <w:b/>
        <w:sz w:val="16"/>
      </w:rPr>
      <w:tblPr/>
      <w:tcPr>
        <w:tcBorders>
          <w:bottom w:color="000000" w:space="0" w:sz="6" w:val="single"/>
        </w:tcBorders>
        <w:shd w:color="auto" w:fill="E8E8E8" w:val="clear"/>
        <w:vAlign w:val="center"/>
      </w:tcPr>
    </w:tblStylePr>
    <w:tblStylePr w:type="firstCol">
      <w:pPr>
        <w:jc w:val="left"/>
      </w:pPr>
    </w:tblStylePr>
    <w:tblStylePr w:type="nwCell">
      <w:pPr>
        <w:jc w:val="left"/>
      </w:pPr>
      <w:rPr>
        <w:b/>
      </w:rPr>
      <w:tblPr/>
      <w:tcPr>
        <w:tcBorders>
          <w:bottom w:color="000000" w:space="0" w:sz="6" w:val="single"/>
        </w:tcBorders>
        <w:shd w:color="auto" w:fill="E8E8E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next w:val="Normal"/>
    <w:qFormat/>
    <w:pPr>
      <w:keepNext/>
      <w:keepLines/>
      <w:spacing w:after="60" w:before="240" w:line="240" w:lineRule="auto"/>
      <w:ind w:firstLine="0"/>
      <w:jc w:val="left"/>
    </w:pPr>
    <w:rPr>
      <w:sz w:val="22"/>
      <w:szCs w:val="22"/>
    </w:rPr>
  </w:style>
  <w:style w:customStyle="1" w:styleId="TableCaption" w:type="paragraph">
    <w:name w:val="Table Caption"/>
    <w:basedOn w:val="Legenda"/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orpodetextoChar" w:type="character">
    <w:name w:val="Corpo de texto Char"/>
    <w:basedOn w:val="Fontepargpadro"/>
    <w:link w:val="Corpodetexto"/>
  </w:style>
  <w:style w:customStyle="1" w:styleId="VerbatimChar" w:type="character">
    <w:name w:val="Verbatim Char"/>
    <w:basedOn w:val="CorpodetextoChar"/>
    <w:rPr>
      <w:rFonts w:ascii="Consolas" w:hAnsi="Consolas"/>
      <w:sz w:val="22"/>
    </w:rPr>
  </w:style>
  <w:style w:customStyle="1" w:styleId="SectionNumber" w:type="character">
    <w:name w:val="Section Number"/>
    <w:basedOn w:val="CorpodetextoChar"/>
  </w:style>
  <w:style w:styleId="Refdenotaderodap" w:type="character">
    <w:name w:val="footnote reference"/>
    <w:basedOn w:val="CorpodetextoChar"/>
    <w:rPr>
      <w:vertAlign w:val="superscript"/>
    </w:rPr>
  </w:style>
  <w:style w:styleId="Hyperlink" w:type="character">
    <w:name w:val="Hyperlink"/>
    <w:basedOn w:val="CorpodetextoChar"/>
    <w:rPr>
      <w:color w:themeColor="accent1" w:val="4F81BD"/>
    </w:rPr>
  </w:style>
  <w:style w:styleId="CabealhodoSumrio" w:type="paragraph">
    <w:name w:val="TOC Heading"/>
    <w:basedOn w:val="Normal"/>
    <w:next w:val="Normal"/>
    <w:uiPriority w:val="39"/>
    <w:unhideWhenUsed/>
    <w:qFormat/>
    <w:pPr>
      <w:pageBreakBefore/>
      <w:spacing w:after="360" w:before="240" w:line="240" w:lineRule="auto"/>
      <w:ind w:firstLine="0"/>
      <w:jc w:val="center"/>
    </w:pPr>
    <w:rPr>
      <w:b/>
    </w:rPr>
  </w:style>
  <w:style w:customStyle="1" w:styleId="TituloTabela" w:type="paragraph">
    <w:name w:val="TituloTabela"/>
    <w:basedOn w:val="Legenda"/>
    <w:next w:val="Normal"/>
    <w:qFormat/>
  </w:style>
  <w:style w:customStyle="1" w:styleId="Fonte" w:type="paragraph">
    <w:name w:val="Fonte"/>
    <w:basedOn w:val="Normal"/>
    <w:next w:val="Normal"/>
    <w:qFormat/>
    <w:pPr>
      <w:spacing w:after="300" w:before="60" w:line="240" w:lineRule="auto"/>
      <w:ind w:firstLine="0"/>
      <w:jc w:val="left"/>
    </w:pPr>
    <w:rPr>
      <w:sz w:val="20"/>
      <w:szCs w:val="20"/>
    </w:rPr>
  </w:style>
  <w:style w:customStyle="1" w:styleId="Nota" w:type="paragraph">
    <w:name w:val="Nota"/>
    <w:basedOn w:val="Normal"/>
    <w:next w:val="Fonte"/>
    <w:qFormat/>
    <w:pPr>
      <w:spacing w:after="60" w:line="240" w:lineRule="auto"/>
      <w:ind w:firstLine="0"/>
    </w:pPr>
    <w:rPr>
      <w:sz w:val="20"/>
      <w:szCs w:val="20"/>
    </w:rPr>
  </w:style>
  <w:style w:customStyle="1" w:styleId="Referencia" w:type="paragraph">
    <w:name w:val="Referencia"/>
    <w:basedOn w:val="Normal"/>
    <w:qFormat/>
    <w:pPr>
      <w:spacing w:after="240" w:line="240" w:lineRule="auto"/>
      <w:ind w:firstLine="0"/>
      <w:jc w:val="left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2026-09-17T15:49:23Z</dcterms:created>
  <dcterms:modified xsi:type="dcterms:W3CDTF">2026-09-17T15:49:23Z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