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48A2C" w14:textId="2D37CA3A" w:rsidR="00B02BED" w:rsidRPr="00A504C7" w:rsidRDefault="00B02BED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55DDD9" w14:textId="74796E6A" w:rsidR="00DD5E4D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504C7">
        <w:rPr>
          <w:rFonts w:ascii="Times New Roman" w:hAnsi="Times New Roman" w:cs="Times New Roman"/>
          <w:sz w:val="24"/>
          <w:szCs w:val="24"/>
        </w:rPr>
        <w:t>Relatorio</w:t>
      </w:r>
      <w:proofErr w:type="spellEnd"/>
    </w:p>
    <w:p w14:paraId="718DCB72" w14:textId="67C2C6D4" w:rsidR="00DD5E4D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529AF1" w14:textId="360C77A7" w:rsidR="00DD5E4D" w:rsidRPr="002301EF" w:rsidRDefault="00DD5E4D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01EF">
        <w:rPr>
          <w:rFonts w:ascii="Times New Roman" w:hAnsi="Times New Roman" w:cs="Times New Roman"/>
          <w:b/>
          <w:bCs/>
          <w:sz w:val="28"/>
          <w:szCs w:val="28"/>
        </w:rPr>
        <w:t>Introdução</w:t>
      </w:r>
    </w:p>
    <w:p w14:paraId="1757166A" w14:textId="0303A4B2" w:rsidR="00DD5E4D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52FAE9" w14:textId="58D500B8" w:rsidR="008C5104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A Pesquisa Nacional por Amostra de Domicílios Contínua - PNAD Contínua (PNADC) é de valiosa importância para o monitoramento de indicadores socioeconômicos e demográficos do Piauí. Mercado de trabalho, rendimentos e educação estão entre as temáticas os indicadores mais importantes que são acompanhados de maneira trimestral pelo CIET/SEPLAN, incluindo para eles os recortes demográficos de sexo, raça, grau de instrução e faixa etária</w:t>
      </w:r>
      <w:r w:rsidR="008C5104" w:rsidRPr="00A504C7">
        <w:rPr>
          <w:rFonts w:ascii="Times New Roman" w:hAnsi="Times New Roman" w:cs="Times New Roman"/>
          <w:sz w:val="24"/>
          <w:szCs w:val="24"/>
        </w:rPr>
        <w:t>. Os estudos são feitos para acompanhar a evolução do estado em comparação com o Brasil, o Nordeste e também outros estados do país.</w:t>
      </w:r>
    </w:p>
    <w:p w14:paraId="14956769" w14:textId="77777777" w:rsidR="00940C95" w:rsidRPr="00A504C7" w:rsidRDefault="008C5104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Entretanto, existe uma lacuna pertinente nos indicadores avaliados. Como o monitoramento é feito comparando Brasil, Regiões e Estados– não só por parte do CIET/SEPLAN, mas </w:t>
      </w:r>
      <w:r w:rsidR="00647A90" w:rsidRPr="00A504C7">
        <w:rPr>
          <w:rFonts w:ascii="Times New Roman" w:hAnsi="Times New Roman" w:cs="Times New Roman"/>
          <w:sz w:val="24"/>
          <w:szCs w:val="24"/>
        </w:rPr>
        <w:t>das próprias</w:t>
      </w:r>
      <w:r w:rsidRPr="00A504C7">
        <w:rPr>
          <w:rFonts w:ascii="Times New Roman" w:hAnsi="Times New Roman" w:cs="Times New Roman"/>
          <w:sz w:val="24"/>
          <w:szCs w:val="24"/>
        </w:rPr>
        <w:t xml:space="preserve"> publicações do </w:t>
      </w:r>
      <w:r w:rsidR="00647A90" w:rsidRPr="00A504C7">
        <w:rPr>
          <w:rFonts w:ascii="Times New Roman" w:hAnsi="Times New Roman" w:cs="Times New Roman"/>
          <w:sz w:val="24"/>
          <w:szCs w:val="24"/>
        </w:rPr>
        <w:t>IBGE e</w:t>
      </w:r>
      <w:r w:rsidRPr="00A504C7">
        <w:rPr>
          <w:rFonts w:ascii="Times New Roman" w:hAnsi="Times New Roman" w:cs="Times New Roman"/>
          <w:sz w:val="24"/>
          <w:szCs w:val="24"/>
        </w:rPr>
        <w:t xml:space="preserve"> de outros institutos de pesquisa – as diferenças regionais dentro do próprio estado do Piauí ficam de fora dessa</w:t>
      </w:r>
      <w:r w:rsidR="0010332C" w:rsidRPr="00A504C7">
        <w:rPr>
          <w:rFonts w:ascii="Times New Roman" w:hAnsi="Times New Roman" w:cs="Times New Roman"/>
          <w:sz w:val="24"/>
          <w:szCs w:val="24"/>
        </w:rPr>
        <w:t>s análises</w:t>
      </w:r>
      <w:r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68122B" w:rsidRPr="00A504C7">
        <w:rPr>
          <w:rFonts w:ascii="Times New Roman" w:hAnsi="Times New Roman" w:cs="Times New Roman"/>
          <w:sz w:val="24"/>
          <w:szCs w:val="24"/>
        </w:rPr>
        <w:t xml:space="preserve">Essa </w:t>
      </w:r>
      <w:r w:rsidR="0045458C" w:rsidRPr="00A504C7">
        <w:rPr>
          <w:rFonts w:ascii="Times New Roman" w:hAnsi="Times New Roman" w:cs="Times New Roman"/>
          <w:sz w:val="24"/>
          <w:szCs w:val="24"/>
        </w:rPr>
        <w:t xml:space="preserve">é uma carência gigantesca para o monitoramento do estado – o Piauí é marcado por diversas diferenças regionais, em especial em relação a capital e ao resto do estado. </w:t>
      </w:r>
    </w:p>
    <w:p w14:paraId="153B48DE" w14:textId="3F323ABF" w:rsidR="0010332C" w:rsidRPr="00A504C7" w:rsidRDefault="0045458C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Não precisamos a fundo na literatura para justificar tal assertiva: basta olharmos os resultados de alguns indicadores da própria PNADC</w:t>
      </w:r>
      <w:r w:rsidR="00940C95" w:rsidRPr="00A504C7">
        <w:rPr>
          <w:rFonts w:ascii="Times New Roman" w:hAnsi="Times New Roman" w:cs="Times New Roman"/>
          <w:sz w:val="24"/>
          <w:szCs w:val="24"/>
        </w:rPr>
        <w:t xml:space="preserve"> (Tabela </w:t>
      </w:r>
      <w:r w:rsidR="00A134C1" w:rsidRPr="00A504C7">
        <w:rPr>
          <w:rFonts w:ascii="Times New Roman" w:hAnsi="Times New Roman" w:cs="Times New Roman"/>
          <w:sz w:val="24"/>
          <w:szCs w:val="24"/>
        </w:rPr>
        <w:t>1</w:t>
      </w:r>
      <w:r w:rsidR="00940C95" w:rsidRPr="00A504C7">
        <w:rPr>
          <w:rFonts w:ascii="Times New Roman" w:hAnsi="Times New Roman" w:cs="Times New Roman"/>
          <w:sz w:val="24"/>
          <w:szCs w:val="24"/>
        </w:rPr>
        <w:t>)</w:t>
      </w:r>
      <w:r w:rsidR="00A134C1" w:rsidRPr="00A504C7">
        <w:rPr>
          <w:rFonts w:ascii="Times New Roman" w:hAnsi="Times New Roman" w:cs="Times New Roman"/>
          <w:sz w:val="24"/>
          <w:szCs w:val="24"/>
        </w:rPr>
        <w:t xml:space="preserve">. Comparando o desempenho do Brasil, Nordeste, Piauí e Teresina no segundo trimestre dos últimos quatros anos (2026 a 2023), observa-se que a capital não só supera o estado nos três indicadores, mas tem um desempenho muito próximo em relação </w:t>
      </w:r>
      <w:r w:rsidR="0014080B" w:rsidRPr="00A504C7">
        <w:rPr>
          <w:rFonts w:ascii="Times New Roman" w:hAnsi="Times New Roman" w:cs="Times New Roman"/>
          <w:sz w:val="24"/>
          <w:szCs w:val="24"/>
        </w:rPr>
        <w:t>à</w:t>
      </w:r>
      <w:r w:rsidR="00A134C1" w:rsidRPr="00A504C7">
        <w:rPr>
          <w:rFonts w:ascii="Times New Roman" w:hAnsi="Times New Roman" w:cs="Times New Roman"/>
          <w:sz w:val="24"/>
          <w:szCs w:val="24"/>
        </w:rPr>
        <w:t xml:space="preserve"> média nacional – até superando-a em alguns momentos. Ao passo que o Piauí como todo, ainda acompanha a tendência do nordeste.</w:t>
      </w:r>
    </w:p>
    <w:p w14:paraId="22BE00CC" w14:textId="6E31608F" w:rsidR="00940C95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522E9B" w14:textId="3D672ADE" w:rsidR="00940C95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Tabela 1 – Indicadores de trabalho e rendimento – Brasil, </w:t>
      </w:r>
      <w:proofErr w:type="spellStart"/>
      <w:proofErr w:type="gramStart"/>
      <w:r w:rsidRPr="00A504C7">
        <w:rPr>
          <w:rFonts w:ascii="Times New Roman" w:hAnsi="Times New Roman" w:cs="Times New Roman"/>
          <w:sz w:val="24"/>
          <w:szCs w:val="24"/>
        </w:rPr>
        <w:t>Nordeste,Piauí</w:t>
      </w:r>
      <w:proofErr w:type="spellEnd"/>
      <w:proofErr w:type="gramEnd"/>
      <w:r w:rsidRPr="00A504C7">
        <w:rPr>
          <w:rFonts w:ascii="Times New Roman" w:hAnsi="Times New Roman" w:cs="Times New Roman"/>
          <w:sz w:val="24"/>
          <w:szCs w:val="24"/>
        </w:rPr>
        <w:t xml:space="preserve"> e Teresina– 2º trimestre de 2023 a 2º trimestre de 2026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45458C" w:rsidRPr="00A504C7" w14:paraId="00A2AD14" w14:textId="77777777" w:rsidTr="000455DC">
        <w:tc>
          <w:tcPr>
            <w:tcW w:w="1698" w:type="dxa"/>
            <w:shd w:val="clear" w:color="auto" w:fill="1F4E79" w:themeFill="accent5" w:themeFillShade="80"/>
            <w:vAlign w:val="center"/>
          </w:tcPr>
          <w:p w14:paraId="3958D88A" w14:textId="4C1B2C1A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UF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20780512" w14:textId="708241E2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2T2023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37673C56" w14:textId="7A0BECCB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2T2024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0E827CF2" w14:textId="19DA5964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2T2025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3F001140" w14:textId="15A4DE8C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2T2026</w:t>
            </w:r>
          </w:p>
        </w:tc>
      </w:tr>
      <w:tr w:rsidR="000455DC" w:rsidRPr="00A504C7" w14:paraId="67CB40B3" w14:textId="77777777" w:rsidTr="00CB79A3">
        <w:tc>
          <w:tcPr>
            <w:tcW w:w="8494" w:type="dxa"/>
            <w:gridSpan w:val="5"/>
            <w:shd w:val="clear" w:color="auto" w:fill="00B0F0"/>
            <w:vAlign w:val="center"/>
          </w:tcPr>
          <w:p w14:paraId="7F2C7681" w14:textId="6EAEA064" w:rsidR="000455DC" w:rsidRPr="00A504C7" w:rsidRDefault="000455DC" w:rsidP="00CB79A3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Taxa de Desocupação (%)</w:t>
            </w:r>
          </w:p>
        </w:tc>
      </w:tr>
      <w:tr w:rsidR="000455DC" w:rsidRPr="00A504C7" w14:paraId="4524B3EC" w14:textId="77777777" w:rsidTr="003C6533">
        <w:tc>
          <w:tcPr>
            <w:tcW w:w="1698" w:type="dxa"/>
            <w:vAlign w:val="center"/>
          </w:tcPr>
          <w:p w14:paraId="7B7E0D62" w14:textId="514BCA8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2DD45A32" w14:textId="4EF0A626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99" w:type="dxa"/>
            <w:vAlign w:val="center"/>
          </w:tcPr>
          <w:p w14:paraId="4694F1BA" w14:textId="7E26531F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699" w:type="dxa"/>
            <w:vAlign w:val="center"/>
          </w:tcPr>
          <w:p w14:paraId="5B0A43EF" w14:textId="03DFB6DA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99" w:type="dxa"/>
            <w:vAlign w:val="center"/>
          </w:tcPr>
          <w:p w14:paraId="33DD2016" w14:textId="677CEBE4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</w:tr>
      <w:tr w:rsidR="000455DC" w:rsidRPr="00A504C7" w14:paraId="68710521" w14:textId="77777777" w:rsidTr="003C6533">
        <w:tc>
          <w:tcPr>
            <w:tcW w:w="1698" w:type="dxa"/>
            <w:vAlign w:val="center"/>
          </w:tcPr>
          <w:p w14:paraId="2C174CF6" w14:textId="446B522E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Nordeste</w:t>
            </w:r>
          </w:p>
        </w:tc>
        <w:tc>
          <w:tcPr>
            <w:tcW w:w="1699" w:type="dxa"/>
            <w:vAlign w:val="center"/>
          </w:tcPr>
          <w:p w14:paraId="14F0463F" w14:textId="2852666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699" w:type="dxa"/>
            <w:vAlign w:val="center"/>
          </w:tcPr>
          <w:p w14:paraId="60C3A04C" w14:textId="2B746FF3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699" w:type="dxa"/>
            <w:vAlign w:val="center"/>
          </w:tcPr>
          <w:p w14:paraId="4BE97367" w14:textId="0D770A5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699" w:type="dxa"/>
            <w:vAlign w:val="center"/>
          </w:tcPr>
          <w:p w14:paraId="55FD108E" w14:textId="2ADD4D1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0455DC" w:rsidRPr="00A504C7" w14:paraId="5EF59483" w14:textId="77777777" w:rsidTr="003C6533">
        <w:tc>
          <w:tcPr>
            <w:tcW w:w="1698" w:type="dxa"/>
            <w:vAlign w:val="center"/>
          </w:tcPr>
          <w:p w14:paraId="52DEB242" w14:textId="008EC39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Piauí</w:t>
            </w:r>
          </w:p>
        </w:tc>
        <w:tc>
          <w:tcPr>
            <w:tcW w:w="1699" w:type="dxa"/>
            <w:vAlign w:val="center"/>
          </w:tcPr>
          <w:p w14:paraId="44695DB3" w14:textId="35E1B601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9,7</w:t>
            </w:r>
          </w:p>
        </w:tc>
        <w:tc>
          <w:tcPr>
            <w:tcW w:w="1699" w:type="dxa"/>
            <w:vAlign w:val="center"/>
          </w:tcPr>
          <w:p w14:paraId="193C800F" w14:textId="15F37464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699" w:type="dxa"/>
            <w:vAlign w:val="center"/>
          </w:tcPr>
          <w:p w14:paraId="410985BB" w14:textId="25D6023E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1699" w:type="dxa"/>
            <w:vAlign w:val="center"/>
          </w:tcPr>
          <w:p w14:paraId="255C3F50" w14:textId="048D0CF7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</w:tr>
      <w:tr w:rsidR="000455DC" w:rsidRPr="00A504C7" w14:paraId="586E52CE" w14:textId="77777777" w:rsidTr="003C6533">
        <w:tc>
          <w:tcPr>
            <w:tcW w:w="1698" w:type="dxa"/>
            <w:vAlign w:val="center"/>
          </w:tcPr>
          <w:p w14:paraId="0E4F4520" w14:textId="614810C5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121BA6CF" w14:textId="392436E5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8,1</w:t>
            </w:r>
          </w:p>
        </w:tc>
        <w:tc>
          <w:tcPr>
            <w:tcW w:w="1699" w:type="dxa"/>
            <w:vAlign w:val="center"/>
          </w:tcPr>
          <w:p w14:paraId="49DAFFEE" w14:textId="3BFF119D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99" w:type="dxa"/>
            <w:vAlign w:val="center"/>
          </w:tcPr>
          <w:p w14:paraId="71993828" w14:textId="12ABC053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699" w:type="dxa"/>
            <w:vAlign w:val="center"/>
          </w:tcPr>
          <w:p w14:paraId="1E0C498C" w14:textId="32C392E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</w:tr>
      <w:tr w:rsidR="000455DC" w:rsidRPr="00A504C7" w14:paraId="7A052C83" w14:textId="77777777" w:rsidTr="000455DC">
        <w:tc>
          <w:tcPr>
            <w:tcW w:w="8494" w:type="dxa"/>
            <w:gridSpan w:val="5"/>
            <w:shd w:val="clear" w:color="auto" w:fill="00B0F0"/>
            <w:vAlign w:val="center"/>
          </w:tcPr>
          <w:p w14:paraId="2B4E6854" w14:textId="7899FEA4" w:rsidR="000455DC" w:rsidRPr="00A504C7" w:rsidRDefault="000455DC" w:rsidP="000455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Taxa de informalidade (%)</w:t>
            </w:r>
          </w:p>
        </w:tc>
      </w:tr>
      <w:tr w:rsidR="000455DC" w:rsidRPr="00A504C7" w14:paraId="289AC09A" w14:textId="77777777" w:rsidTr="003C6533">
        <w:tc>
          <w:tcPr>
            <w:tcW w:w="1698" w:type="dxa"/>
            <w:vAlign w:val="center"/>
          </w:tcPr>
          <w:p w14:paraId="3389A12A" w14:textId="30F3C6A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41F8A099" w14:textId="386B2099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699" w:type="dxa"/>
            <w:vAlign w:val="center"/>
          </w:tcPr>
          <w:p w14:paraId="7A35ED56" w14:textId="7AE58068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699" w:type="dxa"/>
            <w:vAlign w:val="center"/>
          </w:tcPr>
          <w:p w14:paraId="01DF01B2" w14:textId="3BC55E2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699" w:type="dxa"/>
            <w:vAlign w:val="center"/>
          </w:tcPr>
          <w:p w14:paraId="6350AA1B" w14:textId="2EF4BB03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37,4</w:t>
            </w:r>
          </w:p>
        </w:tc>
      </w:tr>
      <w:tr w:rsidR="000455DC" w:rsidRPr="00A504C7" w14:paraId="300EB3BA" w14:textId="77777777" w:rsidTr="003C6533">
        <w:tc>
          <w:tcPr>
            <w:tcW w:w="1698" w:type="dxa"/>
            <w:vAlign w:val="center"/>
          </w:tcPr>
          <w:p w14:paraId="30A2BF02" w14:textId="1317F73E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Nordeste</w:t>
            </w:r>
          </w:p>
        </w:tc>
        <w:tc>
          <w:tcPr>
            <w:tcW w:w="1699" w:type="dxa"/>
            <w:vAlign w:val="center"/>
          </w:tcPr>
          <w:p w14:paraId="6E867E8C" w14:textId="0966E85E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699" w:type="dxa"/>
            <w:vAlign w:val="center"/>
          </w:tcPr>
          <w:p w14:paraId="38B1C45C" w14:textId="51D5804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50,7</w:t>
            </w:r>
          </w:p>
        </w:tc>
        <w:tc>
          <w:tcPr>
            <w:tcW w:w="1699" w:type="dxa"/>
            <w:vAlign w:val="center"/>
          </w:tcPr>
          <w:p w14:paraId="16C6CEDF" w14:textId="06F226EB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50,3</w:t>
            </w:r>
          </w:p>
        </w:tc>
        <w:tc>
          <w:tcPr>
            <w:tcW w:w="1699" w:type="dxa"/>
            <w:vAlign w:val="center"/>
          </w:tcPr>
          <w:p w14:paraId="63FB057F" w14:textId="6E1CC104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48,7</w:t>
            </w:r>
          </w:p>
        </w:tc>
      </w:tr>
      <w:tr w:rsidR="000455DC" w:rsidRPr="00A504C7" w14:paraId="515F2434" w14:textId="77777777" w:rsidTr="003C6533">
        <w:tc>
          <w:tcPr>
            <w:tcW w:w="1698" w:type="dxa"/>
            <w:vAlign w:val="center"/>
          </w:tcPr>
          <w:p w14:paraId="3F11B133" w14:textId="1974B674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Piauí</w:t>
            </w:r>
          </w:p>
        </w:tc>
        <w:tc>
          <w:tcPr>
            <w:tcW w:w="1699" w:type="dxa"/>
            <w:vAlign w:val="center"/>
          </w:tcPr>
          <w:p w14:paraId="24C7C812" w14:textId="4D290BC9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699" w:type="dxa"/>
            <w:vAlign w:val="center"/>
          </w:tcPr>
          <w:p w14:paraId="1F532C83" w14:textId="7D699BDD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1699" w:type="dxa"/>
            <w:vAlign w:val="center"/>
          </w:tcPr>
          <w:p w14:paraId="54DF6C7D" w14:textId="600B9AC3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51,8</w:t>
            </w:r>
          </w:p>
        </w:tc>
        <w:tc>
          <w:tcPr>
            <w:tcW w:w="1699" w:type="dxa"/>
            <w:vAlign w:val="center"/>
          </w:tcPr>
          <w:p w14:paraId="1A51DB84" w14:textId="7F55C8B1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</w:tr>
      <w:tr w:rsidR="000455DC" w:rsidRPr="00A504C7" w14:paraId="4F546E55" w14:textId="77777777" w:rsidTr="003C6533">
        <w:tc>
          <w:tcPr>
            <w:tcW w:w="1698" w:type="dxa"/>
            <w:vAlign w:val="center"/>
          </w:tcPr>
          <w:p w14:paraId="49FCC325" w14:textId="2D884B1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00D73DA2" w14:textId="5DA9193F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41,8</w:t>
            </w:r>
          </w:p>
        </w:tc>
        <w:tc>
          <w:tcPr>
            <w:tcW w:w="1699" w:type="dxa"/>
            <w:vAlign w:val="center"/>
          </w:tcPr>
          <w:p w14:paraId="5C642580" w14:textId="15019FBB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38,0</w:t>
            </w:r>
          </w:p>
        </w:tc>
        <w:tc>
          <w:tcPr>
            <w:tcW w:w="1699" w:type="dxa"/>
            <w:vAlign w:val="center"/>
          </w:tcPr>
          <w:p w14:paraId="08FF7B71" w14:textId="74C2078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699" w:type="dxa"/>
            <w:vAlign w:val="center"/>
          </w:tcPr>
          <w:p w14:paraId="4C2F581F" w14:textId="4B626CC1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</w:tr>
      <w:tr w:rsidR="000455DC" w:rsidRPr="00A504C7" w14:paraId="5224619A" w14:textId="77777777" w:rsidTr="000455DC">
        <w:tc>
          <w:tcPr>
            <w:tcW w:w="8494" w:type="dxa"/>
            <w:gridSpan w:val="5"/>
            <w:shd w:val="clear" w:color="auto" w:fill="00B0F0"/>
            <w:vAlign w:val="center"/>
          </w:tcPr>
          <w:p w14:paraId="4CF79BE4" w14:textId="1E234D5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Rendimento médio real habitual (R$)</w:t>
            </w:r>
          </w:p>
        </w:tc>
      </w:tr>
      <w:tr w:rsidR="000455DC" w:rsidRPr="00A504C7" w14:paraId="5E44C0AC" w14:textId="77777777" w:rsidTr="003C6533">
        <w:tc>
          <w:tcPr>
            <w:tcW w:w="1698" w:type="dxa"/>
            <w:vAlign w:val="center"/>
          </w:tcPr>
          <w:p w14:paraId="58C140BD" w14:textId="7D856304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08DD6CCD" w14:textId="092EA17C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3.257</w:t>
            </w:r>
          </w:p>
        </w:tc>
        <w:tc>
          <w:tcPr>
            <w:tcW w:w="1699" w:type="dxa"/>
            <w:vAlign w:val="center"/>
          </w:tcPr>
          <w:p w14:paraId="31A3BBA8" w14:textId="428CD814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3.445</w:t>
            </w:r>
          </w:p>
        </w:tc>
        <w:tc>
          <w:tcPr>
            <w:tcW w:w="1699" w:type="dxa"/>
            <w:vAlign w:val="center"/>
          </w:tcPr>
          <w:p w14:paraId="7162E4EF" w14:textId="0F71DB39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3.546</w:t>
            </w:r>
          </w:p>
        </w:tc>
        <w:tc>
          <w:tcPr>
            <w:tcW w:w="1699" w:type="dxa"/>
            <w:vAlign w:val="center"/>
          </w:tcPr>
          <w:p w14:paraId="79F59AE8" w14:textId="2F6AE47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3.657</w:t>
            </w:r>
          </w:p>
        </w:tc>
      </w:tr>
      <w:tr w:rsidR="000455DC" w:rsidRPr="00A504C7" w14:paraId="7EA5F257" w14:textId="77777777" w:rsidTr="003C6533">
        <w:tc>
          <w:tcPr>
            <w:tcW w:w="1698" w:type="dxa"/>
            <w:vAlign w:val="center"/>
          </w:tcPr>
          <w:p w14:paraId="0EA07335" w14:textId="0134984D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Nordeste</w:t>
            </w:r>
          </w:p>
        </w:tc>
        <w:tc>
          <w:tcPr>
            <w:tcW w:w="1699" w:type="dxa"/>
            <w:vAlign w:val="center"/>
          </w:tcPr>
          <w:p w14:paraId="3C70813C" w14:textId="10AC960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2.153</w:t>
            </w:r>
          </w:p>
        </w:tc>
        <w:tc>
          <w:tcPr>
            <w:tcW w:w="1699" w:type="dxa"/>
            <w:vAlign w:val="center"/>
          </w:tcPr>
          <w:p w14:paraId="431AB17D" w14:textId="397721C2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2.347</w:t>
            </w:r>
          </w:p>
        </w:tc>
        <w:tc>
          <w:tcPr>
            <w:tcW w:w="1699" w:type="dxa"/>
            <w:vAlign w:val="center"/>
          </w:tcPr>
          <w:p w14:paraId="7217E851" w14:textId="69F3509F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2.415</w:t>
            </w:r>
          </w:p>
        </w:tc>
        <w:tc>
          <w:tcPr>
            <w:tcW w:w="1699" w:type="dxa"/>
            <w:vAlign w:val="center"/>
          </w:tcPr>
          <w:p w14:paraId="1A385873" w14:textId="4C1F2220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2.537</w:t>
            </w:r>
          </w:p>
        </w:tc>
      </w:tr>
      <w:tr w:rsidR="000455DC" w:rsidRPr="00A504C7" w14:paraId="7BF4130F" w14:textId="77777777" w:rsidTr="003C6533">
        <w:tc>
          <w:tcPr>
            <w:tcW w:w="1698" w:type="dxa"/>
            <w:vAlign w:val="center"/>
          </w:tcPr>
          <w:p w14:paraId="3F4EE725" w14:textId="59C38196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Piauí</w:t>
            </w:r>
          </w:p>
        </w:tc>
        <w:tc>
          <w:tcPr>
            <w:tcW w:w="1699" w:type="dxa"/>
            <w:vAlign w:val="center"/>
          </w:tcPr>
          <w:p w14:paraId="510653E0" w14:textId="035ED40C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2.476</w:t>
            </w:r>
          </w:p>
        </w:tc>
        <w:tc>
          <w:tcPr>
            <w:tcW w:w="1699" w:type="dxa"/>
            <w:vAlign w:val="center"/>
          </w:tcPr>
          <w:p w14:paraId="7ACCA59E" w14:textId="0EE92A92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2.401</w:t>
            </w:r>
          </w:p>
        </w:tc>
        <w:tc>
          <w:tcPr>
            <w:tcW w:w="1699" w:type="dxa"/>
            <w:vAlign w:val="center"/>
          </w:tcPr>
          <w:p w14:paraId="17FA9829" w14:textId="5282AE0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2.420</w:t>
            </w:r>
          </w:p>
        </w:tc>
        <w:tc>
          <w:tcPr>
            <w:tcW w:w="1699" w:type="dxa"/>
            <w:vAlign w:val="center"/>
          </w:tcPr>
          <w:p w14:paraId="03AC16D1" w14:textId="267BC626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2.392</w:t>
            </w:r>
          </w:p>
        </w:tc>
      </w:tr>
      <w:tr w:rsidR="000455DC" w:rsidRPr="00A504C7" w14:paraId="647FC4F4" w14:textId="77777777" w:rsidTr="003C6533">
        <w:tc>
          <w:tcPr>
            <w:tcW w:w="1698" w:type="dxa"/>
            <w:vAlign w:val="center"/>
          </w:tcPr>
          <w:p w14:paraId="5D8C1D0F" w14:textId="3C4F398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6343B6F7" w14:textId="4DBB951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3.604</w:t>
            </w:r>
          </w:p>
        </w:tc>
        <w:tc>
          <w:tcPr>
            <w:tcW w:w="1699" w:type="dxa"/>
            <w:vAlign w:val="center"/>
          </w:tcPr>
          <w:p w14:paraId="37CF1EDD" w14:textId="19680C4B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3.886</w:t>
            </w:r>
          </w:p>
        </w:tc>
        <w:tc>
          <w:tcPr>
            <w:tcW w:w="1699" w:type="dxa"/>
            <w:vAlign w:val="center"/>
          </w:tcPr>
          <w:p w14:paraId="1FDFC4CD" w14:textId="395BB9F9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3.622</w:t>
            </w:r>
          </w:p>
        </w:tc>
        <w:tc>
          <w:tcPr>
            <w:tcW w:w="1699" w:type="dxa"/>
            <w:vAlign w:val="center"/>
          </w:tcPr>
          <w:p w14:paraId="668DAF02" w14:textId="6828AFFD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3.489</w:t>
            </w:r>
          </w:p>
        </w:tc>
      </w:tr>
    </w:tbl>
    <w:p w14:paraId="20F24D42" w14:textId="0A8AA7AF" w:rsidR="00A12C16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Fonte: IBGE – Pesquisa Nacional por Amostra de Domicílios Contínua trimestral. Elaboração própria.</w:t>
      </w:r>
    </w:p>
    <w:p w14:paraId="7E898688" w14:textId="58486264" w:rsidR="008C5104" w:rsidRPr="00A504C7" w:rsidRDefault="00A12C1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Essa</w:t>
      </w:r>
      <w:r w:rsidR="002538B5" w:rsidRPr="00A504C7">
        <w:rPr>
          <w:rFonts w:ascii="Times New Roman" w:hAnsi="Times New Roman" w:cs="Times New Roman"/>
          <w:sz w:val="24"/>
          <w:szCs w:val="24"/>
        </w:rPr>
        <w:t xml:space="preserve"> ausência de uma analisada desagregada do Piauí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2538B5" w:rsidRPr="00A504C7">
        <w:rPr>
          <w:rFonts w:ascii="Times New Roman" w:hAnsi="Times New Roman" w:cs="Times New Roman"/>
          <w:sz w:val="24"/>
          <w:szCs w:val="24"/>
        </w:rPr>
        <w:t>foi, por muito tempo,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2538B5" w:rsidRPr="00A504C7">
        <w:rPr>
          <w:rFonts w:ascii="Times New Roman" w:hAnsi="Times New Roman" w:cs="Times New Roman"/>
          <w:sz w:val="24"/>
          <w:szCs w:val="24"/>
        </w:rPr>
        <w:t>devido a u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ma limitação da própria PNADC, que entre 2012 e 2022 só </w:t>
      </w:r>
      <w:r w:rsidR="002538B5" w:rsidRPr="00A504C7">
        <w:rPr>
          <w:rFonts w:ascii="Times New Roman" w:hAnsi="Times New Roman" w:cs="Times New Roman"/>
          <w:sz w:val="24"/>
          <w:szCs w:val="24"/>
        </w:rPr>
        <w:t xml:space="preserve">disponibilizada nos seus </w:t>
      </w:r>
      <w:proofErr w:type="spellStart"/>
      <w:r w:rsidR="002538B5" w:rsidRPr="00A504C7">
        <w:rPr>
          <w:rFonts w:ascii="Times New Roman" w:hAnsi="Times New Roman" w:cs="Times New Roman"/>
          <w:sz w:val="24"/>
          <w:szCs w:val="24"/>
        </w:rPr>
        <w:t>microdados</w:t>
      </w:r>
      <w:proofErr w:type="spellEnd"/>
      <w:r w:rsidR="002538B5" w:rsidRPr="00A504C7">
        <w:rPr>
          <w:rFonts w:ascii="Times New Roman" w:hAnsi="Times New Roman" w:cs="Times New Roman"/>
          <w:sz w:val="24"/>
          <w:szCs w:val="24"/>
        </w:rPr>
        <w:t xml:space="preserve"> resultados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até – no máximo – a nível das capitais dos estados. </w:t>
      </w:r>
      <w:r w:rsidR="008C5104" w:rsidRPr="00A504C7">
        <w:rPr>
          <w:rFonts w:ascii="Times New Roman" w:hAnsi="Times New Roman" w:cs="Times New Roman"/>
          <w:sz w:val="24"/>
          <w:szCs w:val="24"/>
        </w:rPr>
        <w:t xml:space="preserve">Todavia, a partir </w:t>
      </w:r>
      <w:r w:rsidR="00BD01FD" w:rsidRPr="00A504C7">
        <w:rPr>
          <w:rFonts w:ascii="Times New Roman" w:hAnsi="Times New Roman" w:cs="Times New Roman"/>
          <w:sz w:val="24"/>
          <w:szCs w:val="24"/>
        </w:rPr>
        <w:t>de 2022, o IBGE começou a divulgar seus resultados estratificados para cada UF (Nota técnica 01/2022) incluindo estratos administrativos e geográficos (vamos explica-los mais a frente). Isso permite a estimação de indicadores para sub-regiões dentro de cada estado. Essas estatísticas ainda são experimentais, todavia elas são de extrema importância, em especial para o Piauí, um estado que apresenta dentro de si fortes desigualdades regionais.</w:t>
      </w:r>
    </w:p>
    <w:p w14:paraId="695F1994" w14:textId="181D0934" w:rsidR="00BD01FD" w:rsidRPr="00A504C7" w:rsidRDefault="00647A90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Nesse contexto, o objetivo deste relatório é explorar as diferenças regionais no mercado de trabalho e nos rendimentos da população dentro do Piauí. Além dessa introdução, o relatório contém 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>X seções. Na primeira, especif</w:t>
      </w:r>
      <w:r w:rsidR="00A30B41" w:rsidRPr="00A504C7">
        <w:rPr>
          <w:rFonts w:ascii="Times New Roman" w:hAnsi="Times New Roman" w:cs="Times New Roman"/>
          <w:color w:val="FF0000"/>
          <w:sz w:val="24"/>
          <w:szCs w:val="24"/>
        </w:rPr>
        <w:t>ic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 xml:space="preserve">aremos os estratos, as dimensões e os indicadores que serão avaliados. Na </w:t>
      </w:r>
      <w:r w:rsidR="00A12C16" w:rsidRPr="00A504C7">
        <w:rPr>
          <w:rFonts w:ascii="Times New Roman" w:hAnsi="Times New Roman" w:cs="Times New Roman"/>
          <w:color w:val="FF0000"/>
          <w:sz w:val="24"/>
          <w:szCs w:val="24"/>
        </w:rPr>
        <w:t>segunda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 xml:space="preserve">, os resultados são apresentados. Por fim, concluímos com algumas considerações finais. </w:t>
      </w:r>
      <w:r w:rsidRPr="00A504C7">
        <w:rPr>
          <w:rFonts w:ascii="Times New Roman" w:hAnsi="Times New Roman" w:cs="Times New Roman"/>
          <w:sz w:val="24"/>
          <w:szCs w:val="24"/>
        </w:rPr>
        <w:t xml:space="preserve">Como essas estatísticas são experimentais, é necessário um cuidado </w:t>
      </w:r>
      <w:r w:rsidR="003B2ED5" w:rsidRPr="00A504C7">
        <w:rPr>
          <w:rFonts w:ascii="Times New Roman" w:hAnsi="Times New Roman" w:cs="Times New Roman"/>
          <w:sz w:val="24"/>
          <w:szCs w:val="24"/>
        </w:rPr>
        <w:t xml:space="preserve">metodológico mais </w:t>
      </w:r>
      <w:r w:rsidR="00A30B41" w:rsidRPr="00A504C7">
        <w:rPr>
          <w:rFonts w:ascii="Times New Roman" w:hAnsi="Times New Roman" w:cs="Times New Roman"/>
          <w:sz w:val="24"/>
          <w:szCs w:val="24"/>
        </w:rPr>
        <w:t>rigoroso</w:t>
      </w:r>
      <w:r w:rsidR="003B2ED5" w:rsidRPr="00A504C7">
        <w:rPr>
          <w:rFonts w:ascii="Times New Roman" w:hAnsi="Times New Roman" w:cs="Times New Roman"/>
          <w:sz w:val="24"/>
          <w:szCs w:val="24"/>
        </w:rPr>
        <w:t xml:space="preserve"> e aprofundado. </w:t>
      </w:r>
      <w:r w:rsidR="00A30B41" w:rsidRPr="00A504C7">
        <w:rPr>
          <w:rFonts w:ascii="Times New Roman" w:hAnsi="Times New Roman" w:cs="Times New Roman"/>
          <w:sz w:val="24"/>
          <w:szCs w:val="24"/>
        </w:rPr>
        <w:t>Embora importante</w:t>
      </w:r>
      <w:r w:rsidR="003B2ED5" w:rsidRPr="00A504C7">
        <w:rPr>
          <w:rFonts w:ascii="Times New Roman" w:hAnsi="Times New Roman" w:cs="Times New Roman"/>
          <w:sz w:val="24"/>
          <w:szCs w:val="24"/>
        </w:rPr>
        <w:t>, muitos consideram apenas detalhes, e por isso serão relegados ao um anexo metodológico – direcionados aos puros de coração.</w:t>
      </w:r>
    </w:p>
    <w:p w14:paraId="655456A8" w14:textId="2B711A39" w:rsidR="003B2ED5" w:rsidRDefault="003B2ED5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07D5E0" w14:textId="3DB80F20" w:rsidR="002301EF" w:rsidRPr="002301EF" w:rsidRDefault="002301EF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Metodologia</w:t>
      </w:r>
    </w:p>
    <w:p w14:paraId="395A0D7D" w14:textId="60DEA67B" w:rsidR="0014080B" w:rsidRPr="00226ACD" w:rsidRDefault="002301EF" w:rsidP="00DD5E4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01EF">
        <w:rPr>
          <w:rFonts w:ascii="Times New Roman" w:hAnsi="Times New Roman" w:cs="Times New Roman"/>
          <w:b/>
          <w:bCs/>
          <w:sz w:val="24"/>
          <w:szCs w:val="24"/>
        </w:rPr>
        <w:t>2.1 Dimensões e indicadores analisados</w:t>
      </w:r>
    </w:p>
    <w:p w14:paraId="5912406B" w14:textId="11F7CF0F" w:rsidR="0014080B" w:rsidRPr="00A504C7" w:rsidRDefault="0014080B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Neste relatório dividiremos nossa análise conforme diferentes temáticas. Para cada uma delas, teremos um indicador chave e indicadores secundários. Tomou-se como base </w:t>
      </w:r>
      <w:r w:rsidR="00A504C7">
        <w:rPr>
          <w:rFonts w:ascii="Times New Roman" w:hAnsi="Times New Roman" w:cs="Times New Roman"/>
          <w:sz w:val="24"/>
          <w:szCs w:val="24"/>
        </w:rPr>
        <w:t>as dimensões e</w:t>
      </w:r>
      <w:r w:rsidRPr="00A504C7">
        <w:rPr>
          <w:rFonts w:ascii="Times New Roman" w:hAnsi="Times New Roman" w:cs="Times New Roman"/>
          <w:sz w:val="24"/>
          <w:szCs w:val="24"/>
        </w:rPr>
        <w:t xml:space="preserve"> indicadores selecionados por Saboia (2014)</w:t>
      </w:r>
      <w:r w:rsidR="0017687B">
        <w:rPr>
          <w:rFonts w:ascii="Times New Roman" w:hAnsi="Times New Roman" w:cs="Times New Roman"/>
          <w:sz w:val="24"/>
          <w:szCs w:val="24"/>
        </w:rPr>
        <w:t>, sendo feitas algumas adaptações dos indicadores</w:t>
      </w:r>
      <w:r w:rsidR="00FC4BD9">
        <w:rPr>
          <w:rFonts w:ascii="Times New Roman" w:hAnsi="Times New Roman" w:cs="Times New Roman"/>
          <w:sz w:val="24"/>
          <w:szCs w:val="24"/>
        </w:rPr>
        <w:t xml:space="preserve"> para refletir as variáveis disponíveis na PNADC trimestral</w:t>
      </w:r>
      <w:r w:rsidR="00545CE8">
        <w:rPr>
          <w:rStyle w:val="Refdenotaderodap"/>
          <w:rFonts w:ascii="Times New Roman" w:hAnsi="Times New Roman" w:cs="Times New Roman"/>
          <w:sz w:val="24"/>
          <w:szCs w:val="24"/>
        </w:rPr>
        <w:footnoteReference w:id="1"/>
      </w:r>
      <w:r w:rsidR="0017687B">
        <w:rPr>
          <w:rFonts w:ascii="Times New Roman" w:hAnsi="Times New Roman" w:cs="Times New Roman"/>
          <w:sz w:val="24"/>
          <w:szCs w:val="24"/>
        </w:rPr>
        <w:t xml:space="preserve">, além </w:t>
      </w:r>
      <w:r w:rsidR="00FC4BD9">
        <w:rPr>
          <w:rFonts w:ascii="Times New Roman" w:hAnsi="Times New Roman" w:cs="Times New Roman"/>
          <w:sz w:val="24"/>
          <w:szCs w:val="24"/>
        </w:rPr>
        <w:t>d</w:t>
      </w:r>
      <w:r w:rsidR="0017687B">
        <w:rPr>
          <w:rFonts w:ascii="Times New Roman" w:hAnsi="Times New Roman" w:cs="Times New Roman"/>
          <w:sz w:val="24"/>
          <w:szCs w:val="24"/>
        </w:rPr>
        <w:t>e estendermos o número de indicadores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são interesse para fins de </w:t>
      </w:r>
      <w:r w:rsidR="007F1F0D" w:rsidRPr="00A504C7">
        <w:rPr>
          <w:rFonts w:ascii="Times New Roman" w:hAnsi="Times New Roman" w:cs="Times New Roman"/>
          <w:sz w:val="24"/>
          <w:szCs w:val="24"/>
        </w:rPr>
        <w:t>políticas</w:t>
      </w:r>
      <w:r w:rsidRPr="00A504C7">
        <w:rPr>
          <w:rFonts w:ascii="Times New Roman" w:hAnsi="Times New Roman" w:cs="Times New Roman"/>
          <w:sz w:val="24"/>
          <w:szCs w:val="24"/>
        </w:rPr>
        <w:t xml:space="preserve"> públicas.</w:t>
      </w:r>
      <w:r w:rsidR="00614BC7" w:rsidRPr="00A504C7">
        <w:rPr>
          <w:rFonts w:ascii="Times New Roman" w:hAnsi="Times New Roman" w:cs="Times New Roman"/>
          <w:sz w:val="24"/>
          <w:szCs w:val="24"/>
        </w:rPr>
        <w:t xml:space="preserve"> As </w:t>
      </w:r>
      <w:r w:rsidR="0017687B">
        <w:rPr>
          <w:rFonts w:ascii="Times New Roman" w:hAnsi="Times New Roman" w:cs="Times New Roman"/>
          <w:sz w:val="24"/>
          <w:szCs w:val="24"/>
        </w:rPr>
        <w:t>dimensões</w:t>
      </w:r>
      <w:r w:rsidR="00824F64" w:rsidRPr="00A504C7">
        <w:rPr>
          <w:rFonts w:ascii="Times New Roman" w:hAnsi="Times New Roman" w:cs="Times New Roman"/>
          <w:sz w:val="24"/>
          <w:szCs w:val="24"/>
        </w:rPr>
        <w:t xml:space="preserve"> selecionadas por Saboia (2014) foram 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de </w:t>
      </w:r>
      <w:r w:rsidR="00824F64" w:rsidRPr="00A504C7">
        <w:rPr>
          <w:rFonts w:ascii="Times New Roman" w:hAnsi="Times New Roman" w:cs="Times New Roman"/>
          <w:sz w:val="24"/>
          <w:szCs w:val="24"/>
        </w:rPr>
        <w:t>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="00824F64" w:rsidRPr="00A504C7">
        <w:rPr>
          <w:rFonts w:ascii="Times New Roman" w:hAnsi="Times New Roman" w:cs="Times New Roman"/>
          <w:sz w:val="24"/>
          <w:szCs w:val="24"/>
        </w:rPr>
        <w:t xml:space="preserve">, 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de rendimentos e de inserção. Adicionamos a temática </w:t>
      </w:r>
      <w:r w:rsidR="000E0391" w:rsidRPr="00763AFF">
        <w:rPr>
          <w:rFonts w:ascii="Times New Roman" w:hAnsi="Times New Roman" w:cs="Times New Roman"/>
          <w:sz w:val="24"/>
          <w:szCs w:val="24"/>
        </w:rPr>
        <w:t>de desalentados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9E2781">
        <w:rPr>
          <w:rFonts w:ascii="Times New Roman" w:hAnsi="Times New Roman" w:cs="Times New Roman"/>
          <w:sz w:val="24"/>
          <w:szCs w:val="24"/>
        </w:rPr>
        <w:t>As variáveis englobadas são:</w:t>
      </w:r>
    </w:p>
    <w:p w14:paraId="67C269C2" w14:textId="1D0583BA" w:rsidR="00614BC7" w:rsidRPr="00A504C7" w:rsidRDefault="009C4105" w:rsidP="009C4105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Pr="00A504C7">
        <w:rPr>
          <w:rFonts w:ascii="Times New Roman" w:hAnsi="Times New Roman" w:cs="Times New Roman"/>
          <w:sz w:val="24"/>
          <w:szCs w:val="24"/>
        </w:rPr>
        <w:t>:</w:t>
      </w:r>
    </w:p>
    <w:p w14:paraId="6E4E800B" w14:textId="01AD117A" w:rsidR="009C4105" w:rsidRPr="00A504C7" w:rsidRDefault="00432905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Taxa de 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Pr="00A504C7">
        <w:rPr>
          <w:rFonts w:ascii="Times New Roman" w:hAnsi="Times New Roman" w:cs="Times New Roman"/>
          <w:sz w:val="24"/>
          <w:szCs w:val="24"/>
        </w:rPr>
        <w:t>;</w:t>
      </w:r>
    </w:p>
    <w:p w14:paraId="6145B0D5" w14:textId="13D19369" w:rsidR="00432905" w:rsidRPr="00126FB5" w:rsidRDefault="00432905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26FB5">
        <w:rPr>
          <w:rFonts w:ascii="Times New Roman" w:hAnsi="Times New Roman" w:cs="Times New Roman"/>
          <w:color w:val="FF0000"/>
          <w:sz w:val="24"/>
          <w:szCs w:val="24"/>
        </w:rPr>
        <w:lastRenderedPageBreak/>
        <w:t>Des</w:t>
      </w:r>
      <w:r w:rsidR="00543B29" w:rsidRPr="00126FB5">
        <w:rPr>
          <w:rFonts w:ascii="Times New Roman" w:hAnsi="Times New Roman" w:cs="Times New Roman"/>
          <w:color w:val="FF0000"/>
          <w:sz w:val="24"/>
          <w:szCs w:val="24"/>
        </w:rPr>
        <w:t xml:space="preserve">ocupação </w:t>
      </w:r>
      <w:r w:rsidRPr="00126FB5">
        <w:rPr>
          <w:rFonts w:ascii="Times New Roman" w:hAnsi="Times New Roman" w:cs="Times New Roman"/>
          <w:color w:val="FF0000"/>
          <w:sz w:val="24"/>
          <w:szCs w:val="24"/>
        </w:rPr>
        <w:t>de chefes de família (percentual de chefes de família entre os desempregados)</w:t>
      </w:r>
      <w:r w:rsidR="00126FB5" w:rsidRPr="00126F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26FB5" w:rsidRPr="00126FB5">
        <w:rPr>
          <w:rFonts w:ascii="Times New Roman" w:hAnsi="Times New Roman" w:cs="Times New Roman"/>
          <w:color w:val="FF0000"/>
          <w:sz w:val="24"/>
          <w:szCs w:val="24"/>
        </w:rPr>
        <w:t>(ESTOU VENDO O NEGOCIO DO CASAL)</w:t>
      </w:r>
      <w:r w:rsidRPr="00126FB5">
        <w:rPr>
          <w:rFonts w:ascii="Times New Roman" w:hAnsi="Times New Roman" w:cs="Times New Roman"/>
          <w:color w:val="FF0000"/>
          <w:sz w:val="24"/>
          <w:szCs w:val="24"/>
        </w:rPr>
        <w:t>;</w:t>
      </w:r>
    </w:p>
    <w:p w14:paraId="26C9085C" w14:textId="56E50B11" w:rsidR="009C4105" w:rsidRPr="00A504C7" w:rsidRDefault="009C4105" w:rsidP="009C4105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Rendimento</w:t>
      </w:r>
      <w:r w:rsidR="008F5E33" w:rsidRPr="00A504C7">
        <w:rPr>
          <w:rFonts w:ascii="Times New Roman" w:hAnsi="Times New Roman" w:cs="Times New Roman"/>
          <w:sz w:val="24"/>
          <w:szCs w:val="24"/>
        </w:rPr>
        <w:t>:</w:t>
      </w:r>
    </w:p>
    <w:p w14:paraId="58BC3F9E" w14:textId="52F2A4CA" w:rsidR="00432905" w:rsidRPr="00A504C7" w:rsidRDefault="00432905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Rendimento médio real (rendimento médio real habitualmente recebido em todos os trabalhos);</w:t>
      </w:r>
    </w:p>
    <w:p w14:paraId="41A8B459" w14:textId="4D4C4030" w:rsidR="00432905" w:rsidRPr="00A504C7" w:rsidRDefault="00EF5A36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504C7">
        <w:rPr>
          <w:rFonts w:ascii="Times New Roman" w:hAnsi="Times New Roman" w:cs="Times New Roman"/>
          <w:sz w:val="24"/>
          <w:szCs w:val="24"/>
        </w:rPr>
        <w:t>Sub-remuneração</w:t>
      </w:r>
      <w:proofErr w:type="spellEnd"/>
      <w:r w:rsidRPr="00A504C7">
        <w:rPr>
          <w:rFonts w:ascii="Times New Roman" w:hAnsi="Times New Roman" w:cs="Times New Roman"/>
          <w:sz w:val="24"/>
          <w:szCs w:val="24"/>
        </w:rPr>
        <w:t xml:space="preserve"> (percentual de </w:t>
      </w:r>
      <w:r w:rsidR="00543B29">
        <w:rPr>
          <w:rFonts w:ascii="Times New Roman" w:hAnsi="Times New Roman" w:cs="Times New Roman"/>
          <w:sz w:val="24"/>
          <w:szCs w:val="24"/>
        </w:rPr>
        <w:t>ocupados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recebem por hora trabalhada menos do que o salário mínimo horário);</w:t>
      </w:r>
    </w:p>
    <w:p w14:paraId="727FD80B" w14:textId="46DC2843" w:rsidR="00EF5A36" w:rsidRPr="00A504C7" w:rsidRDefault="00EF5A36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Desigualdade (relação entre a remuneração dos </w:t>
      </w:r>
      <w:r w:rsidR="00A504C7">
        <w:rPr>
          <w:rFonts w:ascii="Times New Roman" w:hAnsi="Times New Roman" w:cs="Times New Roman"/>
          <w:sz w:val="24"/>
          <w:szCs w:val="24"/>
        </w:rPr>
        <w:t>ocupados formais e informais</w:t>
      </w:r>
      <w:r w:rsidRPr="00A504C7">
        <w:rPr>
          <w:rFonts w:ascii="Times New Roman" w:hAnsi="Times New Roman" w:cs="Times New Roman"/>
          <w:sz w:val="24"/>
          <w:szCs w:val="24"/>
        </w:rPr>
        <w:t>);</w:t>
      </w:r>
    </w:p>
    <w:p w14:paraId="66EB0420" w14:textId="2BE6823D" w:rsidR="009C4105" w:rsidRPr="00A504C7" w:rsidRDefault="009C4105" w:rsidP="009C4105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Inserção no mercado de trabalho</w:t>
      </w:r>
      <w:r w:rsidR="008F5E33" w:rsidRPr="00A504C7">
        <w:rPr>
          <w:rFonts w:ascii="Times New Roman" w:hAnsi="Times New Roman" w:cs="Times New Roman"/>
          <w:sz w:val="24"/>
          <w:szCs w:val="24"/>
        </w:rPr>
        <w:t>:</w:t>
      </w:r>
    </w:p>
    <w:p w14:paraId="52BBFCB9" w14:textId="07CB18E0" w:rsidR="00FC4BD9" w:rsidRDefault="00EF5A36" w:rsidP="00FC4BD9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Informalidade (percentual de ocupados sem carteira assinada</w:t>
      </w:r>
      <w:r w:rsidR="008F5E33" w:rsidRPr="00A504C7">
        <w:rPr>
          <w:rFonts w:ascii="Times New Roman" w:hAnsi="Times New Roman" w:cs="Times New Roman"/>
          <w:sz w:val="24"/>
          <w:szCs w:val="24"/>
        </w:rPr>
        <w:t>);</w:t>
      </w:r>
    </w:p>
    <w:p w14:paraId="158605C5" w14:textId="030C7769" w:rsidR="00FC4BD9" w:rsidRPr="00FC4BD9" w:rsidRDefault="00FC4BD9" w:rsidP="00FC4BD9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Sub-ocupação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(percentual de pessoas subocupadas por insuficiência de horas trabalhadas);</w:t>
      </w:r>
    </w:p>
    <w:p w14:paraId="7FAD66E1" w14:textId="0520D055" w:rsidR="008F5E33" w:rsidRPr="00A504C7" w:rsidRDefault="008F5E33" w:rsidP="00EF5A36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Escolaridade (percentual de ocupados com ensino médio completo);</w:t>
      </w:r>
    </w:p>
    <w:p w14:paraId="292683C2" w14:textId="27B045F5" w:rsidR="008F5E33" w:rsidRPr="00A504C7" w:rsidRDefault="009C4105" w:rsidP="008F5E3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Desalentados</w:t>
      </w:r>
      <w:r w:rsidR="008F5E33" w:rsidRPr="00A504C7">
        <w:rPr>
          <w:rFonts w:ascii="Times New Roman" w:hAnsi="Times New Roman" w:cs="Times New Roman"/>
          <w:sz w:val="24"/>
          <w:szCs w:val="24"/>
        </w:rPr>
        <w:t>:</w:t>
      </w:r>
    </w:p>
    <w:p w14:paraId="15DF60BA" w14:textId="77777777" w:rsidR="00126FB5" w:rsidRDefault="008F5E33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Percentual de desalentados</w:t>
      </w:r>
      <w:r w:rsidR="00126FB5">
        <w:rPr>
          <w:rFonts w:ascii="Times New Roman" w:hAnsi="Times New Roman" w:cs="Times New Roman"/>
          <w:sz w:val="24"/>
          <w:szCs w:val="24"/>
        </w:rPr>
        <w:t>;</w:t>
      </w:r>
    </w:p>
    <w:p w14:paraId="31B34B4F" w14:textId="1C481F24" w:rsidR="000646AB" w:rsidRPr="00126FB5" w:rsidRDefault="000646AB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6FB5">
        <w:rPr>
          <w:rFonts w:ascii="Times New Roman" w:hAnsi="Times New Roman" w:cs="Times New Roman"/>
          <w:sz w:val="24"/>
          <w:szCs w:val="24"/>
        </w:rPr>
        <w:t>Percentual de jovens nem-e-nem;</w:t>
      </w:r>
    </w:p>
    <w:p w14:paraId="70740802" w14:textId="335F36D9" w:rsidR="00126FB5" w:rsidRPr="00126FB5" w:rsidRDefault="000646AB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Motivos de não ter procurado emprego;</w:t>
      </w:r>
    </w:p>
    <w:p w14:paraId="4FBBA603" w14:textId="2B9E3C17" w:rsidR="00A12C16" w:rsidRPr="00126FB5" w:rsidRDefault="000E0391" w:rsidP="00126FB5">
      <w:pPr>
        <w:jc w:val="both"/>
        <w:rPr>
          <w:rFonts w:ascii="Times New Roman" w:hAnsi="Times New Roman" w:cs="Times New Roman"/>
          <w:sz w:val="24"/>
          <w:szCs w:val="24"/>
        </w:rPr>
      </w:pPr>
      <w:r w:rsidRPr="00126FB5">
        <w:rPr>
          <w:rFonts w:ascii="Times New Roman" w:hAnsi="Times New Roman" w:cs="Times New Roman"/>
          <w:sz w:val="24"/>
          <w:szCs w:val="24"/>
        </w:rPr>
        <w:t xml:space="preserve">Para </w:t>
      </w:r>
      <w:r w:rsidR="00EB40A6" w:rsidRPr="00126FB5">
        <w:rPr>
          <w:rFonts w:ascii="Times New Roman" w:hAnsi="Times New Roman" w:cs="Times New Roman"/>
          <w:sz w:val="24"/>
          <w:szCs w:val="24"/>
        </w:rPr>
        <w:t>a dimensão d</w:t>
      </w:r>
      <w:r w:rsidR="00763AFF" w:rsidRPr="00126FB5">
        <w:rPr>
          <w:rFonts w:ascii="Times New Roman" w:hAnsi="Times New Roman" w:cs="Times New Roman"/>
          <w:sz w:val="24"/>
          <w:szCs w:val="24"/>
        </w:rPr>
        <w:t>a desocupação</w:t>
      </w:r>
      <w:r w:rsidRPr="00126FB5">
        <w:rPr>
          <w:rFonts w:ascii="Times New Roman" w:hAnsi="Times New Roman" w:cs="Times New Roman"/>
          <w:sz w:val="24"/>
          <w:szCs w:val="24"/>
        </w:rPr>
        <w:t>, o indicador chave é, evidentemente, a taxa de de</w:t>
      </w:r>
      <w:r w:rsidR="00763AFF" w:rsidRPr="00126FB5">
        <w:rPr>
          <w:rFonts w:ascii="Times New Roman" w:hAnsi="Times New Roman" w:cs="Times New Roman"/>
          <w:sz w:val="24"/>
          <w:szCs w:val="24"/>
        </w:rPr>
        <w:t>socupação</w:t>
      </w:r>
      <w:r w:rsidRPr="00126FB5">
        <w:rPr>
          <w:rFonts w:ascii="Times New Roman" w:hAnsi="Times New Roman" w:cs="Times New Roman"/>
          <w:sz w:val="24"/>
          <w:szCs w:val="24"/>
        </w:rPr>
        <w:t>, um dos principais indicadores do mercado de trabalho.</w:t>
      </w:r>
      <w:r w:rsidR="00D918FC" w:rsidRPr="00126FB5">
        <w:rPr>
          <w:rFonts w:ascii="Times New Roman" w:hAnsi="Times New Roman" w:cs="Times New Roman"/>
          <w:sz w:val="24"/>
          <w:szCs w:val="24"/>
        </w:rPr>
        <w:t xml:space="preserve"> </w:t>
      </w:r>
      <w:r w:rsidR="00016356" w:rsidRPr="00126FB5">
        <w:rPr>
          <w:rFonts w:ascii="Times New Roman" w:hAnsi="Times New Roman" w:cs="Times New Roman"/>
          <w:sz w:val="24"/>
          <w:szCs w:val="24"/>
        </w:rPr>
        <w:t xml:space="preserve">Além da taxa, analisamos o percentual de </w:t>
      </w:r>
      <w:r w:rsidR="00C26054" w:rsidRPr="00126FB5">
        <w:rPr>
          <w:rFonts w:ascii="Times New Roman" w:hAnsi="Times New Roman" w:cs="Times New Roman"/>
          <w:sz w:val="24"/>
          <w:szCs w:val="24"/>
        </w:rPr>
        <w:t xml:space="preserve">responsáveis </w:t>
      </w:r>
      <w:r w:rsidR="00C26054" w:rsidRPr="00126FB5">
        <w:rPr>
          <w:rFonts w:ascii="Times New Roman" w:hAnsi="Times New Roman" w:cs="Times New Roman"/>
          <w:color w:val="FF0000"/>
          <w:sz w:val="24"/>
          <w:szCs w:val="24"/>
        </w:rPr>
        <w:t xml:space="preserve">familiares (ESTOU VENDO O NEGOCIO DO CASAL) </w:t>
      </w:r>
      <w:r w:rsidR="00016356" w:rsidRPr="00126FB5">
        <w:rPr>
          <w:rFonts w:ascii="Times New Roman" w:hAnsi="Times New Roman" w:cs="Times New Roman"/>
          <w:sz w:val="24"/>
          <w:szCs w:val="24"/>
        </w:rPr>
        <w:t xml:space="preserve">entre os desocupados, pois </w:t>
      </w:r>
      <w:r w:rsidR="00FF17CE" w:rsidRPr="00126FB5">
        <w:rPr>
          <w:rFonts w:ascii="Times New Roman" w:hAnsi="Times New Roman" w:cs="Times New Roman"/>
          <w:sz w:val="24"/>
          <w:szCs w:val="24"/>
        </w:rPr>
        <w:t>mostra a situação de desocupação que mais normalmente prejudica o rendimento familiar.</w:t>
      </w:r>
    </w:p>
    <w:p w14:paraId="0F1F484F" w14:textId="3959B83E" w:rsidR="005C646E" w:rsidRPr="00A504C7" w:rsidRDefault="00EB40A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Para a dimensão dos</w:t>
      </w:r>
      <w:r w:rsidR="00A067C1" w:rsidRPr="00A504C7">
        <w:rPr>
          <w:rFonts w:ascii="Times New Roman" w:hAnsi="Times New Roman" w:cs="Times New Roman"/>
          <w:sz w:val="24"/>
          <w:szCs w:val="24"/>
        </w:rPr>
        <w:t xml:space="preserve"> rendimentos, a variável chave é o rendimento médio habitualmente recebido em todos os trabalhos</w:t>
      </w:r>
      <w:r w:rsidR="001F1F7E" w:rsidRPr="00A504C7">
        <w:rPr>
          <w:rFonts w:ascii="Times New Roman" w:hAnsi="Times New Roman" w:cs="Times New Roman"/>
          <w:sz w:val="24"/>
          <w:szCs w:val="24"/>
        </w:rPr>
        <w:t>.</w:t>
      </w:r>
      <w:r w:rsidR="005C6F85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1F1F7E" w:rsidRPr="00A504C7">
        <w:rPr>
          <w:rFonts w:ascii="Times New Roman" w:hAnsi="Times New Roman" w:cs="Times New Roman"/>
          <w:sz w:val="24"/>
          <w:szCs w:val="24"/>
        </w:rPr>
        <w:t>E</w:t>
      </w:r>
      <w:r w:rsidR="005C6F85" w:rsidRPr="00A504C7">
        <w:rPr>
          <w:rFonts w:ascii="Times New Roman" w:hAnsi="Times New Roman" w:cs="Times New Roman"/>
          <w:sz w:val="24"/>
          <w:szCs w:val="24"/>
        </w:rPr>
        <w:t xml:space="preserve">scolhemos a habitualmente recebida pois </w:t>
      </w:r>
      <w:r w:rsidR="006F675E" w:rsidRPr="00A504C7">
        <w:rPr>
          <w:rFonts w:ascii="Times New Roman" w:hAnsi="Times New Roman" w:cs="Times New Roman"/>
          <w:sz w:val="24"/>
          <w:szCs w:val="24"/>
        </w:rPr>
        <w:t>é o ganho normal e contínuo e mostra a estabilidade do ganho</w:t>
      </w:r>
      <w:r w:rsidR="004277D5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 w:rsidR="006F675E"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As variáveis </w:t>
      </w:r>
      <w:r w:rsidR="00093BD6" w:rsidRPr="00A504C7">
        <w:rPr>
          <w:rFonts w:ascii="Times New Roman" w:hAnsi="Times New Roman" w:cs="Times New Roman"/>
          <w:sz w:val="24"/>
          <w:szCs w:val="24"/>
        </w:rPr>
        <w:t>adicionais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 são a </w:t>
      </w:r>
      <w:proofErr w:type="spellStart"/>
      <w:r w:rsidR="001E73C5" w:rsidRPr="00A504C7">
        <w:rPr>
          <w:rFonts w:ascii="Times New Roman" w:hAnsi="Times New Roman" w:cs="Times New Roman"/>
          <w:sz w:val="24"/>
          <w:szCs w:val="24"/>
        </w:rPr>
        <w:t>sub-remuneração</w:t>
      </w:r>
      <w:proofErr w:type="spellEnd"/>
      <w:r w:rsidR="001E73C5" w:rsidRPr="00A504C7">
        <w:rPr>
          <w:rFonts w:ascii="Times New Roman" w:hAnsi="Times New Roman" w:cs="Times New Roman"/>
          <w:sz w:val="24"/>
          <w:szCs w:val="24"/>
        </w:rPr>
        <w:t xml:space="preserve"> de hora trabalhada</w:t>
      </w:r>
      <w:r w:rsidR="00CA3E4C">
        <w:rPr>
          <w:rFonts w:ascii="Times New Roman" w:hAnsi="Times New Roman" w:cs="Times New Roman"/>
          <w:sz w:val="24"/>
          <w:szCs w:val="24"/>
        </w:rPr>
        <w:t>s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 – que irá capturar em especial </w:t>
      </w:r>
      <w:r w:rsidR="00CA3E4C">
        <w:rPr>
          <w:rFonts w:ascii="Times New Roman" w:hAnsi="Times New Roman" w:cs="Times New Roman"/>
          <w:sz w:val="24"/>
          <w:szCs w:val="24"/>
        </w:rPr>
        <w:t>os ocupados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 informais que estejam ganhando abaixo do valor hora do salário mínimo</w:t>
      </w:r>
      <w:r w:rsidR="006A6087" w:rsidRPr="00A504C7">
        <w:rPr>
          <w:rFonts w:ascii="Times New Roman" w:hAnsi="Times New Roman" w:cs="Times New Roman"/>
          <w:sz w:val="24"/>
          <w:szCs w:val="24"/>
        </w:rPr>
        <w:t>. Já para a desigualdade de rendimentos no mercado de trabalho, optou-se pela relação entre a remuneração d</w:t>
      </w:r>
      <w:r w:rsidR="00CA3E4C">
        <w:rPr>
          <w:rFonts w:ascii="Times New Roman" w:hAnsi="Times New Roman" w:cs="Times New Roman"/>
          <w:sz w:val="24"/>
          <w:szCs w:val="24"/>
        </w:rPr>
        <w:t>os ocupados</w:t>
      </w:r>
      <w:r w:rsidR="006A6087" w:rsidRPr="00A504C7">
        <w:rPr>
          <w:rFonts w:ascii="Times New Roman" w:hAnsi="Times New Roman" w:cs="Times New Roman"/>
          <w:sz w:val="24"/>
          <w:szCs w:val="24"/>
        </w:rPr>
        <w:t xml:space="preserve"> formais e </w:t>
      </w:r>
      <w:r w:rsidR="00CA3E4C">
        <w:rPr>
          <w:rFonts w:ascii="Times New Roman" w:hAnsi="Times New Roman" w:cs="Times New Roman"/>
          <w:sz w:val="24"/>
          <w:szCs w:val="24"/>
        </w:rPr>
        <w:t xml:space="preserve">dos </w:t>
      </w:r>
      <w:r w:rsidR="006A6087" w:rsidRPr="00A504C7">
        <w:rPr>
          <w:rFonts w:ascii="Times New Roman" w:hAnsi="Times New Roman" w:cs="Times New Roman"/>
          <w:sz w:val="24"/>
          <w:szCs w:val="24"/>
        </w:rPr>
        <w:t xml:space="preserve">informais para avaliar </w:t>
      </w:r>
      <w:r w:rsidR="008B6A45">
        <w:rPr>
          <w:rFonts w:ascii="Times New Roman" w:hAnsi="Times New Roman" w:cs="Times New Roman"/>
          <w:sz w:val="24"/>
          <w:szCs w:val="24"/>
        </w:rPr>
        <w:t>o efeito da formalidade nos rendimentos do mercado de trabalho</w:t>
      </w:r>
      <w:r w:rsidR="006A6087" w:rsidRPr="00A504C7">
        <w:rPr>
          <w:rFonts w:ascii="Times New Roman" w:hAnsi="Times New Roman" w:cs="Times New Roman"/>
          <w:sz w:val="24"/>
          <w:szCs w:val="24"/>
        </w:rPr>
        <w:t>.</w:t>
      </w:r>
    </w:p>
    <w:p w14:paraId="67F0D9F5" w14:textId="4BF1ACB8" w:rsidR="00A12C16" w:rsidRDefault="00EB40A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Para a dimensão da inserção no mercado de trabalho. O indicador chave é a taxa de informalidade</w:t>
      </w:r>
      <w:r w:rsidR="003867A7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 w:rsidR="003867A7">
        <w:rPr>
          <w:rFonts w:ascii="Times New Roman" w:hAnsi="Times New Roman" w:cs="Times New Roman"/>
          <w:sz w:val="24"/>
          <w:szCs w:val="24"/>
        </w:rPr>
        <w:t>,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mostra o percentual da população mais vulnerável e/ou em situações precárias de trabalho.</w:t>
      </w:r>
      <w:r w:rsidR="00863336">
        <w:rPr>
          <w:rFonts w:ascii="Times New Roman" w:hAnsi="Times New Roman" w:cs="Times New Roman"/>
          <w:sz w:val="24"/>
          <w:szCs w:val="24"/>
        </w:rPr>
        <w:t xml:space="preserve"> Os indicadores adicionais são a </w:t>
      </w:r>
      <w:proofErr w:type="spellStart"/>
      <w:r w:rsidR="00863336">
        <w:rPr>
          <w:rFonts w:ascii="Times New Roman" w:hAnsi="Times New Roman" w:cs="Times New Roman"/>
          <w:sz w:val="24"/>
          <w:szCs w:val="24"/>
        </w:rPr>
        <w:t>sub-ocupação</w:t>
      </w:r>
      <w:proofErr w:type="spellEnd"/>
      <w:r w:rsidR="00863336">
        <w:rPr>
          <w:rFonts w:ascii="Times New Roman" w:hAnsi="Times New Roman" w:cs="Times New Roman"/>
          <w:sz w:val="24"/>
          <w:szCs w:val="24"/>
        </w:rPr>
        <w:t xml:space="preserve"> </w:t>
      </w:r>
      <w:r w:rsidR="004A7283">
        <w:rPr>
          <w:rFonts w:ascii="Times New Roman" w:hAnsi="Times New Roman" w:cs="Times New Roman"/>
          <w:sz w:val="24"/>
          <w:szCs w:val="24"/>
        </w:rPr>
        <w:t>por insuficiência de horas trabalhadas, que mostra o percentual de trabalhadores com menor de 44 horas semanais dispostos a trabalhar mais. Por fim, considera-se o percentual de ocupados com ao menos ensino médio completo como medida de mão de obra com maior produtividade no mercado.</w:t>
      </w:r>
    </w:p>
    <w:p w14:paraId="12F9017B" w14:textId="59F19702" w:rsidR="003F4B99" w:rsidRPr="00FE323C" w:rsidRDefault="00FE323C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FE323C">
        <w:rPr>
          <w:rFonts w:ascii="Times New Roman" w:hAnsi="Times New Roman" w:cs="Times New Roman"/>
          <w:sz w:val="24"/>
          <w:szCs w:val="24"/>
        </w:rPr>
        <w:lastRenderedPageBreak/>
        <w:t>Para o desalento, o indicador chave é taxa de desalento, que mensura a porcentagem de pessoas em idade ativa e dispostas a trabalhar, mas que desistiram de procurar emprego de forma ativa por acharem que não vão encontrar vaga. Ele é um indicador de falta de oportunidades de trabalho na região. O primeiro indicador adicional foi o percentual de jovens nem-e-nem, que engloba pessoas de 15 a 29 anos que nem trabalham e nem estudam.  Jovens nessa situação podem enfrentar dificuldade de inserção futura no mercado formal, precarização da renda e exclusão social. De maneira agregada, regiões com alto percentual de jovens nem-e-nem apresentam perda de potencial de crescimento econômico a longo prazo e aumento de desigualdades socias. As causas dessa condição variam desde fatores econômicos, como desemprego e falta de oportunidades, até motivos pessoais, como gravidez precoce, cuidado de familiares ou desinteresse em trabalhar ou continuar estudando. O segundo indicador extra é o motivo da pessoa não ter procurado emprego</w:t>
      </w:r>
      <w:proofErr w:type="gramStart"/>
      <w:r w:rsidRPr="00FE323C">
        <w:rPr>
          <w:rFonts w:ascii="Times New Roman" w:hAnsi="Times New Roman" w:cs="Times New Roman"/>
          <w:sz w:val="24"/>
          <w:szCs w:val="24"/>
        </w:rPr>
        <w:t xml:space="preserve">. </w:t>
      </w:r>
      <w:r w:rsidR="00015C9B" w:rsidRPr="00FE323C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015C9B" w:rsidRPr="00FE323C">
        <w:rPr>
          <w:rFonts w:ascii="Times New Roman" w:hAnsi="Times New Roman" w:cs="Times New Roman"/>
          <w:sz w:val="24"/>
          <w:szCs w:val="24"/>
        </w:rPr>
        <w:t xml:space="preserve"> onde avaliamos se eles não buscam trabalham pois acham que não há trabalho na região, ou por falta de experiência, idade ou qualificação.</w:t>
      </w:r>
    </w:p>
    <w:p w14:paraId="540A5524" w14:textId="2CBFC028" w:rsidR="002301EF" w:rsidRDefault="002301EF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Definido as dimensões econômicas e as variáveis selecionadas vamos definir os recortes geográficos que irem</w:t>
      </w:r>
      <w:r w:rsidR="00FF2976">
        <w:rPr>
          <w:rFonts w:ascii="Times New Roman" w:hAnsi="Times New Roman" w:cs="Times New Roman"/>
          <w:sz w:val="24"/>
          <w:szCs w:val="24"/>
        </w:rPr>
        <w:t>os</w:t>
      </w:r>
      <w:r>
        <w:rPr>
          <w:rFonts w:ascii="Times New Roman" w:hAnsi="Times New Roman" w:cs="Times New Roman"/>
          <w:sz w:val="24"/>
          <w:szCs w:val="24"/>
        </w:rPr>
        <w:t xml:space="preserve"> comparar.</w:t>
      </w:r>
    </w:p>
    <w:p w14:paraId="1B58CE2F" w14:textId="489DB094" w:rsidR="00B14C2F" w:rsidRPr="00FC1F72" w:rsidRDefault="002301EF" w:rsidP="00DD5E4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2.2. </w:t>
      </w:r>
      <w:r w:rsidR="00B14C2F">
        <w:rPr>
          <w:rFonts w:ascii="Times New Roman" w:hAnsi="Times New Roman" w:cs="Times New Roman"/>
          <w:b/>
          <w:bCs/>
          <w:sz w:val="24"/>
          <w:szCs w:val="24"/>
        </w:rPr>
        <w:t>Recortes</w:t>
      </w: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 geográficos </w:t>
      </w:r>
    </w:p>
    <w:p w14:paraId="1DAD303A" w14:textId="5B1A3044" w:rsidR="00B14C2F" w:rsidRDefault="00B14C2F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recortes mais agregados que utilizaremos incluem o Brasil, o Nordeste e o Piauí. Esses três níveis já são utilizamos no relatório trimestral da PNADC e são aqui reutilizados pois põe em perspectiva o resultado de todos os recortes. Contra esses níveis vamos comparar </w:t>
      </w:r>
      <w:r w:rsidR="00FC1F72">
        <w:rPr>
          <w:rFonts w:ascii="Times New Roman" w:hAnsi="Times New Roman" w:cs="Times New Roman"/>
          <w:sz w:val="24"/>
          <w:szCs w:val="24"/>
        </w:rPr>
        <w:t xml:space="preserve">principalmente </w:t>
      </w:r>
      <w:r>
        <w:rPr>
          <w:rFonts w:ascii="Times New Roman" w:hAnsi="Times New Roman" w:cs="Times New Roman"/>
          <w:sz w:val="24"/>
          <w:szCs w:val="24"/>
        </w:rPr>
        <w:t xml:space="preserve">o desempenho de Teresina, de forma análoga </w:t>
      </w:r>
      <w:r w:rsidR="00FC1F72">
        <w:rPr>
          <w:rFonts w:ascii="Times New Roman" w:hAnsi="Times New Roman" w:cs="Times New Roman"/>
          <w:sz w:val="24"/>
          <w:szCs w:val="24"/>
        </w:rPr>
        <w:t xml:space="preserve">ao já realizada na introdução. </w:t>
      </w:r>
    </w:p>
    <w:p w14:paraId="6FAEA29F" w14:textId="26DBA2AA" w:rsidR="00FC1F72" w:rsidRDefault="00162D1B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Dentro do Piauí, serão feitos</w:t>
      </w:r>
      <w:r w:rsidR="001E6255">
        <w:rPr>
          <w:rFonts w:ascii="Times New Roman" w:hAnsi="Times New Roman" w:cs="Times New Roman"/>
          <w:sz w:val="24"/>
          <w:szCs w:val="24"/>
        </w:rPr>
        <w:t xml:space="preserve"> quatro</w:t>
      </w:r>
      <w:r>
        <w:rPr>
          <w:rFonts w:ascii="Times New Roman" w:hAnsi="Times New Roman" w:cs="Times New Roman"/>
          <w:sz w:val="24"/>
          <w:szCs w:val="24"/>
        </w:rPr>
        <w:t xml:space="preserve"> recortes geográficos.</w:t>
      </w:r>
      <w:r w:rsidR="00FC1F7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</w:t>
      </w:r>
      <w:r w:rsidR="00FC1F72">
        <w:rPr>
          <w:rFonts w:ascii="Times New Roman" w:hAnsi="Times New Roman" w:cs="Times New Roman"/>
          <w:sz w:val="24"/>
          <w:szCs w:val="24"/>
        </w:rPr>
        <w:t xml:space="preserve"> primeiro, compararemos zona urbana e zona rural. Esse recorte não é nenhuma novidade em comparação as outras, mas serve ao propósito de elucidar mais ainda as diferenças </w:t>
      </w:r>
      <w:r w:rsidR="00414C5A">
        <w:rPr>
          <w:rFonts w:ascii="Times New Roman" w:hAnsi="Times New Roman" w:cs="Times New Roman"/>
          <w:sz w:val="24"/>
          <w:szCs w:val="24"/>
        </w:rPr>
        <w:t>econômicas entre os tipos de áreas.</w:t>
      </w:r>
    </w:p>
    <w:p w14:paraId="7E84AE99" w14:textId="77777777" w:rsidR="004D79FB" w:rsidRDefault="00ED4744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segundo recorte é feito conforme a área administrativa,</w:t>
      </w:r>
      <w:r w:rsidR="005E6D6D">
        <w:rPr>
          <w:rFonts w:ascii="Times New Roman" w:hAnsi="Times New Roman" w:cs="Times New Roman"/>
          <w:sz w:val="24"/>
          <w:szCs w:val="24"/>
        </w:rPr>
        <w:t xml:space="preserve"> que </w:t>
      </w:r>
      <w:r>
        <w:rPr>
          <w:rFonts w:ascii="Times New Roman" w:hAnsi="Times New Roman" w:cs="Times New Roman"/>
          <w:sz w:val="24"/>
          <w:szCs w:val="24"/>
        </w:rPr>
        <w:t>quatro</w:t>
      </w:r>
      <w:r w:rsidR="005E6D6D">
        <w:rPr>
          <w:rFonts w:ascii="Times New Roman" w:hAnsi="Times New Roman" w:cs="Times New Roman"/>
          <w:sz w:val="24"/>
          <w:szCs w:val="24"/>
        </w:rPr>
        <w:t xml:space="preserve"> estratos: </w:t>
      </w:r>
      <w:r>
        <w:rPr>
          <w:rFonts w:ascii="Times New Roman" w:hAnsi="Times New Roman" w:cs="Times New Roman"/>
          <w:sz w:val="24"/>
          <w:szCs w:val="24"/>
        </w:rPr>
        <w:t>a capital</w:t>
      </w:r>
      <w:r w:rsidR="005E6D6D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o resto da</w:t>
      </w:r>
      <w:r w:rsidR="005E6D6D" w:rsidRPr="005E6D6D">
        <w:rPr>
          <w:rFonts w:ascii="Times New Roman" w:hAnsi="Times New Roman" w:cs="Times New Roman"/>
          <w:sz w:val="24"/>
          <w:szCs w:val="24"/>
        </w:rPr>
        <w:t xml:space="preserve"> Região Metropolitana (RM)</w:t>
      </w:r>
      <w:r>
        <w:rPr>
          <w:rFonts w:ascii="Times New Roman" w:hAnsi="Times New Roman" w:cs="Times New Roman"/>
          <w:sz w:val="24"/>
          <w:szCs w:val="24"/>
        </w:rPr>
        <w:t>, excluindo a capital;</w:t>
      </w:r>
      <w:r w:rsidR="005E6D6D" w:rsidRPr="005E6D6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 resto da </w:t>
      </w:r>
      <w:r w:rsidR="005E6D6D" w:rsidRPr="005E6D6D">
        <w:rPr>
          <w:rFonts w:ascii="Times New Roman" w:hAnsi="Times New Roman" w:cs="Times New Roman"/>
          <w:sz w:val="24"/>
          <w:szCs w:val="24"/>
        </w:rPr>
        <w:t>Região Integrada de Desenvolvimento Econômico (RIDE)</w:t>
      </w:r>
      <w:r>
        <w:rPr>
          <w:rFonts w:ascii="Times New Roman" w:hAnsi="Times New Roman" w:cs="Times New Roman"/>
          <w:sz w:val="24"/>
          <w:szCs w:val="24"/>
        </w:rPr>
        <w:t xml:space="preserve">, excluindo a </w:t>
      </w:r>
      <w:r w:rsidR="005E6D6D" w:rsidRPr="005E6D6D">
        <w:rPr>
          <w:rFonts w:ascii="Times New Roman" w:hAnsi="Times New Roman" w:cs="Times New Roman"/>
          <w:sz w:val="24"/>
          <w:szCs w:val="24"/>
        </w:rPr>
        <w:t>Capital</w:t>
      </w:r>
      <w:r>
        <w:rPr>
          <w:rFonts w:ascii="Times New Roman" w:hAnsi="Times New Roman" w:cs="Times New Roman"/>
          <w:sz w:val="24"/>
          <w:szCs w:val="24"/>
        </w:rPr>
        <w:t>, e</w:t>
      </w:r>
      <w:r w:rsidR="005E6D6D" w:rsidRPr="005E6D6D">
        <w:rPr>
          <w:rFonts w:ascii="Times New Roman" w:hAnsi="Times New Roman" w:cs="Times New Roman"/>
          <w:sz w:val="24"/>
          <w:szCs w:val="24"/>
        </w:rPr>
        <w:t>;</w:t>
      </w:r>
      <w:r w:rsidR="005E6D6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 resto da UF, excluindo a região metropolitana e a RIDE. 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(As duas categorias do meio parecem ter um </w:t>
      </w:r>
      <w:proofErr w:type="spellStart"/>
      <w:r>
        <w:rPr>
          <w:rFonts w:ascii="Times New Roman" w:hAnsi="Times New Roman" w:cs="Times New Roman"/>
          <w:color w:val="FF0000"/>
          <w:sz w:val="24"/>
          <w:szCs w:val="24"/>
        </w:rPr>
        <w:t>overlap</w:t>
      </w:r>
      <w:proofErr w:type="spellEnd"/>
      <w:r>
        <w:rPr>
          <w:rFonts w:ascii="Times New Roman" w:hAnsi="Times New Roman" w:cs="Times New Roman"/>
          <w:color w:val="FF0000"/>
          <w:sz w:val="24"/>
          <w:szCs w:val="24"/>
        </w:rPr>
        <w:t>, verificar isso).</w:t>
      </w:r>
      <w:r w:rsidR="00BF4D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F4D92">
        <w:rPr>
          <w:rFonts w:ascii="Times New Roman" w:hAnsi="Times New Roman" w:cs="Times New Roman"/>
          <w:sz w:val="24"/>
          <w:szCs w:val="24"/>
        </w:rPr>
        <w:t xml:space="preserve">Esse estrato já vem definido dentro dos </w:t>
      </w:r>
      <w:proofErr w:type="spellStart"/>
      <w:r w:rsidR="00BF4D92">
        <w:rPr>
          <w:rFonts w:ascii="Times New Roman" w:hAnsi="Times New Roman" w:cs="Times New Roman"/>
          <w:sz w:val="24"/>
          <w:szCs w:val="24"/>
        </w:rPr>
        <w:t>micr</w:t>
      </w:r>
      <w:r w:rsidR="004D79FB">
        <w:rPr>
          <w:rFonts w:ascii="Times New Roman" w:hAnsi="Times New Roman" w:cs="Times New Roman"/>
          <w:sz w:val="24"/>
          <w:szCs w:val="24"/>
        </w:rPr>
        <w:t>o</w:t>
      </w:r>
      <w:r w:rsidR="00BF4D92">
        <w:rPr>
          <w:rFonts w:ascii="Times New Roman" w:hAnsi="Times New Roman" w:cs="Times New Roman"/>
          <w:sz w:val="24"/>
          <w:szCs w:val="24"/>
        </w:rPr>
        <w:t>dados</w:t>
      </w:r>
      <w:proofErr w:type="spellEnd"/>
      <w:r w:rsidR="00BF4D92">
        <w:rPr>
          <w:rFonts w:ascii="Times New Roman" w:hAnsi="Times New Roman" w:cs="Times New Roman"/>
          <w:sz w:val="24"/>
          <w:szCs w:val="24"/>
        </w:rPr>
        <w:t xml:space="preserve">, e gradualmente exclui a capital em seu entrono </w:t>
      </w:r>
      <w:proofErr w:type="gramStart"/>
      <w:r w:rsidR="00BF4D92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="00BF4D92">
        <w:rPr>
          <w:rFonts w:ascii="Times New Roman" w:hAnsi="Times New Roman" w:cs="Times New Roman"/>
          <w:sz w:val="24"/>
          <w:szCs w:val="24"/>
        </w:rPr>
        <w:t xml:space="preserve"> medida que avança no estrato</w:t>
      </w:r>
      <w:r w:rsidR="004D79FB">
        <w:rPr>
          <w:rFonts w:ascii="Times New Roman" w:hAnsi="Times New Roman" w:cs="Times New Roman"/>
          <w:sz w:val="24"/>
          <w:szCs w:val="24"/>
        </w:rPr>
        <w:t>, o que nos permite analisar como a proximidade a capital impacta nos indicadores.</w:t>
      </w:r>
    </w:p>
    <w:p w14:paraId="57FA51B6" w14:textId="2C299DE4" w:rsidR="003C7CED" w:rsidRDefault="0063427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terceiro divide o estado em cinco estratos geográficos: Teresina</w:t>
      </w:r>
      <w:r w:rsidR="00240D72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Entorno Metropolitano de Teresina</w:t>
      </w:r>
      <w:r w:rsidR="00240D72">
        <w:rPr>
          <w:rFonts w:ascii="Times New Roman" w:hAnsi="Times New Roman" w:cs="Times New Roman"/>
          <w:sz w:val="24"/>
          <w:szCs w:val="24"/>
        </w:rPr>
        <w:t xml:space="preserve">; Centro-Leste do Piauí; Baixo Parnaíba do Piauí; e Alto Parnaíba e Chapadas Sul do Piauí. Essa divisão segue a já utilizada pelo IBGE em seu </w:t>
      </w:r>
      <w:r>
        <w:rPr>
          <w:rFonts w:ascii="Times New Roman" w:hAnsi="Times New Roman" w:cs="Times New Roman"/>
          <w:sz w:val="24"/>
          <w:szCs w:val="24"/>
        </w:rPr>
        <w:t>Painel da PNADC (2026)</w:t>
      </w:r>
      <w:r w:rsidR="00240D72">
        <w:rPr>
          <w:rFonts w:ascii="Times New Roman" w:hAnsi="Times New Roman" w:cs="Times New Roman"/>
          <w:sz w:val="24"/>
          <w:szCs w:val="24"/>
        </w:rPr>
        <w:t>. Replicá-lo em nossa pesquisa nos garante robustez e permite conferir os nossos resultados com os oficiais. A principal contribuição desse recorte é permitir a comparar os indicadores entre o sul. Centro-leste e norte do Piauí.</w:t>
      </w:r>
    </w:p>
    <w:p w14:paraId="539AF0D2" w14:textId="225A8851" w:rsidR="001E6255" w:rsidRDefault="001E6255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quarto e último recorte</w:t>
      </w:r>
      <w:r w:rsidR="00601B02">
        <w:rPr>
          <w:rFonts w:ascii="Times New Roman" w:hAnsi="Times New Roman" w:cs="Times New Roman"/>
          <w:sz w:val="24"/>
          <w:szCs w:val="24"/>
        </w:rPr>
        <w:t xml:space="preserve"> utiliza os estratos mais finos disponíveis dentro dos </w:t>
      </w:r>
      <w:proofErr w:type="spellStart"/>
      <w:r w:rsidR="00601B02">
        <w:rPr>
          <w:rFonts w:ascii="Times New Roman" w:hAnsi="Times New Roman" w:cs="Times New Roman"/>
          <w:sz w:val="24"/>
          <w:szCs w:val="24"/>
        </w:rPr>
        <w:t>microdados</w:t>
      </w:r>
      <w:proofErr w:type="spellEnd"/>
      <w:r w:rsidR="00601B02">
        <w:rPr>
          <w:rFonts w:ascii="Times New Roman" w:hAnsi="Times New Roman" w:cs="Times New Roman"/>
          <w:sz w:val="24"/>
          <w:szCs w:val="24"/>
        </w:rPr>
        <w:t xml:space="preserve"> da PNADC. Esses são os estratos criados conforme IBGE (2022), sendo cada um constituídos por municípios </w:t>
      </w:r>
      <w:r w:rsidR="00601B02" w:rsidRPr="00601B02">
        <w:rPr>
          <w:rFonts w:ascii="Times New Roman" w:hAnsi="Times New Roman" w:cs="Times New Roman"/>
          <w:sz w:val="24"/>
          <w:szCs w:val="24"/>
        </w:rPr>
        <w:t>com alguma similaridade ou com alguma relação entre eles e para que as áreas definidas pelos estratos tenham algum significado geográfico</w:t>
      </w:r>
      <w:r w:rsidR="00601B02">
        <w:rPr>
          <w:rFonts w:ascii="Times New Roman" w:hAnsi="Times New Roman" w:cs="Times New Roman"/>
          <w:sz w:val="24"/>
          <w:szCs w:val="24"/>
        </w:rPr>
        <w:t xml:space="preserve">. </w:t>
      </w:r>
      <w:r w:rsidR="00426433" w:rsidRPr="00426433">
        <w:rPr>
          <w:rFonts w:ascii="Times New Roman" w:hAnsi="Times New Roman" w:cs="Times New Roman"/>
          <w:color w:val="FF0000"/>
          <w:sz w:val="24"/>
          <w:szCs w:val="24"/>
        </w:rPr>
        <w:lastRenderedPageBreak/>
        <w:t>(TALVEZ COMEÇAR DESSE – MAIS DESAGREGADO PRO MAIS DESAGREGADO</w:t>
      </w:r>
      <w:r w:rsidR="00366A56">
        <w:rPr>
          <w:rFonts w:ascii="Times New Roman" w:hAnsi="Times New Roman" w:cs="Times New Roman"/>
          <w:color w:val="FF0000"/>
          <w:sz w:val="24"/>
          <w:szCs w:val="24"/>
        </w:rPr>
        <w:t>?</w:t>
      </w:r>
      <w:r w:rsidR="00426433" w:rsidRPr="00426433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3CE38E1E" w14:textId="3B423242" w:rsidR="003C7CED" w:rsidRDefault="00240D72" w:rsidP="002A1F05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40D72">
        <w:rPr>
          <w:rFonts w:ascii="Times New Roman" w:hAnsi="Times New Roman" w:cs="Times New Roman"/>
          <w:color w:val="FF0000"/>
          <w:sz w:val="24"/>
          <w:szCs w:val="24"/>
        </w:rPr>
        <w:t xml:space="preserve">A figura abaixo, comparar o mapa dos </w:t>
      </w:r>
      <w:r w:rsidR="002A1F05">
        <w:rPr>
          <w:rFonts w:ascii="Times New Roman" w:hAnsi="Times New Roman" w:cs="Times New Roman"/>
          <w:color w:val="FF0000"/>
          <w:sz w:val="24"/>
          <w:szCs w:val="24"/>
        </w:rPr>
        <w:t>quatro tipos de recortes geográficos</w:t>
      </w:r>
    </w:p>
    <w:p w14:paraId="6EDF2383" w14:textId="58F8E786" w:rsidR="00EF603A" w:rsidRPr="00240D72" w:rsidRDefault="00EF603A" w:rsidP="00DD5E4D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noProof/>
        </w:rPr>
        <w:drawing>
          <wp:inline distT="0" distB="0" distL="0" distR="0" wp14:anchorId="772BAAB1" wp14:editId="6762FCBC">
            <wp:extent cx="5400040" cy="4949825"/>
            <wp:effectExtent l="0" t="0" r="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94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5C54E" w14:textId="77777777" w:rsidR="003C7CED" w:rsidRDefault="003C7CED" w:rsidP="003C7CE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2.2. </w:t>
      </w:r>
      <w:r>
        <w:rPr>
          <w:rFonts w:ascii="Times New Roman" w:hAnsi="Times New Roman" w:cs="Times New Roman"/>
          <w:b/>
          <w:bCs/>
          <w:sz w:val="24"/>
          <w:szCs w:val="24"/>
        </w:rPr>
        <w:t>Recortes demográficos</w:t>
      </w:r>
    </w:p>
    <w:p w14:paraId="2252DD1C" w14:textId="3311FBB1" w:rsidR="003C7CED" w:rsidRPr="00E23EEF" w:rsidRDefault="00AB6A91" w:rsidP="003C7CE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cada recorte geográfico, serão realizados quatro recortes demográficos</w:t>
      </w:r>
      <w:r w:rsidR="00E23EEF">
        <w:rPr>
          <w:rFonts w:ascii="Times New Roman" w:hAnsi="Times New Roman" w:cs="Times New Roman"/>
          <w:sz w:val="24"/>
          <w:szCs w:val="24"/>
        </w:rPr>
        <w:t xml:space="preserve"> para analisar as disparidades sociais dentro de cada estrato analisado</w:t>
      </w:r>
      <w:r>
        <w:rPr>
          <w:rFonts w:ascii="Times New Roman" w:hAnsi="Times New Roman" w:cs="Times New Roman"/>
          <w:sz w:val="24"/>
          <w:szCs w:val="24"/>
        </w:rPr>
        <w:t xml:space="preserve">. O primeiro será por sexo: masculino e feminino. O segundo, por raça: brancos, pretos e pardos. A terceira por faixa etária: jovens de 14 a 29 anos, adultos de 30 a 64 anos, e idosos de 65 anos ou mais. </w:t>
      </w:r>
      <w:r w:rsidR="00E23EEF">
        <w:rPr>
          <w:rFonts w:ascii="Times New Roman" w:hAnsi="Times New Roman" w:cs="Times New Roman"/>
          <w:sz w:val="24"/>
          <w:szCs w:val="24"/>
        </w:rPr>
        <w:t>E a quarta</w:t>
      </w:r>
      <w:r>
        <w:rPr>
          <w:rFonts w:ascii="Times New Roman" w:hAnsi="Times New Roman" w:cs="Times New Roman"/>
          <w:sz w:val="24"/>
          <w:szCs w:val="24"/>
        </w:rPr>
        <w:t xml:space="preserve">, por grau de instrução: </w:t>
      </w:r>
      <w:r w:rsidR="00E23EEF">
        <w:rPr>
          <w:rFonts w:ascii="Times New Roman" w:hAnsi="Times New Roman" w:cs="Times New Roman"/>
          <w:sz w:val="24"/>
          <w:szCs w:val="24"/>
        </w:rPr>
        <w:t>até fundamental completo, e acima de fundamental completo. O leitor deve observar que os dois últimos recortes são bem mais agregados do que o normalmente se analise pela PNADC. A justificativa dessa agregação está na próxima subseção.</w:t>
      </w:r>
    </w:p>
    <w:p w14:paraId="1E527954" w14:textId="463B0293" w:rsidR="003C7CED" w:rsidRPr="002B4079" w:rsidRDefault="003C7CED" w:rsidP="003C7CED">
      <w:pPr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A84140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71F76">
        <w:rPr>
          <w:rFonts w:ascii="Times New Roman" w:hAnsi="Times New Roman" w:cs="Times New Roman"/>
          <w:b/>
          <w:bCs/>
          <w:sz w:val="24"/>
          <w:szCs w:val="24"/>
        </w:rPr>
        <w:t xml:space="preserve">Robustez dos indicadores </w:t>
      </w:r>
      <w:r w:rsidR="00226ACD">
        <w:rPr>
          <w:rFonts w:ascii="Times New Roman" w:hAnsi="Times New Roman" w:cs="Times New Roman"/>
          <w:b/>
          <w:bCs/>
          <w:sz w:val="24"/>
          <w:szCs w:val="24"/>
        </w:rPr>
        <w:t>estimados</w:t>
      </w:r>
    </w:p>
    <w:p w14:paraId="57029DF8" w14:textId="4AEFD12C" w:rsidR="00A02809" w:rsidRDefault="00366A5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a PNADC é uma pesquisa amostral</w:t>
      </w:r>
      <w:r w:rsidR="00660783">
        <w:rPr>
          <w:rStyle w:val="Refdenotaderodap"/>
          <w:rFonts w:ascii="Times New Roman" w:hAnsi="Times New Roman" w:cs="Times New Roman"/>
          <w:sz w:val="24"/>
          <w:szCs w:val="24"/>
        </w:rPr>
        <w:footnoteReference w:id="4"/>
      </w:r>
      <w:r>
        <w:rPr>
          <w:rFonts w:ascii="Times New Roman" w:hAnsi="Times New Roman" w:cs="Times New Roman"/>
          <w:sz w:val="24"/>
          <w:szCs w:val="24"/>
        </w:rPr>
        <w:t xml:space="preserve">, recortes muito finos diminuem o número de </w:t>
      </w:r>
      <w:r w:rsidR="0063072A">
        <w:rPr>
          <w:rFonts w:ascii="Times New Roman" w:hAnsi="Times New Roman" w:cs="Times New Roman"/>
          <w:sz w:val="24"/>
          <w:szCs w:val="24"/>
        </w:rPr>
        <w:t>pessoas</w:t>
      </w:r>
      <w:r>
        <w:rPr>
          <w:rFonts w:ascii="Times New Roman" w:hAnsi="Times New Roman" w:cs="Times New Roman"/>
          <w:sz w:val="24"/>
          <w:szCs w:val="24"/>
        </w:rPr>
        <w:t xml:space="preserve"> para estimar os indicadores, diminuindo a confiabilidade dos seus valores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estimados. </w:t>
      </w:r>
      <w:r w:rsidR="00A02809">
        <w:rPr>
          <w:rFonts w:ascii="Times New Roman" w:hAnsi="Times New Roman" w:cs="Times New Roman"/>
          <w:sz w:val="24"/>
          <w:szCs w:val="24"/>
        </w:rPr>
        <w:t>Por isso não utilizamos apenas os estratos mais finos disponíveis nas pesquisas, agregando para estratos maiores para aumentar a confiabilidade dos resultados. De qualquer forma, espera-se que os resultados sejam menos confiáveis do que os estimados para o estado como um todo.</w:t>
      </w:r>
    </w:p>
    <w:p w14:paraId="4F98571D" w14:textId="21F94442" w:rsidR="003C7CED" w:rsidRDefault="0063072A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Subdividindo-se as subamostras de cada um dos recortes geográficos por recorte demográficos diminui ainda mais o número de pessoas para a estimação, e logo diminuirá ainda mais a confiabilidade as estimativas.</w:t>
      </w:r>
      <w:r w:rsidR="00A02809">
        <w:rPr>
          <w:rFonts w:ascii="Times New Roman" w:hAnsi="Times New Roman" w:cs="Times New Roman"/>
          <w:sz w:val="24"/>
          <w:szCs w:val="24"/>
        </w:rPr>
        <w:t xml:space="preserve"> Embora tenhamos agregado algumas variáveis demográficas – em especial idade e grau de instrução – ainda </w:t>
      </w:r>
      <w:r w:rsidR="002B4079">
        <w:rPr>
          <w:rFonts w:ascii="Times New Roman" w:hAnsi="Times New Roman" w:cs="Times New Roman"/>
          <w:sz w:val="24"/>
          <w:szCs w:val="24"/>
        </w:rPr>
        <w:t>se espera</w:t>
      </w:r>
      <w:r w:rsidR="00A02809">
        <w:rPr>
          <w:rFonts w:ascii="Times New Roman" w:hAnsi="Times New Roman" w:cs="Times New Roman"/>
          <w:sz w:val="24"/>
          <w:szCs w:val="24"/>
        </w:rPr>
        <w:t xml:space="preserve"> que diversos resultados sejam descartados por pouca confiabilidade</w:t>
      </w:r>
    </w:p>
    <w:p w14:paraId="3BB087E3" w14:textId="7AEFB7A4" w:rsidR="003C7CED" w:rsidRDefault="00A0280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Dessa forma, as estimativas sem recortes demográficos serão as mais confiáveis e ser</w:t>
      </w:r>
      <w:r w:rsidR="002B4079">
        <w:rPr>
          <w:rFonts w:ascii="Times New Roman" w:hAnsi="Times New Roman" w:cs="Times New Roman"/>
          <w:sz w:val="24"/>
          <w:szCs w:val="24"/>
        </w:rPr>
        <w:t>ão</w:t>
      </w:r>
      <w:r>
        <w:rPr>
          <w:rFonts w:ascii="Times New Roman" w:hAnsi="Times New Roman" w:cs="Times New Roman"/>
          <w:sz w:val="24"/>
          <w:szCs w:val="24"/>
        </w:rPr>
        <w:t xml:space="preserve"> o foco das comparações. Eventualmente no decorrer do texto, faremos referência </w:t>
      </w:r>
      <w:r w:rsidR="002B4079">
        <w:rPr>
          <w:rFonts w:ascii="Times New Roman" w:hAnsi="Times New Roman" w:cs="Times New Roman"/>
          <w:sz w:val="24"/>
          <w:szCs w:val="24"/>
        </w:rPr>
        <w:t>as variáveis demográficas se elas foram confiáveis em todos as regiões do recorte em comparação.</w:t>
      </w:r>
    </w:p>
    <w:p w14:paraId="75690CF9" w14:textId="77777777" w:rsidR="008D67A9" w:rsidRDefault="008D67A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verificar a precisão das estimativas, computa-se seu coeficiente de variação (CV). O CV é uma media de dispersão que mede a homogeneidade dos dados em relação a média. Ele é definido como a razão percentual entre o desvio padrão </w:t>
      </w:r>
      <w:proofErr w:type="gramStart"/>
      <w:r>
        <w:rPr>
          <w:rFonts w:ascii="Times New Roman" w:hAnsi="Times New Roman" w:cs="Times New Roman"/>
          <w:sz w:val="24"/>
          <w:szCs w:val="24"/>
        </w:rPr>
        <w:t>s  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 média amostral x:</w:t>
      </w:r>
    </w:p>
    <w:p w14:paraId="6B03FB4D" w14:textId="77777777" w:rsidR="008D67A9" w:rsidRDefault="008D67A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CV = s/x * 100</w:t>
      </w:r>
    </w:p>
    <w:p w14:paraId="59650ABC" w14:textId="3E208113" w:rsidR="008D67A9" w:rsidRDefault="008D67A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Um CV elevado indica que o conjunto de dados é muito heterogêneo, o que indica que a amostra não tem tamanho o suficiente para fazer a estimação com um grau de precisão aceitável. </w:t>
      </w:r>
      <w:r w:rsidR="00660A81">
        <w:rPr>
          <w:rFonts w:ascii="Times New Roman" w:hAnsi="Times New Roman" w:cs="Times New Roman"/>
          <w:sz w:val="24"/>
          <w:szCs w:val="24"/>
        </w:rPr>
        <w:t>Aqui, utilizamos os seguintes limiares de CV para definir a qualidade da precisão</w:t>
      </w:r>
      <w:r w:rsidR="00653C4F">
        <w:rPr>
          <w:rFonts w:ascii="Times New Roman" w:hAnsi="Times New Roman" w:cs="Times New Roman"/>
          <w:sz w:val="24"/>
          <w:szCs w:val="24"/>
        </w:rPr>
        <w:t xml:space="preserve"> </w:t>
      </w:r>
      <w:r w:rsidR="00660A81">
        <w:rPr>
          <w:rFonts w:ascii="Times New Roman" w:hAnsi="Times New Roman" w:cs="Times New Roman"/>
          <w:sz w:val="24"/>
          <w:szCs w:val="24"/>
        </w:rPr>
        <w:t>de um indicador:</w:t>
      </w:r>
    </w:p>
    <w:p w14:paraId="47B53253" w14:textId="3ECBA859" w:rsidR="00660A81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Abaixo de 5</w:t>
      </w:r>
      <w:proofErr w:type="gramStart"/>
      <w:r>
        <w:rPr>
          <w:rFonts w:ascii="Times New Roman" w:hAnsi="Times New Roman" w:cs="Times New Roman"/>
          <w:sz w:val="24"/>
          <w:szCs w:val="24"/>
        </w:rPr>
        <w:t>%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Excelente;</w:t>
      </w:r>
    </w:p>
    <w:p w14:paraId="26062810" w14:textId="725EACEB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5% e menor que 15</w:t>
      </w:r>
      <w:proofErr w:type="gramStart"/>
      <w:r>
        <w:rPr>
          <w:rFonts w:ascii="Times New Roman" w:hAnsi="Times New Roman" w:cs="Times New Roman"/>
          <w:sz w:val="24"/>
          <w:szCs w:val="24"/>
        </w:rPr>
        <w:t>%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Boa</w:t>
      </w:r>
    </w:p>
    <w:p w14:paraId="351CBA8B" w14:textId="5A70283E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15% e menor que 30%: Regular</w:t>
      </w:r>
    </w:p>
    <w:p w14:paraId="6C161F3F" w14:textId="1BC4B97A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30%: Baixo</w:t>
      </w:r>
    </w:p>
    <w:p w14:paraId="650C46D3" w14:textId="30BE9688" w:rsidR="00842C12" w:rsidRDefault="00842C12" w:rsidP="00842C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Iremos avaliar de forma mais concreta os estimadores com CV abaixo de 15%, pois são bem mais confiáveis. </w:t>
      </w:r>
      <w:r w:rsidR="005409B3">
        <w:rPr>
          <w:rFonts w:ascii="Times New Roman" w:hAnsi="Times New Roman" w:cs="Times New Roman"/>
          <w:sz w:val="24"/>
          <w:szCs w:val="24"/>
        </w:rPr>
        <w:t xml:space="preserve">Os resultados completos, para todos os níveis de recorte e seus respectivos </w:t>
      </w:r>
      <w:proofErr w:type="spellStart"/>
      <w:r w:rsidR="005409B3">
        <w:rPr>
          <w:rFonts w:ascii="Times New Roman" w:hAnsi="Times New Roman" w:cs="Times New Roman"/>
          <w:sz w:val="24"/>
          <w:szCs w:val="24"/>
        </w:rPr>
        <w:t>CVs</w:t>
      </w:r>
      <w:proofErr w:type="spellEnd"/>
      <w:r w:rsidR="005409B3">
        <w:rPr>
          <w:rFonts w:ascii="Times New Roman" w:hAnsi="Times New Roman" w:cs="Times New Roman"/>
          <w:sz w:val="24"/>
          <w:szCs w:val="24"/>
        </w:rPr>
        <w:t xml:space="preserve"> serão listados no anexo, ressalvando </w:t>
      </w:r>
      <w:r w:rsidR="002A1F05">
        <w:rPr>
          <w:rFonts w:ascii="Times New Roman" w:hAnsi="Times New Roman" w:cs="Times New Roman"/>
          <w:sz w:val="24"/>
          <w:szCs w:val="24"/>
        </w:rPr>
        <w:t>q</w:t>
      </w:r>
      <w:r w:rsidR="005409B3">
        <w:rPr>
          <w:rFonts w:ascii="Times New Roman" w:hAnsi="Times New Roman" w:cs="Times New Roman"/>
          <w:sz w:val="24"/>
          <w:szCs w:val="24"/>
        </w:rPr>
        <w:t>u</w:t>
      </w:r>
      <w:r w:rsidR="002A1F05">
        <w:rPr>
          <w:rFonts w:ascii="Times New Roman" w:hAnsi="Times New Roman" w:cs="Times New Roman"/>
          <w:sz w:val="24"/>
          <w:szCs w:val="24"/>
        </w:rPr>
        <w:t>e</w:t>
      </w:r>
      <w:r w:rsidR="005409B3">
        <w:rPr>
          <w:rFonts w:ascii="Times New Roman" w:hAnsi="Times New Roman" w:cs="Times New Roman"/>
          <w:sz w:val="24"/>
          <w:szCs w:val="24"/>
        </w:rPr>
        <w:t xml:space="preserve"> indicadores com CV classificado como regularemos devem ser utilizados com muita cautela, e com acima de 30</w:t>
      </w:r>
      <w:r w:rsidR="002A1F05">
        <w:rPr>
          <w:rFonts w:ascii="Times New Roman" w:hAnsi="Times New Roman" w:cs="Times New Roman"/>
          <w:sz w:val="24"/>
          <w:szCs w:val="24"/>
        </w:rPr>
        <w:t>%</w:t>
      </w:r>
      <w:r w:rsidR="005409B3">
        <w:rPr>
          <w:rFonts w:ascii="Times New Roman" w:hAnsi="Times New Roman" w:cs="Times New Roman"/>
          <w:sz w:val="24"/>
          <w:szCs w:val="24"/>
        </w:rPr>
        <w:t xml:space="preserve"> devem ser desconsiderados.</w:t>
      </w:r>
    </w:p>
    <w:p w14:paraId="1AA19BE0" w14:textId="77777777" w:rsidR="002A1F05" w:rsidRDefault="002A1F05" w:rsidP="00842C1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6856A9" w14:textId="44E5AA41" w:rsidR="005409B3" w:rsidRDefault="005409B3" w:rsidP="00842C1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409B3">
        <w:rPr>
          <w:rFonts w:ascii="Times New Roman" w:hAnsi="Times New Roman" w:cs="Times New Roman"/>
          <w:b/>
          <w:bCs/>
          <w:sz w:val="24"/>
          <w:szCs w:val="24"/>
        </w:rPr>
        <w:t>2.4 Comparações entre os recortes</w:t>
      </w:r>
    </w:p>
    <w:p w14:paraId="39C15D33" w14:textId="6DA31C17" w:rsidR="002A1F05" w:rsidRPr="002A1F05" w:rsidRDefault="002A1F05" w:rsidP="00842C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Definido os indicadores robustos, comparamos seus resultados utilizando o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teste-t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compração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médias 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proporçõese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ANOVAS</w:t>
      </w:r>
    </w:p>
    <w:p w14:paraId="305BF500" w14:textId="03A082E6" w:rsidR="003C7CED" w:rsidRPr="002301EF" w:rsidRDefault="003C7CED" w:rsidP="003C7CE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Análise dos resultados</w:t>
      </w:r>
    </w:p>
    <w:sectPr w:rsidR="003C7CED" w:rsidRPr="002301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7B8F41" w14:textId="77777777" w:rsidR="00372BC2" w:rsidRDefault="00372BC2" w:rsidP="00A067C1">
      <w:pPr>
        <w:spacing w:after="0" w:line="240" w:lineRule="auto"/>
      </w:pPr>
      <w:r>
        <w:separator/>
      </w:r>
    </w:p>
  </w:endnote>
  <w:endnote w:type="continuationSeparator" w:id="0">
    <w:p w14:paraId="0CF117AF" w14:textId="77777777" w:rsidR="00372BC2" w:rsidRDefault="00372BC2" w:rsidP="00A06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A1C98" w14:textId="77777777" w:rsidR="00372BC2" w:rsidRDefault="00372BC2" w:rsidP="00A067C1">
      <w:pPr>
        <w:spacing w:after="0" w:line="240" w:lineRule="auto"/>
      </w:pPr>
      <w:r>
        <w:separator/>
      </w:r>
    </w:p>
  </w:footnote>
  <w:footnote w:type="continuationSeparator" w:id="0">
    <w:p w14:paraId="3DDDF30D" w14:textId="77777777" w:rsidR="00372BC2" w:rsidRDefault="00372BC2" w:rsidP="00A067C1">
      <w:pPr>
        <w:spacing w:after="0" w:line="240" w:lineRule="auto"/>
      </w:pPr>
      <w:r>
        <w:continuationSeparator/>
      </w:r>
    </w:p>
  </w:footnote>
  <w:footnote w:id="1">
    <w:p w14:paraId="12E9B633" w14:textId="5A47FFD2" w:rsidR="00545CE8" w:rsidRPr="007927E0" w:rsidRDefault="00545CE8" w:rsidP="00CD12D2">
      <w:pPr>
        <w:pStyle w:val="Textodenotaderodap"/>
        <w:jc w:val="both"/>
        <w:rPr>
          <w:rFonts w:ascii="Times New Roman" w:hAnsi="Times New Roman" w:cs="Times New Roman"/>
        </w:rPr>
      </w:pPr>
      <w:r w:rsidRPr="00CD12D2">
        <w:rPr>
          <w:rStyle w:val="Refdenotaderodap"/>
          <w:rFonts w:ascii="Times New Roman" w:hAnsi="Times New Roman" w:cs="Times New Roman"/>
        </w:rPr>
        <w:footnoteRef/>
      </w:r>
      <w:r w:rsidRPr="00CD12D2">
        <w:rPr>
          <w:rFonts w:ascii="Times New Roman" w:hAnsi="Times New Roman" w:cs="Times New Roman"/>
        </w:rPr>
        <w:t xml:space="preserve"> </w:t>
      </w:r>
      <w:r w:rsidR="00300993" w:rsidRPr="00CD12D2">
        <w:rPr>
          <w:rFonts w:ascii="Times New Roman" w:hAnsi="Times New Roman" w:cs="Times New Roman"/>
        </w:rPr>
        <w:t xml:space="preserve">Saboia (2014) </w:t>
      </w:r>
      <w:r w:rsidRPr="00CD12D2">
        <w:rPr>
          <w:rFonts w:ascii="Times New Roman" w:hAnsi="Times New Roman" w:cs="Times New Roman"/>
        </w:rPr>
        <w:t>avaliou a evolução do mercado de trabalho brasileiro no período de 2010 a 2013 utilizando os dados da Pesquisa Mensal de Emprego (PME) do IBGE. Essa pesquisa foi extinta em 2016 sendo substituída completamente pela PNADC. Assim,</w:t>
      </w:r>
      <w:r w:rsidR="00300993" w:rsidRPr="00CD12D2">
        <w:rPr>
          <w:rFonts w:ascii="Times New Roman" w:hAnsi="Times New Roman" w:cs="Times New Roman"/>
        </w:rPr>
        <w:t xml:space="preserve"> foi necessário adaptar os seguintes indicadores</w:t>
      </w:r>
      <w:r w:rsidR="00CD12D2" w:rsidRPr="00CD12D2">
        <w:rPr>
          <w:rFonts w:ascii="Times New Roman" w:hAnsi="Times New Roman" w:cs="Times New Roman"/>
        </w:rPr>
        <w:t xml:space="preserve"> em, relação aos litados pelo autor</w:t>
      </w:r>
      <w:r w:rsidRPr="00CD12D2">
        <w:rPr>
          <w:rFonts w:ascii="Times New Roman" w:hAnsi="Times New Roman" w:cs="Times New Roman"/>
        </w:rPr>
        <w:t xml:space="preserve">: </w:t>
      </w:r>
      <w:r w:rsidR="00543B29" w:rsidRPr="00CD12D2">
        <w:rPr>
          <w:rFonts w:ascii="Times New Roman" w:hAnsi="Times New Roman" w:cs="Times New Roman"/>
        </w:rPr>
        <w:t xml:space="preserve">todos os que </w:t>
      </w:r>
      <w:r w:rsidR="00CD12D2" w:rsidRPr="00CD12D2">
        <w:rPr>
          <w:rFonts w:ascii="Times New Roman" w:hAnsi="Times New Roman" w:cs="Times New Roman"/>
        </w:rPr>
        <w:t>tinha nome de</w:t>
      </w:r>
      <w:r w:rsidR="00543B29" w:rsidRPr="00CD12D2">
        <w:rPr>
          <w:rFonts w:ascii="Times New Roman" w:hAnsi="Times New Roman" w:cs="Times New Roman"/>
        </w:rPr>
        <w:t xml:space="preserve"> “desemprego” foram substituídos por “desocupação”</w:t>
      </w:r>
      <w:r w:rsidR="00300993" w:rsidRPr="00CD12D2">
        <w:rPr>
          <w:rFonts w:ascii="Times New Roman" w:hAnsi="Times New Roman" w:cs="Times New Roman"/>
        </w:rPr>
        <w:t>,</w:t>
      </w:r>
      <w:r w:rsidR="00543B29" w:rsidRPr="00CD12D2">
        <w:rPr>
          <w:rFonts w:ascii="Times New Roman" w:hAnsi="Times New Roman" w:cs="Times New Roman"/>
        </w:rPr>
        <w:t xml:space="preserve"> e </w:t>
      </w:r>
      <w:r w:rsidR="00300993" w:rsidRPr="00CD12D2">
        <w:rPr>
          <w:rFonts w:ascii="Times New Roman" w:hAnsi="Times New Roman" w:cs="Times New Roman"/>
        </w:rPr>
        <w:t xml:space="preserve">todos </w:t>
      </w:r>
      <w:r w:rsidR="00543B29" w:rsidRPr="00CD12D2">
        <w:rPr>
          <w:rFonts w:ascii="Times New Roman" w:hAnsi="Times New Roman" w:cs="Times New Roman"/>
        </w:rPr>
        <w:t xml:space="preserve">com “trabalhadores” por “ocupados”; </w:t>
      </w:r>
      <w:r w:rsidRPr="00CD12D2">
        <w:rPr>
          <w:rFonts w:ascii="Times New Roman" w:hAnsi="Times New Roman" w:cs="Times New Roman"/>
        </w:rPr>
        <w:t xml:space="preserve">Rendimento médio real </w:t>
      </w:r>
      <w:r w:rsidR="007927E0" w:rsidRPr="00CD12D2">
        <w:rPr>
          <w:rFonts w:ascii="Times New Roman" w:hAnsi="Times New Roman" w:cs="Times New Roman"/>
        </w:rPr>
        <w:t xml:space="preserve">é especificada como </w:t>
      </w:r>
      <w:r w:rsidRPr="00CD12D2">
        <w:rPr>
          <w:rFonts w:ascii="Times New Roman" w:hAnsi="Times New Roman" w:cs="Times New Roman"/>
        </w:rPr>
        <w:t>rendimento médio real habitualmente recebido em todos os trabalhos (</w:t>
      </w:r>
      <w:r w:rsidR="00F10E82" w:rsidRPr="00CD12D2">
        <w:rPr>
          <w:rFonts w:ascii="Times New Roman" w:hAnsi="Times New Roman" w:cs="Times New Roman"/>
        </w:rPr>
        <w:t>Saboia (2014) não especifica qual ele utiliza</w:t>
      </w:r>
      <w:r w:rsidRPr="00CD12D2">
        <w:rPr>
          <w:rFonts w:ascii="Times New Roman" w:hAnsi="Times New Roman" w:cs="Times New Roman"/>
        </w:rPr>
        <w:t>);</w:t>
      </w:r>
      <w:r w:rsidR="007927E0" w:rsidRPr="00CD12D2">
        <w:rPr>
          <w:rFonts w:ascii="Times New Roman" w:hAnsi="Times New Roman" w:cs="Times New Roman"/>
        </w:rPr>
        <w:t xml:space="preserve"> </w:t>
      </w:r>
      <w:r w:rsidR="00CD12D2" w:rsidRPr="00CD12D2">
        <w:rPr>
          <w:rFonts w:ascii="Times New Roman" w:hAnsi="Times New Roman" w:cs="Times New Roman"/>
        </w:rPr>
        <w:t>E a</w:t>
      </w:r>
      <w:r w:rsidR="007927E0" w:rsidRPr="00CD12D2">
        <w:rPr>
          <w:rFonts w:ascii="Times New Roman" w:hAnsi="Times New Roman" w:cs="Times New Roman"/>
        </w:rPr>
        <w:t xml:space="preserve"> informalidade </w:t>
      </w:r>
      <w:r w:rsidR="00994051" w:rsidRPr="00CD12D2">
        <w:rPr>
          <w:rFonts w:ascii="Times New Roman" w:hAnsi="Times New Roman" w:cs="Times New Roman"/>
        </w:rPr>
        <w:t xml:space="preserve">é </w:t>
      </w:r>
      <w:r w:rsidR="00CD12D2" w:rsidRPr="00CD12D2">
        <w:rPr>
          <w:rFonts w:ascii="Times New Roman" w:hAnsi="Times New Roman" w:cs="Times New Roman"/>
        </w:rPr>
        <w:t>bem mais abrangente</w:t>
      </w:r>
      <w:r w:rsidR="00300993" w:rsidRPr="00CD12D2">
        <w:rPr>
          <w:rFonts w:ascii="Times New Roman" w:hAnsi="Times New Roman" w:cs="Times New Roman"/>
        </w:rPr>
        <w:t xml:space="preserve"> (PME </w:t>
      </w:r>
      <w:r w:rsidR="00994051" w:rsidRPr="00CD12D2">
        <w:rPr>
          <w:rFonts w:ascii="Times New Roman" w:hAnsi="Times New Roman" w:cs="Times New Roman"/>
        </w:rPr>
        <w:t>tinha apenas empregados sem carteira como variável mais próxima de informais</w:t>
      </w:r>
      <w:r w:rsidR="00300993" w:rsidRPr="00CD12D2">
        <w:rPr>
          <w:rFonts w:ascii="Times New Roman" w:hAnsi="Times New Roman" w:cs="Times New Roman"/>
        </w:rPr>
        <w:t>)</w:t>
      </w:r>
      <w:r w:rsidR="007927E0" w:rsidRPr="00CD12D2">
        <w:rPr>
          <w:rFonts w:ascii="Times New Roman" w:hAnsi="Times New Roman" w:cs="Times New Roman"/>
        </w:rPr>
        <w:t>; e o indicador de desocupação de longo prazo foi removido</w:t>
      </w:r>
      <w:r w:rsidR="000604F2" w:rsidRPr="00CD12D2">
        <w:rPr>
          <w:rFonts w:ascii="Times New Roman" w:hAnsi="Times New Roman" w:cs="Times New Roman"/>
        </w:rPr>
        <w:t>,</w:t>
      </w:r>
      <w:r w:rsidR="007927E0" w:rsidRPr="00CD12D2">
        <w:rPr>
          <w:rFonts w:ascii="Times New Roman" w:hAnsi="Times New Roman" w:cs="Times New Roman"/>
        </w:rPr>
        <w:t xml:space="preserve"> pois não está presente na PNADC trimestral, só na anual</w:t>
      </w:r>
    </w:p>
  </w:footnote>
  <w:footnote w:id="2">
    <w:p w14:paraId="41FDF2B2" w14:textId="0BCDE896" w:rsidR="004277D5" w:rsidRPr="004277D5" w:rsidRDefault="004277D5" w:rsidP="004277D5">
      <w:pPr>
        <w:pStyle w:val="Textodenotaderodap"/>
        <w:jc w:val="both"/>
        <w:rPr>
          <w:rFonts w:ascii="Times New Roman" w:hAnsi="Times New Roman" w:cs="Times New Roman"/>
        </w:rPr>
      </w:pPr>
      <w:r w:rsidRPr="004277D5">
        <w:rPr>
          <w:rStyle w:val="Refdenotaderodap"/>
          <w:rFonts w:ascii="Times New Roman" w:hAnsi="Times New Roman" w:cs="Times New Roman"/>
        </w:rPr>
        <w:footnoteRef/>
      </w:r>
      <w:r w:rsidRPr="004277D5">
        <w:rPr>
          <w:rFonts w:ascii="Times New Roman" w:hAnsi="Times New Roman" w:cs="Times New Roman"/>
        </w:rPr>
        <w:t xml:space="preserve"> Ao contrativo da renda efetiva,</w:t>
      </w:r>
      <w:r w:rsidR="003F4B99">
        <w:rPr>
          <w:rFonts w:ascii="Times New Roman" w:hAnsi="Times New Roman" w:cs="Times New Roman"/>
        </w:rPr>
        <w:t xml:space="preserve"> rendimentos habituais</w:t>
      </w:r>
      <w:r w:rsidRPr="004277D5">
        <w:rPr>
          <w:rFonts w:ascii="Times New Roman" w:hAnsi="Times New Roman" w:cs="Times New Roman"/>
        </w:rPr>
        <w:t xml:space="preserve"> exclu</w:t>
      </w:r>
      <w:r w:rsidR="003F4B99">
        <w:rPr>
          <w:rFonts w:ascii="Times New Roman" w:hAnsi="Times New Roman" w:cs="Times New Roman"/>
        </w:rPr>
        <w:t>em rendas</w:t>
      </w:r>
      <w:r w:rsidRPr="004277D5">
        <w:rPr>
          <w:rFonts w:ascii="Times New Roman" w:hAnsi="Times New Roman" w:cs="Times New Roman"/>
        </w:rPr>
        <w:t xml:space="preserve"> extras como horas extras, bicos, 13º salário ou bônus eventuais. Também ignora faltas ou perdas do mês.</w:t>
      </w:r>
    </w:p>
  </w:footnote>
  <w:footnote w:id="3">
    <w:p w14:paraId="504F43D1" w14:textId="12D163C5" w:rsidR="003867A7" w:rsidRDefault="003867A7" w:rsidP="004277D5">
      <w:pPr>
        <w:pStyle w:val="Textodenotaderodap"/>
        <w:jc w:val="both"/>
      </w:pPr>
      <w:r w:rsidRPr="004277D5">
        <w:rPr>
          <w:rStyle w:val="Refdenotaderodap"/>
          <w:rFonts w:ascii="Times New Roman" w:hAnsi="Times New Roman" w:cs="Times New Roman"/>
        </w:rPr>
        <w:footnoteRef/>
      </w:r>
      <w:r w:rsidRPr="004277D5">
        <w:rPr>
          <w:rFonts w:ascii="Times New Roman" w:hAnsi="Times New Roman" w:cs="Times New Roman"/>
        </w:rPr>
        <w:t xml:space="preserve"> Ocupados informais incluem os trabalhadores no setor privado sem carteira assinada, </w:t>
      </w:r>
      <w:r w:rsidR="004277D5" w:rsidRPr="004277D5">
        <w:rPr>
          <w:rFonts w:ascii="Times New Roman" w:hAnsi="Times New Roman" w:cs="Times New Roman"/>
        </w:rPr>
        <w:t>trabalhadores domésticos</w:t>
      </w:r>
      <w:r w:rsidRPr="004277D5">
        <w:rPr>
          <w:rFonts w:ascii="Times New Roman" w:hAnsi="Times New Roman" w:cs="Times New Roman"/>
        </w:rPr>
        <w:t xml:space="preserve"> sem carteira de trabalho assinada, </w:t>
      </w:r>
      <w:r w:rsidR="004277D5" w:rsidRPr="004277D5">
        <w:rPr>
          <w:rFonts w:ascii="Times New Roman" w:hAnsi="Times New Roman" w:cs="Times New Roman"/>
        </w:rPr>
        <w:t>trabalhadores familiares</w:t>
      </w:r>
      <w:r w:rsidRPr="004277D5">
        <w:rPr>
          <w:rFonts w:ascii="Times New Roman" w:hAnsi="Times New Roman" w:cs="Times New Roman"/>
        </w:rPr>
        <w:t xml:space="preserve"> </w:t>
      </w:r>
      <w:r w:rsidR="004277D5" w:rsidRPr="004277D5">
        <w:rPr>
          <w:rFonts w:ascii="Times New Roman" w:hAnsi="Times New Roman" w:cs="Times New Roman"/>
        </w:rPr>
        <w:t>auxiliar</w:t>
      </w:r>
      <w:r w:rsidRPr="004277D5">
        <w:rPr>
          <w:rFonts w:ascii="Times New Roman" w:hAnsi="Times New Roman" w:cs="Times New Roman"/>
        </w:rPr>
        <w:t xml:space="preserve">, empregadores sem CNPJ e </w:t>
      </w:r>
      <w:r w:rsidR="004277D5" w:rsidRPr="004277D5">
        <w:rPr>
          <w:rFonts w:ascii="Times New Roman" w:hAnsi="Times New Roman" w:cs="Times New Roman"/>
        </w:rPr>
        <w:t>trabalhadores</w:t>
      </w:r>
      <w:r w:rsidRPr="004277D5">
        <w:rPr>
          <w:rFonts w:ascii="Times New Roman" w:hAnsi="Times New Roman" w:cs="Times New Roman"/>
        </w:rPr>
        <w:t xml:space="preserve"> conta-própria sem CNPJ.</w:t>
      </w:r>
    </w:p>
  </w:footnote>
  <w:footnote w:id="4">
    <w:p w14:paraId="6D385049" w14:textId="7766D65E" w:rsidR="00660783" w:rsidRDefault="00660783">
      <w:pPr>
        <w:pStyle w:val="Textodenotaderodap"/>
      </w:pPr>
      <w:r w:rsidRPr="00660783">
        <w:rPr>
          <w:rStyle w:val="Refdenotaderodap"/>
          <w:color w:val="FF0000"/>
        </w:rPr>
        <w:footnoteRef/>
      </w:r>
      <w:r w:rsidRPr="00660783">
        <w:rPr>
          <w:color w:val="FF0000"/>
        </w:rPr>
        <w:t xml:space="preserve"> Nota de rodapé sobre os problemas amostral já existente na amostra metra da PNADC?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B6FBB"/>
    <w:multiLevelType w:val="hybridMultilevel"/>
    <w:tmpl w:val="6CEAAE9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2F39F2"/>
    <w:multiLevelType w:val="hybridMultilevel"/>
    <w:tmpl w:val="90FED8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D73"/>
    <w:rsid w:val="00015C9B"/>
    <w:rsid w:val="00016356"/>
    <w:rsid w:val="00040D73"/>
    <w:rsid w:val="000455DC"/>
    <w:rsid w:val="000604F2"/>
    <w:rsid w:val="000646AB"/>
    <w:rsid w:val="00093BD6"/>
    <w:rsid w:val="000E0391"/>
    <w:rsid w:val="0010332C"/>
    <w:rsid w:val="00126FB5"/>
    <w:rsid w:val="00136085"/>
    <w:rsid w:val="0014080B"/>
    <w:rsid w:val="00162D1B"/>
    <w:rsid w:val="0017687B"/>
    <w:rsid w:val="001A229E"/>
    <w:rsid w:val="001E6255"/>
    <w:rsid w:val="001E73C5"/>
    <w:rsid w:val="001F1F7E"/>
    <w:rsid w:val="00226ACD"/>
    <w:rsid w:val="002301EF"/>
    <w:rsid w:val="00240D72"/>
    <w:rsid w:val="002538B5"/>
    <w:rsid w:val="002A1F05"/>
    <w:rsid w:val="002B4079"/>
    <w:rsid w:val="00300993"/>
    <w:rsid w:val="00327814"/>
    <w:rsid w:val="00366A56"/>
    <w:rsid w:val="00372BC2"/>
    <w:rsid w:val="003867A7"/>
    <w:rsid w:val="003A2D09"/>
    <w:rsid w:val="003B2ED5"/>
    <w:rsid w:val="003C6533"/>
    <w:rsid w:val="003C7CED"/>
    <w:rsid w:val="003F4B99"/>
    <w:rsid w:val="00414C5A"/>
    <w:rsid w:val="00426433"/>
    <w:rsid w:val="004277D5"/>
    <w:rsid w:val="00432905"/>
    <w:rsid w:val="0045458C"/>
    <w:rsid w:val="00494D2F"/>
    <w:rsid w:val="004A7283"/>
    <w:rsid w:val="004C5FBC"/>
    <w:rsid w:val="004D79FB"/>
    <w:rsid w:val="004F3DA1"/>
    <w:rsid w:val="005409B3"/>
    <w:rsid w:val="00543B29"/>
    <w:rsid w:val="00545CE8"/>
    <w:rsid w:val="00593142"/>
    <w:rsid w:val="005C3669"/>
    <w:rsid w:val="005C646E"/>
    <w:rsid w:val="005C6F85"/>
    <w:rsid w:val="005E6D6D"/>
    <w:rsid w:val="00601B02"/>
    <w:rsid w:val="00614BC7"/>
    <w:rsid w:val="0063072A"/>
    <w:rsid w:val="0063427D"/>
    <w:rsid w:val="00647A90"/>
    <w:rsid w:val="00653C4F"/>
    <w:rsid w:val="00660783"/>
    <w:rsid w:val="00660A81"/>
    <w:rsid w:val="0068122B"/>
    <w:rsid w:val="006A6087"/>
    <w:rsid w:val="006F675E"/>
    <w:rsid w:val="00724260"/>
    <w:rsid w:val="00763AFF"/>
    <w:rsid w:val="007927E0"/>
    <w:rsid w:val="007F1F0D"/>
    <w:rsid w:val="00824F64"/>
    <w:rsid w:val="008365DA"/>
    <w:rsid w:val="00842C12"/>
    <w:rsid w:val="00863336"/>
    <w:rsid w:val="008B6A45"/>
    <w:rsid w:val="008C5104"/>
    <w:rsid w:val="008D67A9"/>
    <w:rsid w:val="008F5E33"/>
    <w:rsid w:val="00931B6F"/>
    <w:rsid w:val="00940C95"/>
    <w:rsid w:val="00952F30"/>
    <w:rsid w:val="00980843"/>
    <w:rsid w:val="00994051"/>
    <w:rsid w:val="009C4105"/>
    <w:rsid w:val="009E2781"/>
    <w:rsid w:val="00A02809"/>
    <w:rsid w:val="00A067C1"/>
    <w:rsid w:val="00A12C16"/>
    <w:rsid w:val="00A134C1"/>
    <w:rsid w:val="00A30B41"/>
    <w:rsid w:val="00A37D8B"/>
    <w:rsid w:val="00A504C7"/>
    <w:rsid w:val="00A84140"/>
    <w:rsid w:val="00A934D2"/>
    <w:rsid w:val="00AB6A91"/>
    <w:rsid w:val="00B02BED"/>
    <w:rsid w:val="00B14C2F"/>
    <w:rsid w:val="00BB3B3B"/>
    <w:rsid w:val="00BD01FD"/>
    <w:rsid w:val="00BF4D92"/>
    <w:rsid w:val="00C26054"/>
    <w:rsid w:val="00CA3E4C"/>
    <w:rsid w:val="00CA7E8A"/>
    <w:rsid w:val="00CB79A3"/>
    <w:rsid w:val="00CC685F"/>
    <w:rsid w:val="00CD12D2"/>
    <w:rsid w:val="00D918FC"/>
    <w:rsid w:val="00DB241B"/>
    <w:rsid w:val="00DD5E4D"/>
    <w:rsid w:val="00E23EEF"/>
    <w:rsid w:val="00E71F76"/>
    <w:rsid w:val="00EA590C"/>
    <w:rsid w:val="00EB40A6"/>
    <w:rsid w:val="00ED2E84"/>
    <w:rsid w:val="00ED4744"/>
    <w:rsid w:val="00EF5A36"/>
    <w:rsid w:val="00EF603A"/>
    <w:rsid w:val="00F10E82"/>
    <w:rsid w:val="00F9281C"/>
    <w:rsid w:val="00FC1F72"/>
    <w:rsid w:val="00FC4BD9"/>
    <w:rsid w:val="00FE323C"/>
    <w:rsid w:val="00FF17CE"/>
    <w:rsid w:val="00FF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F0AA1"/>
  <w15:chartTrackingRefBased/>
  <w15:docId w15:val="{90B1E005-75F6-4CB7-82A8-DF4BCE20F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545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C4105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A067C1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067C1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A067C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CA3328-D22B-47C0-B094-B78DA5454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6</Pages>
  <Words>2053</Words>
  <Characters>11090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Girola Macedo Barbosa</dc:creator>
  <cp:keywords/>
  <dc:description/>
  <cp:lastModifiedBy>Matheus Girola Macedo Barbosa</cp:lastModifiedBy>
  <cp:revision>33</cp:revision>
  <dcterms:created xsi:type="dcterms:W3CDTF">2026-08-20T12:10:00Z</dcterms:created>
  <dcterms:modified xsi:type="dcterms:W3CDTF">2026-08-24T15:29:00Z</dcterms:modified>
</cp:coreProperties>
</file>