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9.png" ContentType="image/png"/>
  <Override PartName="/word/media/rId28.png" ContentType="image/png"/>
  <Override PartName="/word/media/rId24.png" ContentType="image/png"/>
  <Override PartName="/word/media/rId3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 AUTOMÁTICA DO RELATÓRIO — REVER OS TEXTOS E REDIGIR AS ANÁLISES</w:t>
      </w:r>
    </w:p>
    <w:bookmarkStart w:id="18" w:name="destaques-do-trimestre"/>
    <w:p>
      <w:pPr>
        <w:pStyle w:val="Ttulo2"/>
      </w:pPr>
      <w:r>
        <w:t xml:space="preserve">1 Destaques do trimestre</w:t>
      </w:r>
    </w:p>
    <w:p>
      <w:pPr>
        <w:pStyle w:val="FirstParagraph"/>
      </w:pPr>
      <w:r>
        <w:t xml:space="preserve">No 2º trimestre de 2026, a taxa de desocupação do Piauí foi de</w:t>
      </w:r>
      <w:r>
        <w:t xml:space="preserve"> </w:t>
      </w:r>
      <w:r>
        <w:t xml:space="preserve">8,3%, ante 7,6% no</w:t>
      </w:r>
      <w:r>
        <w:t xml:space="preserve"> </w:t>
      </w:r>
      <w:r>
        <w:t xml:space="preserve">Nordeste e 5,4% no Brasil. A taxa de participação</w:t>
      </w:r>
      <w:r>
        <w:t xml:space="preserve"> </w:t>
      </w:r>
      <w:r>
        <w:t xml:space="preserve">na força de trabalho ficou em 52,9%</w:t>
      </w:r>
      <w:r>
        <w:t xml:space="preserve"> </w:t>
      </w:r>
      <w:r>
        <w:t xml:space="preserve">(62,1% no Brasil) e a taxa composta de</w:t>
      </w:r>
      <w:r>
        <w:t xml:space="preserve"> </w:t>
      </w:r>
      <w:r>
        <w:t xml:space="preserve">subutilização, em 26,6%. O rendimento</w:t>
      </w:r>
      <w:r>
        <w:t xml:space="preserve"> </w:t>
      </w:r>
      <w:r>
        <w:t xml:space="preserve">médio real habitual do trabalho no estado, de</w:t>
      </w:r>
      <w:r>
        <w:t xml:space="preserve"> </w:t>
      </w:r>
      <w:r>
        <w:t xml:space="preserve">R$ 2.547, equivale a</w:t>
      </w:r>
      <w:r>
        <w:t xml:space="preserve"> </w:t>
      </w:r>
      <w:r>
        <w:t xml:space="preserve">68,1% do nacional.</w:t>
      </w:r>
    </w:p>
    <w:p>
      <w:pPr>
        <w:pStyle w:val="Corpodetexto"/>
      </w:pPr>
      <w:r>
        <w:rPr>
          <w:b/>
          <w:bCs/>
        </w:rPr>
        <w:t xml:space="preserve">Tabela 1</w:t>
      </w:r>
      <w:r>
        <w:t xml:space="preserve"> </w:t>
      </w:r>
      <w:r>
        <w:t xml:space="preserve">— Indicadores de destaque: Brasil, Nordeste e Piauí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52,9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da ocupação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50,1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48,5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desocupação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8,3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composta de subutilização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26,6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49,5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real habitual (R$)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R$ 3.738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R$ 2.645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R$ 2.547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Índice de Gini do rendimento do trabalho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0,484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0,499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0,507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Jovens de 14 a 29 anos que não estudam nem trabalham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24,3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  <w:r>
        <w:t xml:space="preserve"> </w:t>
      </w:r>
      <w:r>
        <w:t xml:space="preserve">Nota: † = precisão regular na série; – = não sustenta leitura. Ver seção 3.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dois ou três parágrafos com a leitura dos destaques do trimestre — Piauí frente a Brasil e Nordeste.</w:t>
      </w:r>
    </w:p>
    <w:bookmarkEnd w:id="18"/>
    <w:bookmarkStart w:id="22" w:name="panorama-da-série"/>
    <w:p>
      <w:pPr>
        <w:pStyle w:val="Ttulo2"/>
      </w:pPr>
      <w:r>
        <w:t xml:space="preserve">2 Panorama da série</w:t>
      </w:r>
    </w:p>
    <w:p>
      <w:pPr>
        <w:pStyle w:val="FirstParagraph"/>
      </w:pPr>
      <w:r>
        <w:t xml:space="preserve">A Tabela 1 retrata o trimestre corrente; esta seção mostra a trajetória desde</w:t>
      </w:r>
      <w:r>
        <w:t xml:space="preserve"> </w:t>
      </w:r>
      <w:r>
        <w:t xml:space="preserve">2016T2 dos seis indicadores aprovados na triagem de confiabilidade (Anexo B) —</w:t>
      </w:r>
      <w:r>
        <w:t xml:space="preserve"> </w:t>
      </w:r>
      <w:r>
        <w:t xml:space="preserve">taxa de desocupação, nível da ocupação, taxa de participação, taxa de</w:t>
      </w:r>
      <w:r>
        <w:t xml:space="preserve"> </w:t>
      </w:r>
      <w:r>
        <w:t xml:space="preserve">informalidade, subocupação por insuficiência de horas e rendimento médio real</w:t>
      </w:r>
      <w:r>
        <w:t xml:space="preserve"> </w:t>
      </w:r>
      <w:r>
        <w:t xml:space="preserve">habitual, para o Piauí, com Brasil e Nordeste como referência. A banda sombreada em cada gráfico é o intervalo</w:t>
      </w:r>
      <w:r>
        <w:t xml:space="preserve"> </w:t>
      </w:r>
      <w:r>
        <w:t xml:space="preserve">de confiança de 95%; a faixa rosa marca a coleta por telefone durante a</w:t>
      </w:r>
      <w:r>
        <w:t xml:space="preserve"> </w:t>
      </w:r>
      <w:r>
        <w:t xml:space="preserve">pandemia (2020T2–2021T4) e a faixa laranja, a transição em curso do desenho</w:t>
      </w:r>
      <w:r>
        <w:t xml:space="preserve"> </w:t>
      </w:r>
      <w:r>
        <w:t xml:space="preserve">amostral do Censo 2010 para o Censo 2022 (2025T3 em diante) — dois períodos em</w:t>
      </w:r>
      <w:r>
        <w:t xml:space="preserve"> </w:t>
      </w:r>
      <w:r>
        <w:t xml:space="preserve">que a leitura da série pede mais cautela.</w:t>
      </w:r>
    </w:p>
    <w:p>
      <w:pPr>
        <w:pStyle w:val="Corpodetexto"/>
      </w:pPr>
      <w:r>
        <w:rPr>
          <w:b/>
          <w:bCs/>
        </w:rPr>
        <w:t xml:space="preserve">Figura 1</w:t>
      </w:r>
      <w:r>
        <w:t xml:space="preserve"> </w:t>
      </w:r>
      <w:r>
        <w:t xml:space="preserve">— Panorama da série: indicadores-farol do Piauí, do Nordeste e do Brasil, 2016T2–2º trimestre de 2026</w:t>
      </w:r>
    </w:p>
    <w:p>
      <w:pPr>
        <w:pStyle w:val="CaptionedFigure"/>
      </w:pPr>
      <w:r>
        <w:drawing>
          <wp:inline>
            <wp:extent cx="5753100" cy="3451859"/>
            <wp:effectExtent b="0" l="0" r="0" t="0"/>
            <wp:docPr descr="Panorama da série — Piauí, Nordeste e Brasil" title="" id="20" name="Picture"/>
            <a:graphic>
              <a:graphicData uri="http://schemas.openxmlformats.org/drawingml/2006/picture">
                <pic:pic>
                  <pic:nvPicPr>
                    <pic:cNvPr descr="figuras/panorama_piaui_2026T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Panorama da série — Piauí, Nordeste e Brasil</w:t>
      </w:r>
    </w:p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 Figura 1 — um ou dois parágrafos sobre a trajetória geral (recuperação pós-pandemia, patamar atual frente ao início da série).</w:t>
      </w:r>
    </w:p>
    <w:bookmarkEnd w:id="22"/>
    <w:bookmarkStart w:id="23" w:name="como-ler-as-tabelas"/>
    <w:p>
      <w:pPr>
        <w:pStyle w:val="Ttulo2"/>
      </w:pPr>
      <w:r>
        <w:t xml:space="preserve">3 Como ler as tabelas</w:t>
      </w:r>
    </w:p>
    <w:p>
      <w:pPr>
        <w:pStyle w:val="FirstParagraph"/>
      </w:pPr>
      <w:r>
        <w:t xml:space="preserve">Todas as estimativas vêm de uma amostra, e por isso cada número tem uma</w:t>
      </w:r>
      <w:r>
        <w:t xml:space="preserve"> </w:t>
      </w:r>
      <w:r>
        <w:t xml:space="preserve">margem de erro. Três marcas orientam a leitura: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 sem marca</w:t>
      </w:r>
      <w:r>
        <w:t xml:space="preserve">: o indicador, naquele território, teve coeficiente de</w:t>
      </w:r>
      <w:r>
        <w:t xml:space="preserve"> </w:t>
      </w:r>
      <w:r>
        <w:t xml:space="preserve">variação abaixo de 15% em pelo menos 80% dos trimestres desde 2022. É um</w:t>
      </w:r>
      <w:r>
        <w:t xml:space="preserve"> </w:t>
      </w:r>
      <w:r>
        <w:t xml:space="preserve">número confiável para acompanhamento trimestral.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 com †</w:t>
      </w:r>
      <w:r>
        <w:t xml:space="preserve">: precisão regular (coeficiente de variação entre 15% e 30%</w:t>
      </w:r>
      <w:r>
        <w:t xml:space="preserve"> </w:t>
      </w:r>
      <w:r>
        <w:t xml:space="preserve">na maior parte da série). Serve como indicação, não como base para decisão.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–</w:t>
      </w:r>
      <w:r>
        <w:t xml:space="preserve">: a amostra não sustenta a estimativa naquele território.</w:t>
      </w:r>
    </w:p>
    <w:p>
      <w:pPr>
        <w:pStyle w:val="FirstParagraph"/>
      </w:pPr>
      <w:r>
        <w:t xml:space="preserve">Brasil e Nordeste aparecem como referência. Para eles, a marca segue o</w:t>
      </w:r>
      <w:r>
        <w:t xml:space="preserve"> </w:t>
      </w:r>
      <w:r>
        <w:t xml:space="preserve">coeficiente de variação do próprio trimestre, com os mesmos cortes.</w:t>
      </w:r>
    </w:p>
    <w:p>
      <w:pPr>
        <w:pStyle w:val="Corpodetexto"/>
      </w:pPr>
      <w:r>
        <w:t xml:space="preserve">Os</w:t>
      </w:r>
      <w:r>
        <w:t xml:space="preserve"> </w:t>
      </w:r>
      <w:r>
        <w:rPr>
          <w:b/>
          <w:bCs/>
        </w:rPr>
        <w:t xml:space="preserve">asteriscos</w:t>
      </w:r>
      <w:r>
        <w:t xml:space="preserve"> </w:t>
      </w:r>
      <w:r>
        <w:t xml:space="preserve">dizem se as diferenças são estatisticamente significativas,</w:t>
      </w:r>
      <w:r>
        <w:t xml:space="preserve"> </w:t>
      </w:r>
      <w:r>
        <w:t xml:space="preserve">isto é, se não se explicam por acaso amostral: *** p &lt; 0,001; ** p &lt; 0,01;</w:t>
      </w:r>
      <w:r>
        <w:t xml:space="preserve"> </w:t>
      </w:r>
      <w:r>
        <w:t xml:space="preserve">* p &lt; 0,05; ns = não significativo. Nas matrizes territoriais, a coluna</w:t>
      </w:r>
      <w:r>
        <w:t xml:space="preserve"> </w:t>
      </w:r>
      <w:r>
        <w:t xml:space="preserve">“Teste estratos”</w:t>
      </w:r>
      <w:r>
        <w:t xml:space="preserve"> </w:t>
      </w:r>
      <w:r>
        <w:t xml:space="preserve">diz se os cinco estratos diferem entre si e</w:t>
      </w:r>
      <w:r>
        <w:t xml:space="preserve"> </w:t>
      </w:r>
      <w:r>
        <w:t xml:space="preserve">“Teste zona”</w:t>
      </w:r>
      <w:r>
        <w:t xml:space="preserve">, se</w:t>
      </w:r>
      <w:r>
        <w:t xml:space="preserve"> </w:t>
      </w:r>
      <w:r>
        <w:t xml:space="preserve">urbano e rural diferem. Os testes não apontam</w:t>
      </w:r>
      <w:r>
        <w:t xml:space="preserve"> </w:t>
      </w:r>
      <w:r>
        <w:rPr>
          <w:i/>
          <w:iCs/>
        </w:rPr>
        <w:t xml:space="preserve">qual</w:t>
      </w:r>
      <w:r>
        <w:t xml:space="preserve"> </w:t>
      </w:r>
      <w:r>
        <w:t xml:space="preserve">território difere — para isso, compare os valores. Detalhes na nota</w:t>
      </w:r>
      <w:r>
        <w:t xml:space="preserve"> </w:t>
      </w:r>
      <w:r>
        <w:t xml:space="preserve">metodológica (Anexo A).</w:t>
      </w:r>
    </w:p>
    <w:bookmarkEnd w:id="23"/>
    <w:bookmarkStart w:id="27" w:name="ocupação-e-desocupação"/>
    <w:p>
      <w:pPr>
        <w:pStyle w:val="Ttulo2"/>
      </w:pPr>
      <w:r>
        <w:t xml:space="preserve">4 Ocupação e desocupação</w:t>
      </w:r>
    </w:p>
    <w:p>
      <w:pPr>
        <w:pStyle w:val="FirstParagraph"/>
      </w:pPr>
      <w:r>
        <w:rPr>
          <w:b/>
          <w:bCs/>
        </w:rPr>
        <w:t xml:space="preserve">Figura 2</w:t>
      </w:r>
      <w:r>
        <w:t xml:space="preserve"> </w:t>
      </w:r>
      <w:r>
        <w:t xml:space="preserve">— Nível da ocupação por território, 2016T2–2º trimestre de 2026</w:t>
      </w:r>
    </w:p>
    <w:p>
      <w:pPr>
        <w:pStyle w:val="CaptionedFigure"/>
      </w:pPr>
      <w:r>
        <w:drawing>
          <wp:inline>
            <wp:extent cx="5753100" cy="8054340"/>
            <wp:effectExtent b="0" l="0" r="0" t="0"/>
            <wp:docPr descr="Nível da ocupação por território" title="" id="25" name="Picture"/>
            <a:graphic>
              <a:graphicData uri="http://schemas.openxmlformats.org/drawingml/2006/picture">
                <pic:pic>
                  <pic:nvPicPr>
                    <pic:cNvPr descr="figuras/territorial_ocupacao_2026T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05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Nível da ocupação por território</w:t>
      </w:r>
    </w:p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2</w:t>
      </w:r>
      <w:r>
        <w:t xml:space="preserve"> </w:t>
      </w:r>
      <w:r>
        <w:t xml:space="preserve">— Ocupação e desocupação, por território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52,9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da ocupação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50,1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48,5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desocupação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8,3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16,4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composta de subutilização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26,6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pelo domicílio entre os desocupados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37,9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37,9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27,7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38,4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47,0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28,5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51,1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ns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ou cônjuges entre os desocupados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55,6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41,4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54,4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66,4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65,8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ns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ns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em idade de trabalhar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175.400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46.431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2.743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1.907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na força de trabalho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108.919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25.161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1.451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1.111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fora da força de trabalho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66.481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21.270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1.293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ocupadas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103.057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23.249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1.330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1.028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desocupadas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5.861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1.912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121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subutilizadas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14.659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5.864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429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 Tabela 2 — um parágrafo curto, apoiado nos pontos de atenção (seção 9).</w:t>
      </w:r>
    </w:p>
    <w:bookmarkEnd w:id="27"/>
    <w:bookmarkStart w:id="31" w:name="qualidade-da-ocupação"/>
    <w:p>
      <w:pPr>
        <w:pStyle w:val="Ttulo2"/>
      </w:pPr>
      <w:r>
        <w:t xml:space="preserve">5 Qualidade da ocupação</w:t>
      </w:r>
    </w:p>
    <w:p>
      <w:pPr>
        <w:pStyle w:val="FirstParagraph"/>
      </w:pPr>
      <w:r>
        <w:rPr>
          <w:b/>
          <w:bCs/>
        </w:rPr>
        <w:t xml:space="preserve">Figura 3</w:t>
      </w:r>
      <w:r>
        <w:t xml:space="preserve"> </w:t>
      </w:r>
      <w:r>
        <w:t xml:space="preserve">— Taxa de informalidade por território, 2016T2–2º trimestre de 2026</w:t>
      </w:r>
    </w:p>
    <w:p>
      <w:pPr>
        <w:pStyle w:val="CaptionedFigure"/>
      </w:pPr>
      <w:r>
        <w:drawing>
          <wp:inline>
            <wp:extent cx="5753100" cy="8054340"/>
            <wp:effectExtent b="0" l="0" r="0" t="0"/>
            <wp:docPr descr="Taxa de informalidade por território" title="" id="29" name="Picture"/>
            <a:graphic>
              <a:graphicData uri="http://schemas.openxmlformats.org/drawingml/2006/picture">
                <pic:pic>
                  <pic:nvPicPr>
                    <pic:cNvPr descr="figuras/territorial_informalidade_2026T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05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Taxa de informalidade por território</w:t>
      </w:r>
    </w:p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3</w:t>
      </w:r>
      <w:r>
        <w:t xml:space="preserve"> </w:t>
      </w:r>
      <w:r>
        <w:t xml:space="preserve">— Qualidade da ocupação, por território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49,5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56,9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Subocupação por insuficiência de horas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11,2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6,4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15,3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Sub-remuneração (rendimento-hora abaixo do mínimo)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38,2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Ocupados com ensino médio completo ou mais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69,4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67,0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Empregados no setor privado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52.987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10.571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541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71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Empregados no setor público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13.018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3.829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273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Ocupados na agropecuária (mil pessoas)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7.918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2.512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143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 Tabela 3 — um parágrafo curto.</w:t>
      </w:r>
    </w:p>
    <w:bookmarkEnd w:id="31"/>
    <w:bookmarkStart w:id="35" w:name="rendimento-e-desigualdade"/>
    <w:p>
      <w:pPr>
        <w:pStyle w:val="Ttulo2"/>
      </w:pPr>
      <w:r>
        <w:t xml:space="preserve">6 Rendimento e desigualdade</w:t>
      </w:r>
    </w:p>
    <w:p>
      <w:pPr>
        <w:pStyle w:val="FirstParagraph"/>
      </w:pPr>
      <w:r>
        <w:rPr>
          <w:b/>
          <w:bCs/>
        </w:rPr>
        <w:t xml:space="preserve">Figura 4</w:t>
      </w:r>
      <w:r>
        <w:t xml:space="preserve"> </w:t>
      </w:r>
      <w:r>
        <w:t xml:space="preserve">— Rendimento médio real habitual por território, 2016T2–2º trimestre de 2026</w:t>
      </w:r>
    </w:p>
    <w:p>
      <w:pPr>
        <w:pStyle w:val="CaptionedFigure"/>
      </w:pPr>
      <w:r>
        <w:drawing>
          <wp:inline>
            <wp:extent cx="5753100" cy="8054340"/>
            <wp:effectExtent b="0" l="0" r="0" t="0"/>
            <wp:docPr descr="Rendimento médio real habitual por território" title="" id="33" name="Picture"/>
            <a:graphic>
              <a:graphicData uri="http://schemas.openxmlformats.org/drawingml/2006/picture">
                <pic:pic>
                  <pic:nvPicPr>
                    <pic:cNvPr descr="figuras/territorial_rendimento_estratos_2026T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05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Rendimento médio real habitual por território</w:t>
      </w:r>
    </w:p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4</w:t>
      </w:r>
      <w:r>
        <w:t xml:space="preserve"> </w:t>
      </w:r>
      <w:r>
        <w:t xml:space="preserve">— Rendimento e desigualdade, por território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real habitual (R$)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R$ 3.738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R$ 2.645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R$ 2.547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R$ 3.690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R$ 1.900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R$ 1.991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R$ 1.678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R$ 2.463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R$ 2.902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R$ 1.310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dos formais (R$)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R$ 4.513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R$ 3.650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R$ 3.675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R$ 4.548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R$ 2.675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R$ 3.050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R$ 2.781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R$ 3.509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R$ 3.917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R$ 2.226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dos informais (R$)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R$ 2.399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R$ 1.549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R$ 1.353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R$ 2.142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R$ 1.276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R$ 1.142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R$ 932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R$ 1.277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R$ 1.573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R$ 855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Razão entre rendimento formal e informal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2,72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2,98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Índice de Gini do rendimento do trabalho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0,484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0,499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0,507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0,395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0,514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0,470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0,477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0,461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  <w:r>
        <w:t xml:space="preserve"> </w:t>
      </w:r>
      <w:r>
        <w:t xml:space="preserve">Nota: rendimento médio real habitual de todos os trabalhos, deflacionado pelo</w:t>
      </w:r>
      <w:r>
        <w:t xml:space="preserve"> </w:t>
      </w:r>
      <w:r>
        <w:t xml:space="preserve">IBGE. O índice de Gini vai de 0 (igualdade total) a 1 (desigualdade máxima).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 Tabela 4 — um parágrafo curto.</w:t>
      </w:r>
    </w:p>
    <w:bookmarkEnd w:id="35"/>
    <w:bookmarkStart w:id="36" w:name="vulnerabilidade"/>
    <w:p>
      <w:pPr>
        <w:pStyle w:val="Ttulo2"/>
      </w:pPr>
      <w:r>
        <w:t xml:space="preserve">7 Vulnerabilidade</w:t>
      </w:r>
    </w:p>
    <w:p>
      <w:pPr>
        <w:pStyle w:val="FirstParagraph"/>
      </w:pPr>
      <w:r>
        <w:rPr>
          <w:b/>
          <w:bCs/>
        </w:rPr>
        <w:t xml:space="preserve">Tabela 5</w:t>
      </w:r>
      <w:r>
        <w:t xml:space="preserve"> </w:t>
      </w:r>
      <w:r>
        <w:t xml:space="preserve">— Desalento e jovens que não estudam nem trabalham, por território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ampliada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7,0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7,8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potencial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62,8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68,4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58,4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69,5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Jovens de 14 a 29 anos que não estudam nem trabalham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24,3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31,5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***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t xml:space="preserve">Os motivos declarados só têm amostra suficiente no nível do estado, e por isso</w:t>
      </w:r>
      <w:r>
        <w:t xml:space="preserve"> </w:t>
      </w:r>
      <w:r>
        <w:t xml:space="preserve">aparecem agrupados e sem recorte territorial.</w:t>
      </w:r>
    </w:p>
    <w:p>
      <w:pPr>
        <w:pStyle w:val="Corpodetexto"/>
      </w:pPr>
      <w:r>
        <w:rPr>
          <w:b/>
          <w:bCs/>
        </w:rPr>
        <w:t xml:space="preserve">Tabela 6</w:t>
      </w:r>
      <w:r>
        <w:t xml:space="preserve"> </w:t>
      </w:r>
      <w:r>
        <w:t xml:space="preserve">— Motivos declarados por desalentados e jovens nem-nem (distribuição, %)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Brasil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Nordeste (%)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 (%)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Por que o desalentado desistiu de procurar: Não havia trabalho na localidade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73,1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Por que o desalentado desistiu de procurar: Outros motivos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26,9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Por que o jovem nem-nem não procurou trabalho: Afazeres domésticos ou cuidado de parentes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43,2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Por que o jovem nem-nem não procurou trabalho: Problema de saúde ou gravidez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18,5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Por que o jovem nem-nem não procurou trabalho: Outros motivos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38,3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leitura das Tabelas 5 e 6 — um parágrafo curto.</w:t>
      </w:r>
    </w:p>
    <w:bookmarkEnd w:id="36"/>
    <w:bookmarkStart w:id="37" w:name="X5988134fcbb50ed7644628f6d04b3c4b8e764ca"/>
    <w:p>
      <w:pPr>
        <w:pStyle w:val="Ttulo2"/>
      </w:pPr>
      <w:r>
        <w:t xml:space="preserve">8 Perfil da população em idade de trabalhar</w:t>
      </w:r>
    </w:p>
    <w:p>
      <w:pPr>
        <w:pStyle w:val="FirstParagraph"/>
      </w:pPr>
      <w:r>
        <w:rPr>
          <w:b/>
          <w:bCs/>
        </w:rPr>
        <w:t xml:space="preserve">Tabela 7</w:t>
      </w:r>
      <w:r>
        <w:t xml:space="preserve"> </w:t>
      </w:r>
      <w:r>
        <w:t xml:space="preserve">— Composição da população de 14 anos ou mais, por território (%)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Alto Parnaíba e Chapadas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estratos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Teste zona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Sexo: Masculino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47,8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Sexo: Feminino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52,2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Cor ou raça: Branca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24,6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19,4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Cor ou raça: Preta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14,1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13,7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17,6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Cor ou raça: Parda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66,7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64,1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61,2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70,3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65,3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Faixa etária: 14 a 17 anos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7,1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Faixa etária: 18 a 24 anos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13,0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Faixa etária: 25 a 39 anos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27,4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26,6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Faixa etária: 40 a 59 anos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32,8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33,4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Faixa etária: 60 anos ou mais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19,8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20,0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instrução: Sem instrução e menos de 1 ano de estudo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8,1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instrução: Fundamental incompleto ou equivalente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30,9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instrução: Fundamental completo ou equivalente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7,6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instrução: Médio incompleto ou equivalente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8,4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instrução: Médio completo ou equivalente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31,2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26,3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instrução: Superior incompleto ou equivalente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5,0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instrução: Superior completo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right"/>
            </w:pPr>
            <w:r>
              <w:rPr>
                <w:b/>
                <w:bCs/>
              </w:rPr>
              <w:t xml:space="preserve">13,6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 †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 †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17,6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bookmarkEnd w:id="37"/>
    <w:bookmarkStart w:id="38" w:name="pontos-de-atenção"/>
    <w:p>
      <w:pPr>
        <w:pStyle w:val="Ttulo2"/>
      </w:pPr>
      <w:r>
        <w:t xml:space="preserve">9 Pontos de atenção</w:t>
      </w:r>
    </w:p>
    <w:p>
      <w:pPr>
        <w:pStyle w:val="FirstParagraph"/>
      </w:pPr>
      <w:r>
        <w:t xml:space="preserve">Esta seção reúne apenas os resultados estatisticamente significativos e com</w:t>
      </w:r>
      <w:r>
        <w:t xml:space="preserve"> </w:t>
      </w:r>
      <w:r>
        <w:t xml:space="preserve">precisão suficiente.</w:t>
      </w:r>
    </w:p>
    <w:p>
      <w:pPr>
        <w:pStyle w:val="Corpodetexto"/>
      </w:pPr>
      <w:r>
        <w:rPr>
          <w:b/>
          <w:bCs/>
        </w:rPr>
        <w:t xml:space="preserve">Diferenças entre territórios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Taxa de participação na força de trabalho (%)</w:t>
      </w:r>
      <w:r>
        <w:t xml:space="preserve">: entre os estratos, maior em Teresina (62,3) e menor em Centro-Leste (47,8) ***; urbana 58,3 × rural 40,6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Nível da ocupação (%)</w:t>
      </w:r>
      <w:r>
        <w:t xml:space="preserve">: entre os estratos, maior em Teresina (57,9) e menor em Centro-Leste (43,9) ***; urbana 53,9 × rural 36,2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Taxa de desocupação (%)</w:t>
      </w:r>
      <w:r>
        <w:t xml:space="preserve">: entre os estratos, maior em Entorno metropolitano (16,4 †) e menor em Baixo Parnaíba (6,7 †) **; urbana 7,5 × rural 10,9 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Taxa composta de subutilização (%)</w:t>
      </w:r>
      <w:r>
        <w:t xml:space="preserve">: entre os estratos, maior em Centro-Leste (40,0) e menor em Teresina (9,4) ***; urbana 20,6 × rural 43,3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Responsáveis pelo domicílio entre os desocupados (%)</w:t>
      </w:r>
      <w:r>
        <w:t xml:space="preserve">: entre os estratos, maior em Alto Parnaíba e Chapadas (51,1 †) e menor em Teresina (27,7 †) 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Taxa de informalidade (%)</w:t>
      </w:r>
      <w:r>
        <w:t xml:space="preserve">: entre os estratos, maior em Baixo Parnaíba (60,8) e menor em Teresina (35,7) ***; urbana 44,0 × rural 68,1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Subocupação por insuficiência de horas (%)</w:t>
      </w:r>
      <w:r>
        <w:t xml:space="preserve">: entre os estratos, maior em Centro-Leste (21,3) e menor em Entorno metropolitano (6,4 †) ***; urbana 8,7 × rural 19,4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Sub-remuneração (rendimento-hora abaixo do mínimo) (%)</w:t>
      </w:r>
      <w:r>
        <w:t xml:space="preserve">: entre os estratos, maior em Baixo Parnaíba (53,0) e menor em Teresina (25,7) ***; urbana 32,9 × rural 56,5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Ocupados com ensino médio completo ou mais (%)</w:t>
      </w:r>
      <w:r>
        <w:t xml:space="preserve">: entre os estratos, maior em Teresina (84,1) e menor em Baixo Parnaíba (54,2) ***; urbana 74,6 × rural 41,2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Rendimento médio real habitual (R$)</w:t>
      </w:r>
      <w:r>
        <w:t xml:space="preserve">: entre os estratos, maior em Teresina (R$ 3.690 †) e menor em Baixo Parnaíba (R$ 1.678 †) ***; urbana R$ 2.902 × rural R$ 1.310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Rendimento médio dos formais (R$)</w:t>
      </w:r>
      <w:r>
        <w:t xml:space="preserve">: entre os estratos, maior em Teresina (R$ 4.548 †) e menor em Entorno metropolitano (R$ 2.675) ***; urbana R$ 3.917 × rural R$ 2.226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Rendimento médio dos informais (R$)</w:t>
      </w:r>
      <w:r>
        <w:t xml:space="preserve">: entre os estratos, maior em Teresina (R$ 2.142 †) e menor em Baixo Parnaíba (R$ 932) ***; urbana R$ 1.573 × rural R$ 855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Desalentados na força de trabalho ampliada (%)</w:t>
      </w:r>
      <w:r>
        <w:t xml:space="preserve">: entre os estratos, maior em Centro-Leste (13,5) e menor em Teresina (0,7 †) ***; urbana 3,7 × rural 16,6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Desalentados na força de trabalho potencial (%)</w:t>
      </w:r>
      <w:r>
        <w:t xml:space="preserve">: entre os estratos, maior em Alto Parnaíba e Chapadas (76,4) e menor em Baixo Parnaíba (55,1) ***; urbana 60,8 × rural 74,2 ***.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Jovens de 14 a 29 anos que não estudam nem trabalham (%)</w:t>
      </w:r>
      <w:r>
        <w:t xml:space="preserve">: entre os estratos, maior em Entorno metropolitano (31,5) e menor em Teresina (17,7) **; urbana 20,6 × rural 33,4 ***.</w:t>
      </w:r>
    </w:p>
    <w:p>
      <w:pPr>
        <w:pStyle w:val="FirstParagraph"/>
      </w:pPr>
      <w:r>
        <w:t xml:space="preserve">O rendimento é onde a diferença territorial mais se sustenta ao longo do</w:t>
      </w:r>
      <w:r>
        <w:t xml:space="preserve"> </w:t>
      </w:r>
      <w:r>
        <w:t xml:space="preserve">tempo, não só no trimestre corrente — ver a série completa por território na</w:t>
      </w:r>
      <w:r>
        <w:t xml:space="preserve"> </w:t>
      </w:r>
      <w:r>
        <w:t xml:space="preserve">Figura 4 (seção 6).</w:t>
      </w:r>
    </w:p>
    <w:p>
      <w:pPr>
        <w:pStyle w:val="Corpodetexto"/>
      </w:pPr>
      <w:r>
        <w:rPr>
          <w:b/>
          <w:bCs/>
        </w:rPr>
        <w:t xml:space="preserve">Diferenças por sexo, cor ou raça, idade e instrução</w:t>
      </w:r>
    </w:p>
    <w:p>
      <w:pPr>
        <w:pStyle w:val="Corpodetexto"/>
      </w:pPr>
      <w:r>
        <w:t xml:space="preserve">Um recorte demográfico só aparece aqui se, naquele território, a diferença</w:t>
      </w:r>
      <w:r>
        <w:t xml:space="preserve"> </w:t>
      </w:r>
      <w:r>
        <w:t xml:space="preserve">entre os grupos for significativa e todos os grupos tiverem precisão boa na série.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Territórios onde a diferença é significativa e confiável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TabelaTexto"/>
            </w:pPr>
            <w:r>
              <w:t xml:space="preserve">Faixa etária</w:t>
            </w:r>
          </w:p>
        </w:tc>
        <w:tc>
          <w:tcPr/>
          <w:p>
            <w:pPr>
              <w:pStyle w:val="TabelaTexto"/>
            </w:pPr>
            <w:r>
              <w:t xml:space="preserve">Zona urbana, Teresina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TabelaTexto"/>
            </w:pPr>
            <w:r>
              <w:t xml:space="preserve">Instrução (7 níveis)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da ocupação</w:t>
            </w:r>
          </w:p>
        </w:tc>
        <w:tc>
          <w:tcPr/>
          <w:p>
            <w:pPr>
              <w:pStyle w:val="TabelaTexto"/>
            </w:pPr>
            <w:r>
              <w:t xml:space="preserve">Faixa etária</w:t>
            </w:r>
          </w:p>
        </w:tc>
        <w:tc>
          <w:tcPr/>
          <w:p>
            <w:pPr>
              <w:pStyle w:val="TabelaTexto"/>
            </w:pPr>
            <w:r>
              <w:t xml:space="preserve">Zona urbana, Teresina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da ocupação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da ocupação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composta de subutilização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urbana, Centro-Leste,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composta de subutilização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</w:t>
            </w:r>
          </w:p>
        </w:tc>
        <w:tc>
          <w:tcPr/>
          <w:p>
            <w:pPr>
              <w:pStyle w:val="TabelaTexto"/>
            </w:pPr>
            <w:r>
              <w:t xml:space="preserve">Faixa etária</w:t>
            </w:r>
          </w:p>
        </w:tc>
        <w:tc>
          <w:tcPr/>
          <w:p>
            <w:pPr>
              <w:pStyle w:val="TabelaTexto"/>
            </w:pPr>
            <w:r>
              <w:t xml:space="preserve">Zona urbana, Baixo Parnaíba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</w:t>
            </w:r>
          </w:p>
        </w:tc>
        <w:tc>
          <w:tcPr/>
          <w:p>
            <w:pPr>
              <w:pStyle w:val="TabelaTexto"/>
            </w:pPr>
            <w:r>
              <w:t xml:space="preserve">Instrução (7 níveis)</w:t>
            </w:r>
          </w:p>
        </w:tc>
        <w:tc>
          <w:tcPr/>
          <w:p>
            <w:pPr>
              <w:pStyle w:val="TabelaTexto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Baixo Parnaíba,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Subocupação por insuficiência de horas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Teresina, Centro-Leste, Baixo Parnaíba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TabelaTexto"/>
            </w:pPr>
            <w:r>
              <w:t xml:space="preserve">Faixa etária</w:t>
            </w:r>
          </w:p>
        </w:tc>
        <w:tc>
          <w:tcPr/>
          <w:p>
            <w:pPr>
              <w:pStyle w:val="TabelaTexto"/>
            </w:pPr>
            <w:r>
              <w:t xml:space="preserve">Zona urbana, Teresina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Teresina, Entorno metropolitano, Centro-Leste, Baixo Parnaíba,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real habitual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urbana, Zona rural, Entorno metropolitano, Centro-Leste, Alto Parnaíba e Chapadas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real habitual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rural, Centro-Leste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TabelaTexto"/>
            </w:pPr>
            <w:r>
              <w:t xml:space="preserve">Instrução (2 grupos)</w:t>
            </w:r>
          </w:p>
        </w:tc>
        <w:tc>
          <w:tcPr/>
          <w:p>
            <w:pPr>
              <w:pStyle w:val="TabelaTexto"/>
            </w:pPr>
            <w:r>
              <w:t xml:space="preserve">Zona rural, Baixo Parnaíba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rural, Baixo Parnaíba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Jovens de 14 a 29 anos que não estudam nem trabalham</w:t>
            </w:r>
          </w:p>
        </w:tc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</w:pPr>
            <w:r>
              <w:t xml:space="preserve">Zona urbana, Zona rural</w:t>
            </w:r>
          </w:p>
        </w:tc>
      </w:tr>
    </w:tbl>
    <w:bookmarkEnd w:id="38"/>
    <w:bookmarkStart w:id="39" w:name="considerações-finais"/>
    <w:p>
      <w:pPr>
        <w:pStyle w:val="Ttulo2"/>
      </w:pPr>
      <w:r>
        <w:t xml:space="preserve">10 Considerações finais</w:t>
      </w:r>
    </w:p>
    <w:p>
      <w:pPr>
        <w:pStyle w:val="Textoembloco"/>
      </w:pPr>
      <w:r>
        <w:rPr>
          <w:b/>
          <w:bCs/>
        </w:rPr>
        <w:t xml:space="preserve">A REDIGIR</w:t>
      </w:r>
      <w:r>
        <w:t xml:space="preserve"> </w:t>
      </w:r>
      <w:r>
        <w:t xml:space="preserve">— síntese em dois ou três parágrafos — Piauí frente a Brasil e Nordeste; Teresina e interior; urbano e rural; o que mudou no tempo.</w:t>
      </w:r>
    </w:p>
    <w:bookmarkEnd w:id="39"/>
    <w:bookmarkStart w:id="40" w:name="anexo-a-nota-metodológica"/>
    <w:p>
      <w:pPr>
        <w:pStyle w:val="Ttulo2"/>
      </w:pPr>
      <w:r>
        <w:t xml:space="preserve">Anexo A — Nota metodológica</w:t>
      </w:r>
    </w:p>
    <w:p>
      <w:pPr>
        <w:pStyle w:val="FirstParagraph"/>
      </w:pPr>
      <w:r>
        <w:rPr>
          <w:b/>
          <w:bCs/>
        </w:rPr>
        <w:t xml:space="preserve">Fonte e desenho amostral.</w:t>
      </w:r>
      <w:r>
        <w:t xml:space="preserve"> </w:t>
      </w:r>
      <w:r>
        <w:t xml:space="preserve">Microdados da PNAD Contínua trimestral (IBGE),</w:t>
      </w:r>
      <w:r>
        <w:t xml:space="preserve"> </w:t>
      </w:r>
      <w:r>
        <w:t xml:space="preserve">com o desenho amostral completo: pesos calibrados e 200 réplicas de bootstrap</w:t>
      </w:r>
      <w:r>
        <w:t xml:space="preserve"> </w:t>
      </w:r>
      <w:r>
        <w:t xml:space="preserve">fornecidas pelo IBGE. Todas as estimativas, erros-padrão, intervalos de</w:t>
      </w:r>
      <w:r>
        <w:t xml:space="preserve"> </w:t>
      </w:r>
      <w:r>
        <w:t xml:space="preserve">confiança de 95% e coeficientes de variação (CV = erro-padrão / estimativa)</w:t>
      </w:r>
      <w:r>
        <w:t xml:space="preserve"> </w:t>
      </w:r>
      <w:r>
        <w:t xml:space="preserve">são calculados sobre esse desenho. Rendimentos em valores reais, deflacionados</w:t>
      </w:r>
      <w:r>
        <w:t xml:space="preserve"> </w:t>
      </w:r>
      <w:r>
        <w:t xml:space="preserve">pelo deflator do IBGE que acompanha os microdados. As definições dos</w:t>
      </w:r>
      <w:r>
        <w:t xml:space="preserve"> </w:t>
      </w:r>
      <w:r>
        <w:t xml:space="preserve">indicadores seguem as notas metodológicas da PNAD Contínua e estão validadas</w:t>
      </w:r>
      <w:r>
        <w:t xml:space="preserve"> </w:t>
      </w:r>
      <w:r>
        <w:t xml:space="preserve">contra as tabelas oficiais do SIDRA para o Piauí.</w:t>
      </w:r>
    </w:p>
    <w:p>
      <w:pPr>
        <w:pStyle w:val="Corpodetexto"/>
      </w:pPr>
      <w:r>
        <w:rPr>
          <w:b/>
          <w:bCs/>
        </w:rPr>
        <w:t xml:space="preserve">Territórios.</w:t>
      </w:r>
      <w:r>
        <w:t xml:space="preserve"> </w:t>
      </w:r>
      <w:r>
        <w:t xml:space="preserve">Brasil, Nordeste e Piauí; dentro do Piauí, os cinco estratos</w:t>
      </w:r>
      <w:r>
        <w:t xml:space="preserve"> </w:t>
      </w:r>
      <w:r>
        <w:t xml:space="preserve">agregados da amostra (Teresina, entorno metropolitano, Centro-Leste, Baixo</w:t>
      </w:r>
      <w:r>
        <w:t xml:space="preserve"> </w:t>
      </w:r>
      <w:r>
        <w:t xml:space="preserve">Parnaíba e Alto Parnaíba e Chapadas do Sul) e a zona do</w:t>
      </w:r>
      <w:r>
        <w:t xml:space="preserve"> </w:t>
      </w:r>
      <w:r>
        <w:t xml:space="preserve">domicílio (urbana ou rural). O</w:t>
      </w:r>
      <w:r>
        <w:t xml:space="preserve"> </w:t>
      </w:r>
      <w:r>
        <w:t xml:space="preserve">estrato administrativo aparece só nos anexos, porque repete informação dos</w:t>
      </w:r>
      <w:r>
        <w:t xml:space="preserve"> </w:t>
      </w:r>
      <w:r>
        <w:t xml:space="preserve">estratos agregados.</w:t>
      </w:r>
    </w:p>
    <w:p>
      <w:pPr>
        <w:pStyle w:val="Corpodetexto"/>
      </w:pPr>
      <w:r>
        <w:rPr>
          <w:b/>
          <w:bCs/>
        </w:rPr>
        <w:t xml:space="preserve">Confiabilidade (marcas † e –).</w:t>
      </w:r>
      <w:r>
        <w:t xml:space="preserve"> </w:t>
      </w:r>
      <w:r>
        <w:t xml:space="preserve">A marca de cada número não vem do CV do</w:t>
      </w:r>
      <w:r>
        <w:t xml:space="preserve"> </w:t>
      </w:r>
      <w:r>
        <w:t xml:space="preserve">trimestre isolado, que é ele próprio sujeito a ruído, mas do comportamento do</w:t>
      </w:r>
      <w:r>
        <w:t xml:space="preserve"> </w:t>
      </w:r>
      <w:r>
        <w:t xml:space="preserve">mesmo indicador, no mesmo território, de 2022T1 até o trimestre atual. Sem</w:t>
      </w:r>
      <w:r>
        <w:t xml:space="preserve"> </w:t>
      </w:r>
      <w:r>
        <w:t xml:space="preserve">marca: CV abaixo de 15% em pelo menos 80% dos trimestres. †: nesse mesmo</w:t>
      </w:r>
      <w:r>
        <w:t xml:space="preserve"> </w:t>
      </w:r>
      <w:r>
        <w:t xml:space="preserve">patamar da série, CV entre 15% e 30%. –: acima de 30% ou instável (CV acima de</w:t>
      </w:r>
      <w:r>
        <w:t xml:space="preserve"> </w:t>
      </w:r>
      <w:r>
        <w:t xml:space="preserve">30% em algum dos quatro últimos trimestres). Os cortes de 15% e 30% seguem as</w:t>
      </w:r>
      <w:r>
        <w:t xml:space="preserve"> </w:t>
      </w:r>
      <w:r>
        <w:t xml:space="preserve">faixas de precisão usadas pelo IBGE. Brasil e Nordeste não fazem parte dessa</w:t>
      </w:r>
      <w:r>
        <w:t xml:space="preserve"> </w:t>
      </w:r>
      <w:r>
        <w:t xml:space="preserve">série e usam o CV do próprio trimestre.</w:t>
      </w:r>
    </w:p>
    <w:p>
      <w:pPr>
        <w:pStyle w:val="Corpodetexto"/>
      </w:pPr>
      <w:r>
        <w:rPr>
          <w:b/>
          <w:bCs/>
        </w:rPr>
        <w:t xml:space="preserve">Diferenças entre territórios e grupos.</w:t>
      </w:r>
      <w:r>
        <w:t xml:space="preserve"> </w:t>
      </w:r>
      <w:r>
        <w:t xml:space="preserve">Testes de razão de verossimilhança</w:t>
      </w:r>
      <w:r>
        <w:t xml:space="preserve"> </w:t>
      </w:r>
      <w:r>
        <w:t xml:space="preserve">sobre o desenho amostral (</w:t>
      </w:r>
      <w:r>
        <w:rPr>
          <w:rStyle w:val="VerbatimChar"/>
        </w:rPr>
        <w:t xml:space="preserve">svyglm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regTermTest</w:t>
      </w:r>
      <w:r>
        <w:t xml:space="preserve">, método LRT, e</w:t>
      </w:r>
      <w:r>
        <w:t xml:space="preserve"> </w:t>
      </w:r>
      <w:r>
        <w:rPr>
          <w:rStyle w:val="VerbatimChar"/>
        </w:rPr>
        <w:t xml:space="preserve">svychisq</w:t>
      </w:r>
      <w:r>
        <w:t xml:space="preserve"> </w:t>
      </w:r>
      <w:r>
        <w:t xml:space="preserve">para respostas categóricas). Os p-valores são ajustados para</w:t>
      </w:r>
      <w:r>
        <w:t xml:space="preserve"> </w:t>
      </w:r>
      <w:r>
        <w:t xml:space="preserve">comparações múltiplas pelo método de Benjamini-Hochberg.</w:t>
      </w:r>
    </w:p>
    <w:bookmarkEnd w:id="40"/>
    <w:bookmarkStart w:id="41" w:name="X7c6b245c783dbc32a5467cb8c06ff705bc15e06"/>
    <w:p>
      <w:pPr>
        <w:pStyle w:val="Ttulo2"/>
      </w:pPr>
      <w:r>
        <w:t xml:space="preserve">Anexo B — Resolução territorial de cada indicador</w:t>
      </w:r>
    </w:p>
    <w:p>
      <w:pPr>
        <w:pStyle w:val="FirstParagraph"/>
      </w:pPr>
      <w:r>
        <w:t xml:space="preserve">Percentual de categorias do indicador que passam no critério de confiabilidade</w:t>
      </w:r>
      <w:r>
        <w:t xml:space="preserve"> </w:t>
      </w:r>
      <w:r>
        <w:t xml:space="preserve">(sem marca), por nível territorial, de 2022T1 a 2026T2.</w:t>
      </w:r>
    </w:p>
    <w:p>
      <w:pPr>
        <w:pStyle w:val="Corpodetexto"/>
      </w:pPr>
      <w:r>
        <w:rPr>
          <w:b/>
          <w:bCs/>
        </w:rPr>
        <w:t xml:space="preserve">Tabela B.1</w:t>
      </w:r>
      <w:r>
        <w:t xml:space="preserve"> </w:t>
      </w:r>
      <w:r>
        <w:t xml:space="preserve">— Aprovação na triagem de confiabilidade, por indicador e nível territorial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Piauí e 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Zona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Estrato administrativo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Estrato agregado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da ocupação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desocupação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composta de subutilização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pelo domicílio entre os desocupados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em idade de trabalhar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na força de trabalho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fora da força de trabalho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ocupadas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desocupadas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Pessoas subutilizadas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Subocupação por insuficiência de horas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Empregados no setor privado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Empregados no setor público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Ocupados na agropecuária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real habitual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dos formais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dos informais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Razão entre rendimento formal e informal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Índice de Gini do rendimento do trabalho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Jovens de 14 a 29 anos que não estudam nem trabalham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Sexo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Cor ou raça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Faixa etária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de instrução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93%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Por que o desalentado desistiu de procurar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Por que o jovem nem-nem não procurou trabalho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bookmarkEnd w:id="41"/>
    <w:bookmarkStart w:id="42" w:name="Xe754e31ad8688ed3f571c457a0de751ba027293"/>
    <w:p>
      <w:pPr>
        <w:pStyle w:val="Ttulo2"/>
      </w:pPr>
      <w:r>
        <w:t xml:space="preserve">Anexo C — Testes de diferença entre territórios</w:t>
      </w:r>
    </w:p>
    <w:p>
      <w:pPr>
        <w:pStyle w:val="FirstParagraph"/>
      </w:pPr>
      <w:r>
        <w:rPr>
          <w:b/>
          <w:bCs/>
        </w:rPr>
        <w:t xml:space="preserve">Tabela C.1</w:t>
      </w:r>
      <w:r>
        <w:t xml:space="preserve"> </w:t>
      </w:r>
      <w:r>
        <w:t xml:space="preserve">— p-valor bruto / p-valor ajustado, por indicador e recorte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Indicador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Zona (urbana × rural)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Estrato administrativo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Teresina × resto do Piauí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participação na força de trabalho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Nível da ocupação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desocupação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0,010 / 0,012 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0,007 / 0,009 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0,057 / 0,063 ns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composta de subutilização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pelo domicílio entre os desocupados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0,460 / 0,470 ns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0,044 / 0,050 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0,037 / 0,043 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0,011 / 0,013 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Responsáveis ou cônjuges entre os desocupados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0,268 / 0,283 ns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0,002 / 0,002 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0,056 / 0,063 ns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Taxa de informalidade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Subocupação por insuficiência de horas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Sub-remuneração (rendimento-hora abaixo do mínimo)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Ocupados com ensino médio completo ou mais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real habitual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dos formais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Rendimento médio dos informais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ampliada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Desalentados na força de trabalho potencial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Jovens de 14 a 29 anos que não estudam nem trabalham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0,001 **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&lt; 0,001 / &lt; 0,001 ***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bookmarkEnd w:id="42"/>
    <w:bookmarkStart w:id="43" w:name="anexo-d-tabelas-completas"/>
    <w:p>
      <w:pPr>
        <w:pStyle w:val="Ttulo2"/>
      </w:pPr>
      <w:r>
        <w:t xml:space="preserve">Anexo D — Tabelas completas</w:t>
      </w:r>
    </w:p>
    <w:p>
      <w:pPr>
        <w:pStyle w:val="FirstParagraph"/>
      </w:pPr>
      <w:r>
        <w:rPr>
          <w:b/>
          <w:bCs/>
        </w:rPr>
        <w:t xml:space="preserve">Tabela D.1</w:t>
      </w:r>
      <w:r>
        <w:t xml:space="preserve"> </w:t>
      </w:r>
      <w:r>
        <w:t xml:space="preserve">— Taxa de participação na força de trabalho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(61,9, 62,3)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(53,7, 54,6)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(51,4, 54,4)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(60,0, 64,7)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(56,5, 60,0)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(37,8, 43,5)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(60,0, 64,7)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(48,4, 57,5)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(47,0, 51,0)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(60,0, 64,7)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(48,4, 57,5)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(44,2, 51,4)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(45,2, 51,5)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(47,6, 56,0)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</w:t>
      </w:r>
      <w:r>
        <w:t xml:space="preserve"> </w:t>
      </w:r>
      <w:r>
        <w:t xml:space="preserve">— Nível da ocupação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(58,6, 59,0)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(49,6, 50,5)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(46,9, 50,1)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(55,3, 60,4)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(52,0, 55,7)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(33,2, 39,2)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(55,3, 60,4)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(41,5, 47,1)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(43,0, 47,1)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(55,3, 60,4)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(41,5, 47,1)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(40,5, 47,3)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(41,5, 48,7)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(42,1, 51,1)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</w:t>
      </w:r>
      <w:r>
        <w:t xml:space="preserve"> </w:t>
      </w:r>
      <w:r>
        <w:t xml:space="preserve">— Taxa de desocupação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(5,2, 5,5)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(7,3, 7,9)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(7,1, 9,5)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(5,8, 8,5)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(6,3, 8,7)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(8,2, 13,6)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(5,8, 8,5)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(11,8, 20,9)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(6,4, 9,7)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(5,8, 8,5)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(11,8, 20,9)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(6,1, 10,3)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(4,0, 9,3)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(6,5, 13,4)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</w:t>
      </w:r>
      <w:r>
        <w:t xml:space="preserve"> </w:t>
      </w:r>
      <w:r>
        <w:t xml:space="preserve">— Taxa composta de subutilização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(12,7, 13,1)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(20,8, 21,9)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(24,3, 28,9)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(7,7, 11,0)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(18,0, 23,1)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(39,0, 47,6)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(7,7, 11,0)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(20,8, 30,0)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(31,3, 37,8)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(7,7, 11,0)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(20,8, 30,0)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(35,9, 44,2)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(23,9, 36,7)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(27,0, 39,5)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D.5</w:t>
      </w:r>
      <w:r>
        <w:t xml:space="preserve"> </w:t>
      </w:r>
      <w:r>
        <w:t xml:space="preserve">— Responsáveis pelo domicílio entre os desocupados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(35,2, 37,5)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(36,1, 39,7)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(31,8, 44,0)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(20,4, 35,1)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(29,1, 44,0)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(31,8, 50,0)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(20,4, 35,1)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(23,3, 53,5)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(34,0, 50,9)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(20,4, 35,1)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(23,3, 53,5)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(34,2, 59,9)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(13,9, 43,1)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(35,3, 66,9)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15,8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D.6</w:t>
      </w:r>
      <w:r>
        <w:t xml:space="preserve"> </w:t>
      </w:r>
      <w:r>
        <w:t xml:space="preserve">— Responsáveis ou cônjuges entre os desocupados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(51,4, 54,1)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(52,7, 56,4)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(49,2, 62,1)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(33,3, 49,5)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(46,3, 60,6)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(49,4, 71,7)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(33,3, 49,5)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(42,8, 65,9)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(53,5, 71,5)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(33,3, 49,5)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(42,8, 65,9)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(55,2, 77,5)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(33,0, 76,8)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20,3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65,8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(53,7, 77,8)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D.7</w:t>
      </w:r>
      <w:r>
        <w:t xml:space="preserve"> </w:t>
      </w:r>
      <w:r>
        <w:t xml:space="preserve">— Pessoas em idade de trabalhar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175.400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(175.400, 175.400)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46.431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(46.292, 46.570)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2.743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(2.713, 2.774)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(731, 762)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1.907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(1.853, 1.961)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(786, 886)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(731, 762)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(173, 183)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1.819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(1.793, 1.845)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(731, 762)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(173, 183)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(610, 685)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(661, 765)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(411, 506)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D.8</w:t>
      </w:r>
      <w:r>
        <w:t xml:space="preserve"> </w:t>
      </w:r>
      <w:r>
        <w:t xml:space="preserve">— Pessoas na força de trabalho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108.919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(108.576, 109.261)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25.161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(24.946, 25.376)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(1.407, 1.494)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(446, 485)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1.111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(1.068, 1.155)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(308, 371)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(446, 485)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(87, 101)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891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(853, 929)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(446, 485)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(87, 101)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(280, 339)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(311, 378)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(205, 270)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D.9</w:t>
      </w:r>
      <w:r>
        <w:t xml:space="preserve"> </w:t>
      </w:r>
      <w:r>
        <w:t xml:space="preserve">— Pessoas fora da força de trabalho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66.481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(66.138, 66.824)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21.270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(21.050, 21.490)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1.293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(1.248, 1.338)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(262, 300)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(754, 838)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(459, 534)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(262, 300)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(74, 93)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928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(890, 966)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(262, 300)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(74, 93)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(307, 370)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(334, 403)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(192, 250)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D.10</w:t>
      </w:r>
      <w:r>
        <w:t xml:space="preserve"> </w:t>
      </w:r>
      <w:r>
        <w:t xml:space="preserve">— Pessoas ocupadas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103.057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(102.713, 103.401)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23.249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(23.027, 23.471)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1.330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(1.285, 1.376)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(411, 453)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1.028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(986, 1.069)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(273, 333)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(411, 453)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(74, 84)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819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(780, 858)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(411, 453)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(74, 84)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(257, 311)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(290, 353)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(182, 245)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D.11</w:t>
      </w:r>
      <w:r>
        <w:t xml:space="preserve"> </w:t>
      </w:r>
      <w:r>
        <w:t xml:space="preserve">— Pessoas desocupadas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5.861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(5.697, 6.026)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1.912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(1.833, 1.991)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(103, 138)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(27, 39)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(70, 98)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(27, 47)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(27, 39)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(10, 20)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(57, 86)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(27, 39)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(10, 20)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(18, 32)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(13, 33)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21,8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(15, 32)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D.12</w:t>
      </w:r>
      <w:r>
        <w:t xml:space="preserve"> </w:t>
      </w:r>
      <w:r>
        <w:t xml:space="preserve">— Pessoas subutilizadas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14.659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(14.390, 14.928)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5.864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(5.709, 6.019)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(391, 468)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(37, 51)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(210, 276)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(162, 211)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(37, 51)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(19, 31)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(324, 396)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(37, 51)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(19, 31)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(131, 167)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(90, 151)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(68, 112)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12,4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D.13</w:t>
      </w:r>
      <w:r>
        <w:t xml:space="preserve"> </w:t>
      </w:r>
      <w:r>
        <w:t xml:space="preserve">— Taxa de informalidade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(37,1, 37,8)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(48,1, 49,4)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(47,4, 51,6)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(32,3, 39,2)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(41,5, 46,5)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(64,1, 72,2)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(32,3, 39,2)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(48,0, 63,7)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56,1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(53,5, 58,7)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(32,3, 39,2)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(48,0, 63,7)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56,9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(52,0, 61,7)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(56,4, 65,1)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(42,4, 53,7)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D.14</w:t>
      </w:r>
      <w:r>
        <w:t xml:space="preserve"> </w:t>
      </w:r>
      <w:r>
        <w:t xml:space="preserve">— Subocupação por insuficiência de horas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(3,8, 4,1)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(7,0, 7,7)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(9,8, 12,5)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(0,7, 1,9)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(7,3, 10,2)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(16,0, 22,7)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(0,7, 1,9)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(2,7, 10,1)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29,1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(14,6, 19,0)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(0,7, 1,9)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(2,7, 10,1)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29,1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(17,8, 24,9)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(9,7, 17,9)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(11,5, 19,1)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D.15</w:t>
      </w:r>
      <w:r>
        <w:t xml:space="preserve"> </w:t>
      </w:r>
      <w:r>
        <w:t xml:space="preserve">— Sub-remuneração (rendimento-hora abaixo do mínimo)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(18,5, 19,0)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(35,1, 36,3)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(35,8, 40,5)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(22,2, 29,3)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(30,1, 35,7)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(52,1, 61,0)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(22,2, 29,3)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(34,5, 47,6)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(41,4, 47,8)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(22,2, 29,3)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(34,5, 47,6)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(37,8, 47,9)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(47,8, 58,3)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(28,8, 39,9)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11,1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D.16</w:t>
      </w:r>
      <w:r>
        <w:t xml:space="preserve"> </w:t>
      </w:r>
      <w:r>
        <w:t xml:space="preserve">— Ocupados com ensino médio completo ou mais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(72,9, 73,6)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(68,7, 70,1)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(65,0, 69,0)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(81,5, 86,7)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(72,4, 76,8)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(37,4, 45,1)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(81,5, 86,7)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(67,1, 76,9)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(54,6, 60,4)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(81,5, 86,7)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72,0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(67,1, 76,9)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(54,1, 63,3)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(48,9, 59,4)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(55,9, 65,9)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D.17</w:t>
      </w:r>
      <w:r>
        <w:t xml:space="preserve"> </w:t>
      </w:r>
      <w:r>
        <w:t xml:space="preserve">— Empregados no setor privado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52.987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(52.593, 53.381)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10.571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(10.390, 10.751)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(511, 570)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(186, 221)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(394, 453)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(103, 131)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(186, 221)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(29, 37)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(282, 326)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(186, 221)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(29, 37)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(92, 123)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(109, 143)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(54, 87)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D.18</w:t>
      </w:r>
      <w:r>
        <w:t xml:space="preserve"> </w:t>
      </w:r>
      <w:r>
        <w:t xml:space="preserve">— Empregados no setor público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13.018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(12.794, 13.242)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3.829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(3.718, 3.941)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(244, 301)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(59, 86)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(195, 247)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(40, 64)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(59, 86)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(9, 17)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(165, 209)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(59, 86)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(9, 17)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16,5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(55, 82)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(50, 74)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(43, 71)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D.19</w:t>
      </w:r>
      <w:r>
        <w:t xml:space="preserve"> </w:t>
      </w:r>
      <w:r>
        <w:t xml:space="preserve">— Ocupados na agropecuária (mil pessoas),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7.918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(7.704, 8.132)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2.512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(2.406, 2.618)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(126, 161)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(0, 4)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(34, 53)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(84, 115)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(0, 4)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(6, 11)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(116, 150)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(0, 4)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44,1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(6, 11)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(37, 56)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(33, 59)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(31, 50)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D.20</w:t>
      </w:r>
      <w:r>
        <w:t xml:space="preserve"> </w:t>
      </w:r>
      <w:r>
        <w:t xml:space="preserve">— Rendimento médio real habitual (R$),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R$ 3.738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(R$ 3.679, R$ 3.798)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R$ 2.645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(R$ 2.564, R$ 2.725)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R$ 2.547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(R$ 2.356, R$ 2.738)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R$ 3.690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(R$ 3.207, R$ 4.173)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R$ 2.902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(R$ 2.658, R$ 3.146)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R$ 1.310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(R$ 1.194, R$ 1.425)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R$ 3.690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(R$ 3.207, R$ 4.173)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R$ 1.900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(R$ 1.645, R$ 2.156)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R$ 1.992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(R$ 1.817, R$ 2.167)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R$ 3.690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(R$ 3.207, R$ 4.173)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R$ 1.900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(R$ 1.645, R$ 2.156)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R$ 1.991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(R$ 1.569, R$ 2.412)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R$ 1.678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(R$ 1.505, R$ 1.850)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R$ 2.463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(R$ 2.152, R$ 2.774)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D.21</w:t>
      </w:r>
      <w:r>
        <w:t xml:space="preserve"> </w:t>
      </w:r>
      <w:r>
        <w:t xml:space="preserve">— Rendimento médio dos formais (R$),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R$ 4.513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(R$ 4.435, R$ 4.590)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R$ 3.650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(R$ 3.523, R$ 3.777)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R$ 3.675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(R$ 3.377, R$ 3.972)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R$ 4.548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(R$ 3.920, R$ 5.176)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R$ 3.917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(R$ 3.578, R$ 4.257)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R$ 2.226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(R$ 1.991, R$ 2.461)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R$ 4.548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(R$ 3.920, R$ 5.176)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R$ 2.675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(R$ 2.106, R$ 3.244)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R$ 3.097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(R$ 2.812, R$ 3.382)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R$ 4.548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(R$ 3.920, R$ 5.176)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R$ 2.675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(R$ 2.106, R$ 3.244)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R$ 3.050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(R$ 2.336, R$ 3.763)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R$ 2.781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(R$ 2.502, R$ 3.060)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R$ 3.509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(R$ 3.095, R$ 3.924)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9,9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D.22</w:t>
      </w:r>
      <w:r>
        <w:t xml:space="preserve"> </w:t>
      </w:r>
      <w:r>
        <w:t xml:space="preserve">— Rendimento médio dos informais (R$),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R$ 2.399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(R$ 2.355, R$ 2.443)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R$ 1.549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(R$ 1.507, R$ 1.591)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R$ 1.353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(R$ 1.263, R$ 1.443)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R$ 2.142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(R$ 1.866, R$ 2.419)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R$ 1.573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(R$ 1.451, R$ 1.695)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R$ 855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(R$ 787, R$ 923)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R$ 2.142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(R$ 1.866, R$ 2.419)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R$ 1.276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(R$ 1.090, R$ 1.462)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R$ 1.083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(R$ 1.010, R$ 1.156)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R$ 2.142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(R$ 1.866, R$ 2.419)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R$ 1.276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(R$ 1.090, R$ 1.462)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R$ 1.142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(R$ 1.005, R$ 1.279)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R$ 932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(R$ 850, R$ 1.015)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R$ 1.277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(R$ 1.095, R$ 1.459)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D.23</w:t>
      </w:r>
      <w:r>
        <w:t xml:space="preserve"> </w:t>
      </w:r>
      <w:r>
        <w:t xml:space="preserve">— Razão entre rendimento formal e informal,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(1,85, 1,92)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(2,27, 2,44)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(2,51, 2,92)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(1,87, 2,38)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(2,29, 2,69)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(2,28, 2,92)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(1,87, 2,38)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(1,54, 2,66)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(2,59, 3,13)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(1,87, 2,38)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(1,54, 2,66)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(2,14, 3,20)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(2,63, 3,33)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(2,31, 3,18)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D.24</w:t>
      </w:r>
      <w:r>
        <w:t xml:space="preserve"> </w:t>
      </w:r>
      <w:r>
        <w:t xml:space="preserve">— Índice de Gini do rendimento do trabalho,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0,484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(0,478, 0,489)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(0,488, 0,510)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0,507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(0,484, 0,531)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(0,458, 0,532)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(0,470, 0,520)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0,461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(0,435, 0,487)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(0,458, 0,532)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0,395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(0,325, 0,465)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(0,467, 0,517)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(0,458, 0,532)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0,395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(0,325, 0,465)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0,514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(0,458, 0,570)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0,470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(0,441, 0,499)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0,477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(0,442, 0,512)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D.25</w:t>
      </w:r>
      <w:r>
        <w:t xml:space="preserve"> </w:t>
      </w:r>
      <w:r>
        <w:t xml:space="preserve">— Desalentados na força de trabalho ampliada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(2,0, 2,1)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(5,0, 5,6)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(5,7, 8,3)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(0,3, 1,0)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(2,4, 4,9)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(13,0, 20,1)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(0,3, 1,0)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(1,2, 5,4)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32,1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(8,4, 12,4)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(0,3, 1,0)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(1,2, 5,4)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32,1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(10,0, 16,9)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(4,7, 10,9)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20,4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(5,0, 14,7)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25,0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D.26</w:t>
      </w:r>
      <w:r>
        <w:t xml:space="preserve"> </w:t>
      </w:r>
      <w:r>
        <w:t xml:space="preserve">— Desalentados na força de trabalho potencial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(46,9, 50,0)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62,8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(60,9, 64,7)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(63,2, 73,6)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(34,5, 82,3)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(50,8, 70,8)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(68,0, 80,3)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(34,5, 82,3)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(40,8, 98,2)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(63,4, 74,0)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(34,5, 82,3)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(40,8, 98,2)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(68,9, 83,1)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(44,2, 66,0)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(63,2, 89,6)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D.27</w:t>
      </w:r>
      <w:r>
        <w:t xml:space="preserve"> </w:t>
      </w:r>
      <w:r>
        <w:t xml:space="preserve">— Jovens de 14 a 29 anos que não estudam nem trabalham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(17,6, 18,2)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(23,9, 25,1)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(22,3, 26,2)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(14,5, 20,9)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(18,4, 22,9)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(29,7, 37,1)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(14,5, 20,9)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31,5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(26,1, 37,0)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(23,7, 28,7)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(14,5, 20,9)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31,5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(26,1, 37,0)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(22,2, 29,0)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(20,9, 28,0)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(23,1, 37,3)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12,7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D.28</w:t>
      </w:r>
      <w:r>
        <w:t xml:space="preserve"> </w:t>
      </w:r>
      <w:r>
        <w:t xml:space="preserve">— Sexo: Masculino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(48,2, 48,2)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(47,3, 47,7)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(47,1, 48,5)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(44,2, 46,5)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(45,5, 47,3)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(49,8, 52,2)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(44,2, 46,5)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(46,2, 51,9)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(47,7, 49,6)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(44,2, 46,5)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(46,2, 51,9)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(47,4, 50,1)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47,3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(45,8, 48,9)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(48,5, 52,9)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D.29</w:t>
      </w:r>
      <w:r>
        <w:t xml:space="preserve"> </w:t>
      </w:r>
      <w:r>
        <w:t xml:space="preserve">— Sexo: Feminino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(51,8, 51,8)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(52,3, 52,7)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(51,5, 52,9)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(53,5, 55,8)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(52,7, 54,5)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(47,8, 50,2)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(53,5, 55,8)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(48,1, 53,8)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(50,4, 52,3)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(53,5, 55,8)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(48,1, 53,8)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51,3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(49,9, 52,6)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(51,1, 54,2)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(47,1, 51,5)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D.30</w:t>
      </w:r>
      <w:r>
        <w:t xml:space="preserve"> </w:t>
      </w:r>
      <w:r>
        <w:t xml:space="preserve">— Cor ou raça: Branca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(42,0, 42,8)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(24,1, 25,1)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(18,1, 20,8)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(19,3, 24,4)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(19,5, 23,2)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(13,0, 17,1)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(19,3, 24,4)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(7,2, 13,5)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(17,6, 21,0)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(19,3, 24,4)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(7,2, 13,5)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15,3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(19,5, 25,7)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(16,9, 22,9)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(10,9, 16,8)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13,2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D.31</w:t>
      </w:r>
      <w:r>
        <w:t xml:space="preserve"> </w:t>
      </w:r>
      <w:r>
        <w:t xml:space="preserve">— Cor ou raça: Preta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(10,8, 11,2)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(13,7, 14,5)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(12,5, 14,8)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(12,1, 15,7)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(11,9, 14,3)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(12,2, 17,7)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(12,1, 15,7)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(7,1, 13,1)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(12,3, 15,5)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(12,1, 15,7)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(7,1, 13,1)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(12,9, 19,0)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(7,6, 11,8)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(14,4, 20,8)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D.32</w:t>
      </w:r>
      <w:r>
        <w:t xml:space="preserve"> </w:t>
      </w:r>
      <w:r>
        <w:t xml:space="preserve">— Cor ou raça: Amarela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(0,5, 0,7)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(0,3, 0,3)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46,8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59,8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69,3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80,5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92,5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99,7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70,5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92,5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99,7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105,3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99,5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101,5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105,0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D.33</w:t>
      </w:r>
      <w:r>
        <w:t xml:space="preserve"> </w:t>
      </w:r>
      <w:r>
        <w:t xml:space="preserve">— Cor ou raça: Parda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45,6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(45,3, 46,0)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60,5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(60,0, 61,0)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66,7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(65,2, 68,2)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(61,6, 66,6)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65,3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(63,3, 67,4)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69,8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(66,8, 72,9)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(61,6, 66,6)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(75,3, 83,6)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(64,5, 68,6)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(61,6, 66,6)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(75,3, 83,6)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61,2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(57,2, 65,1)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(66,9, 73,7)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(64,5, 72,1)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D.34</w:t>
      </w:r>
      <w:r>
        <w:t xml:space="preserve"> </w:t>
      </w:r>
      <w:r>
        <w:t xml:space="preserve">— Cor ou raça: Indígena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(0,4, 0,4)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(0,4, 0,5)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36,9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52,4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104,8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46,6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70,8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49,9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54,5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104,8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39,2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57,4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104,8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59,4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68,8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(0,0, 0,4)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56,3</w:t>
            </w:r>
          </w:p>
        </w:tc>
        <w:tc>
          <w:tcPr/>
          <w:p>
            <w:pPr>
              <w:pStyle w:val="TabelaTexto"/>
            </w:pPr>
            <w:r>
              <w:t xml:space="preserve">baixa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85,3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D.35</w:t>
      </w:r>
      <w:r>
        <w:t xml:space="preserve"> </w:t>
      </w:r>
      <w:r>
        <w:t xml:space="preserve">— Faixa etária: 14 a 17 anos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(6,6, 6,8)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(7,3, 7,6)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(6,4, 7,7)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(5,5, 7,5)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(5,9, 7,4)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(6,8, 9,1)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(5,5, 7,5)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(6,2, 9,6)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(6,4, 8,0)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(5,5, 7,5)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(6,2, 9,6)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(6,4, 9,1)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(6,0, 8,9)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(4,6, 7,7)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13,0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D.36</w:t>
      </w:r>
      <w:r>
        <w:t xml:space="preserve"> </w:t>
      </w:r>
      <w:r>
        <w:t xml:space="preserve">— Faixa etária: 18 a 24 anos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(12,0, 12,1)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(12,4, 12,9)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(12,1, 13,8)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(11,4, 13,8)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(12,6, 14,8)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(10,1, 12,7)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(11,4, 13,8)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(10,5, 16,6)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(12,0, 14,2)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(11,4, 13,8)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(10,5, 16,6)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(11,7, 14,9)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(11,3, 15,4)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(10,0, 14,8)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10,7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D.37</w:t>
      </w:r>
      <w:r>
        <w:t xml:space="preserve"> </w:t>
      </w:r>
      <w:r>
        <w:t xml:space="preserve">— Faixa etária: 25 a 39 anos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(27,7, 27,7)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(27,0, 27,8)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(25,4, 27,7)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(24,6, 28,4)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(25,8, 28,6)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(23,2, 27,0)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(24,6, 28,4)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(23,6, 30,1)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(25,0, 28,1)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(24,6, 28,4)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(23,6, 30,1)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25,9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(23,4, 28,3)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27,1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(24,3, 29,9)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(23,6, 30,0)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D.38</w:t>
      </w:r>
      <w:r>
        <w:t xml:space="preserve"> </w:t>
      </w:r>
      <w:r>
        <w:t xml:space="preserve">— Faixa etária: 40 a 59 anos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(32,9, 32,9)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(32,5, 33,2)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(32,5, 34,4)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(33,6, 37,1)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(32,4, 34,7)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(31,6, 34,7)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(33,6, 37,1)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(29,9, 36,9)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(31,4, 33,8)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(33,6, 37,1)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(29,9, 36,9)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5,3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(30,7, 34,5)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(29,6, 34,3)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(31,6, 35,6)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D.39</w:t>
      </w:r>
      <w:r>
        <w:t xml:space="preserve"> </w:t>
      </w:r>
      <w:r>
        <w:t xml:space="preserve">— Faixa etária: 60 anos ou mais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(20,7, 20,7)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(19,4, 20,1)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(18,9, 21,0)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(17,0, 21,1)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(17,5, 20,3)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(20,7, 24,1)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(17,0, 21,1)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(14,3, 22,3)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(19,1, 21,9)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(17,0, 21,1)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(14,3, 22,3)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(18,5, 22,5)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(17,8, 22,6)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(17,8, 24,3)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D.40</w:t>
      </w:r>
      <w:r>
        <w:t xml:space="preserve"> </w:t>
      </w:r>
      <w:r>
        <w:t xml:space="preserve">— Nível de instrução: Sem instrução e menos de 1 ano de estudo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(3,9, 4,1)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(7,1, 7,5)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(7,3, 9,0)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(2,0, 3,2)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(5,1, 6,9)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(11,3, 14,8)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(2,0, 3,2)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(4,1, 8,0)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(9,4, 11,8)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(2,0, 3,2)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(4,1, 8,0)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16,7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(10,8, 14,7)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(6,9, 10,8)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(7,9, 12,9)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13,8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D.41</w:t>
      </w:r>
      <w:r>
        <w:t xml:space="preserve"> </w:t>
      </w:r>
      <w:r>
        <w:t xml:space="preserve">— Nível de instrução: Fundamental incompleto ou equivalente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(23,3, 23,7)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(27,7, 28,6)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(29,5, 32,3)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(15,2, 18,7)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(23,1, 26,4)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(42,3, 47,5)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(15,2, 18,7)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(29,7, 35,5)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(34,5, 38,4)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(15,2, 18,7)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(29,7, 35,5)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35,0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(32,3, 37,6)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37,7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(34,5, 40,8)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36,6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(31,8, 41,4)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6,4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D.42</w:t>
      </w:r>
      <w:r>
        <w:t xml:space="preserve"> </w:t>
      </w:r>
      <w:r>
        <w:t xml:space="preserve">— Nível de instrução: Fundamental completo ou equivalente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(7,8, 8,1)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(7,1, 7,5)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(6,9, 8,2)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(5,0, 6,9)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(6,2, 7,7)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(7,8, 10,0)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(5,0, 6,9)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(6,8, 11,0)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(7,2, 8,9)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(5,0, 6,9)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(6,8, 11,0)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(6,8, 9,1)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(7,1, 10,3)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(5,4, 9,1)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14,6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D.43</w:t>
      </w:r>
      <w:r>
        <w:t xml:space="preserve"> </w:t>
      </w:r>
      <w:r>
        <w:t xml:space="preserve">— Nível de instrução: Médio incompleto ou equivalente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(8,0, 8,2)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(8,3, 8,8)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(7,7, 9,1)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(7,0, 9,1)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(7,7, 9,3)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(7,1, 9,4)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(7,0, 9,1)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(7,6, 11,6)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(7,6, 9,3)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(7,0, 9,1)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6,6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(7,6, 11,6)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(7,2, 9,8)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(6,9, 9,8)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(6,5, 10,4)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13,1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D.44</w:t>
      </w:r>
      <w:r>
        <w:t xml:space="preserve"> </w:t>
      </w:r>
      <w:r>
        <w:t xml:space="preserve">— Nível de instrução: Médio completo ou equivalente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(31,9, 32,4)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0,4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31,2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(30,8, 31,7)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(25,2, 27,5)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(32,2, 36,3)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(28,4, 31,5)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(16,4, 19,8)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5,2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(32,2, 36,3)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(30,0, 34,5)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(21,0, 24,1)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(32,2, 36,3)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3,0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(30,0, 34,5)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3,6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22,0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(19,7, 24,2)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(19,4, 24,5)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(20,4, 28,1)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7,8</w:t>
            </w:r>
          </w:p>
        </w:tc>
        <w:tc>
          <w:tcPr/>
          <w:p/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D.45</w:t>
      </w:r>
      <w:r>
        <w:t xml:space="preserve"> </w:t>
      </w:r>
      <w:r>
        <w:t xml:space="preserve">— Nível de instrução: Superior incompleto ou equivalente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(5,8, 6,0)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1,1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(4,6, 5,1)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(4,4, 5,6)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(7,0, 9,3)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(5,4, 7,0)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7,9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(1,6, 3,0)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(7,0, 9,3)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(2,2, 5,9)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(3,1, 4,6)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11,3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8,1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(7,0, 9,3)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10,8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(2,2, 5,9)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(3,2, 5,2)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(2,6, 5,6)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19,1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(2,0, 4,1)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17,3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30,9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–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D.46</w:t>
      </w:r>
      <w:r>
        <w:t xml:space="preserve"> </w:t>
      </w:r>
      <w:r>
        <w:t xml:space="preserve">— Nível de instrução: Superior completo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(18,0, 18,7)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(12,2, 13,1)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(12,3, 15,0)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5,0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(21,1, 27,0)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(15,8, 19,5)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(3,4, 5,5)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(21,1, 27,0)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(4,6, 8,5)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(8,5, 11,5)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11,5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24,1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(21,1, 27,0)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11,0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(4,6, 8,5)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15,4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(6,5, 12,9)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16,8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12,1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(8,3, 12,4)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10,2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21,8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10,0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(7,3, 12,7)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18,4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†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D.47</w:t>
      </w:r>
      <w:r>
        <w:t xml:space="preserve"> </w:t>
      </w:r>
      <w:r>
        <w:t xml:space="preserve">— Por que o desalentado desistiu de procurar: Não havia trabalho na localidade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55,8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(53,8, 57,8)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67,5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(65,2, 69,7)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73,1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(64,8, 81,5)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5,8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D.48</w:t>
      </w:r>
      <w:r>
        <w:t xml:space="preserve"> </w:t>
      </w:r>
      <w:r>
        <w:t xml:space="preserve">— Por que o desalentado desistiu de procurar: Outros motivos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44,2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(42,2, 46,2)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32,5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(30,3, 34,8)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3,5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26,9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(18,5, 35,2)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15,9</w:t>
            </w:r>
          </w:p>
        </w:tc>
        <w:tc>
          <w:tcPr/>
          <w:p>
            <w:pPr>
              <w:pStyle w:val="TabelaTexto"/>
            </w:pPr>
            <w:r>
              <w:t xml:space="preserve">regular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D.49</w:t>
      </w:r>
      <w:r>
        <w:t xml:space="preserve"> </w:t>
      </w:r>
      <w:r>
        <w:t xml:space="preserve">— Por que o jovem nem-nem não procurou trabalho: Afazeres domésticos ou cuidado de parentes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(40,8, 42,7)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41,8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(40,3, 43,3)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43,2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(37,6, 48,9)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6,7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9,1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D.50</w:t>
      </w:r>
      <w:r>
        <w:t xml:space="preserve"> </w:t>
      </w:r>
      <w:r>
        <w:t xml:space="preserve">— Por que o jovem nem-nem não procurou trabalho: Problema de saúde ou gravidez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17,6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(16,7, 18,6)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15,5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(14,5, 16,5)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3,3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18,5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(14,7, 22,3)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10,5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13,6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p>
      <w:pPr>
        <w:pStyle w:val="Corpodetexto"/>
      </w:pPr>
      <w:r>
        <w:rPr>
          <w:b/>
          <w:bCs/>
        </w:rPr>
        <w:t xml:space="preserve">Tabela D.51</w:t>
      </w:r>
      <w:r>
        <w:t xml:space="preserve"> </w:t>
      </w:r>
      <w:r>
        <w:t xml:space="preserve">— Por que o jovem nem-nem não procurou trabalho: Outros motivos (%), por recorte geográfico — 2º trimestre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TabelaTexto"/>
            </w:pPr>
            <w:r>
              <w:t xml:space="preserve">Recorte</w:t>
            </w:r>
          </w:p>
        </w:tc>
        <w:tc>
          <w:tcPr/>
          <w:p>
            <w:pPr>
              <w:pStyle w:val="TabelaTexto"/>
            </w:pPr>
            <w:r>
              <w:t xml:space="preserve">Categoria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IC 95%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CV (%)</w:t>
            </w:r>
          </w:p>
        </w:tc>
        <w:tc>
          <w:tcPr/>
          <w:p>
            <w:pPr>
              <w:pStyle w:val="TabelaTexto"/>
            </w:pPr>
            <w:r>
              <w:t xml:space="preserve">Precisão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p80 do CV na série (%)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Marca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Brasil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40,7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(39,7, 41,6)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1,2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Nordeste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42,7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(41,1, 44,2)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1,9</w:t>
            </w:r>
          </w:p>
        </w:tc>
        <w:tc>
          <w:tcPr/>
          <w:p>
            <w:pPr>
              <w:pStyle w:val="TabelaTexto"/>
            </w:pPr>
            <w:r>
              <w:t xml:space="preserve">excelente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Piauí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38,3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(32,7, 43,9)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7,4</w:t>
            </w:r>
          </w:p>
        </w:tc>
        <w:tc>
          <w:tcPr/>
          <w:p>
            <w:pPr>
              <w:pStyle w:val="TabelaTexto"/>
            </w:pPr>
            <w:r>
              <w:t xml:space="preserve">boa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7,0</w:t>
            </w:r>
          </w:p>
        </w:tc>
        <w:tc>
          <w:tcPr/>
          <w:p/>
        </w:tc>
      </w:tr>
      <w:tr>
        <w:tc>
          <w:tcPr/>
          <w:p>
            <w:pPr>
              <w:pStyle w:val="TabelaTexto"/>
            </w:pPr>
            <w:r>
              <w:t xml:space="preserve">Agregados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Urbana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Zona</w:t>
            </w:r>
          </w:p>
        </w:tc>
        <w:tc>
          <w:tcPr/>
          <w:p>
            <w:pPr>
              <w:pStyle w:val="TabelaTexto"/>
            </w:pPr>
            <w:r>
              <w:t xml:space="preserve">Rural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Capital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RIDE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Administrativo</w:t>
            </w:r>
          </w:p>
        </w:tc>
        <w:tc>
          <w:tcPr/>
          <w:p>
            <w:pPr>
              <w:pStyle w:val="TabelaTexto"/>
            </w:pPr>
            <w:r>
              <w:t xml:space="preserve">Resto da UF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Teresina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Entorno metropolitano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Centro-Leste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Baixo Parnaíba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TabelaTexto"/>
            </w:pPr>
            <w:r>
              <w:t xml:space="preserve">Estrato agregado</w:t>
            </w:r>
          </w:p>
        </w:tc>
        <w:tc>
          <w:tcPr/>
          <w:p>
            <w:pPr>
              <w:pStyle w:val="TabelaTexto"/>
            </w:pPr>
            <w:r>
              <w:t xml:space="preserve">Alto Parnaíba e Chapadas Sul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TabelaTexto"/>
              <w:jc w:val="center"/>
            </w:pPr>
            <w:r>
              <w:t xml:space="preserve">—</w:t>
            </w:r>
          </w:p>
        </w:tc>
      </w:tr>
    </w:tbl>
    <w:p>
      <w:pPr>
        <w:pStyle w:val="Corpodetexto"/>
      </w:pPr>
      <w:r>
        <w:t xml:space="preserve">Fonte: IBGE — PNAD Contínua trimestral, microdados. Elaboração própria.</w:t>
      </w:r>
    </w:p>
    <w:bookmarkEnd w:id="43"/>
    <w:sectPr w:rsidR="00DA1BEB">
      <w:headerReference r:id="rId8" w:type="default"/>
      <w:footerReference r:id="rId9" w:type="default"/>
      <w:pgSz w:h="16838" w:w="11906"/>
      <w:pgMar w:bottom="1701" w:footer="708" w:gutter="0" w:header="708" w:left="1418" w:right="1418" w:top="1418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xen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D863" w14:textId="61072846" w:rsidR="00E510E6" w:rsidRDefault="00790B71">
    <w:r>
      <w:rPr>
        <w:noProof/>
      </w:rPr>
      <w:pict w14:anchorId="247CC10F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427.9pt;margin-top:8.55pt;width:76.5pt;height:20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" filled="f" stroked="f">
          <v:textbox>
            <w:txbxContent>
              <w:p w14:paraId="38E61202" w14:textId="77777777" w:rsidR="00E510E6" w:rsidRDefault="008045EC" w:rsidP="00E510E6">
                <w:r>
                  <w:rPr>
                    <w:rFonts w:ascii="Lexend" w:hAnsi="Lexend"/>
                    <w:b/>
                    <w:bCs/>
                    <w:noProof/>
                    <w:color w:val="FFFFFF" w:themeColor="background1"/>
                  </w:rPr>
                  <w:t>MÊS</w:t>
                </w:r>
              </w:p>
            </w:txbxContent>
          </v:textbox>
        </v:shape>
      </w:pict>
    </w:r>
    <w:r>
      <w:rPr>
        <w:noProof/>
      </w:rPr>
      <w:pict w14:anchorId="4FD88C2B">
        <v:shape id="Caixa de Texto 2" o:spid="_x0000_s2049" type="#_x0000_t202" style="position:absolute;left:0;text-align:left;margin-left:362.6pt;margin-top:-8.2pt;width:143.05pt;height:20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" filled="f" stroked="f">
          <v:textbox>
            <w:txbxContent>
              <w:p w14:paraId="58BAB980" w14:textId="77777777" w:rsidR="00E510E6" w:rsidRDefault="008045EC" w:rsidP="00E510E6">
                <w:r w:rsidRPr="003418AA">
                  <w:rPr>
                    <w:rFonts w:ascii="Lexend" w:hAnsi="Lexend"/>
                    <w:b/>
                    <w:bCs/>
                    <w:noProof/>
                    <w:color w:val="034DA2"/>
                  </w:rPr>
                  <w:t xml:space="preserve">NOTA TÉCNICA </w:t>
                </w:r>
                <w:r>
                  <w:rPr>
                    <w:rFonts w:ascii="Lexend" w:hAnsi="Lexend"/>
                    <w:b/>
                    <w:bCs/>
                    <w:noProof/>
                    <w:color w:val="034DA2"/>
                  </w:rPr>
                  <w:t>MÊS/ANO</w:t>
                </w:r>
              </w:p>
            </w:txbxContent>
          </v:textbox>
        </v:shape>
      </w:pict>
    </w:r>
    <w:r w:rsidR="008045EC" w:rsidRPr="003418AA">
      <w:rPr>
        <w:rFonts w:ascii="Lexend" w:hAnsi="Lexend"/>
        <w:b/>
        <w:bCs/>
        <w:noProof/>
        <w:color w:val="034DA2"/>
      </w:rPr>
      <w:drawing>
        <wp:anchor distT="0" distB="0" distL="114300" distR="114300" simplePos="0" relativeHeight="251661312" behindDoc="1" locked="0" layoutInCell="1" allowOverlap="1" wp14:anchorId="27883873" wp14:editId="2FEA4B00">
          <wp:simplePos x="0" y="0"/>
          <wp:positionH relativeFrom="page">
            <wp:posOffset>-516890</wp:posOffset>
          </wp:positionH>
          <wp:positionV relativeFrom="paragraph">
            <wp:posOffset>142875</wp:posOffset>
          </wp:positionV>
          <wp:extent cx="8068310" cy="494665"/>
          <wp:effectExtent l="0" t="0" r="8890" b="635"/>
          <wp:wrapNone/>
          <wp:docPr id="1187759470" name="Imagem 2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55768" name="Imagem 2" descr="Padrão do plano de fund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659"/>
                  <a:stretch>
                    <a:fillRect/>
                  </a:stretch>
                </pic:blipFill>
                <pic:spPr bwMode="auto">
                  <a:xfrm>
                    <a:off x="0" y="0"/>
                    <a:ext cx="8068310" cy="4946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1A42" w14:textId="77777777" w:rsidR="00E510E6" w:rsidRDefault="008045EC">
    <w:r>
      <w:rPr>
        <w:noProof/>
      </w:rPr>
      <w:drawing>
        <wp:anchor distT="0" distB="0" distL="114300" distR="114300" simplePos="0" relativeHeight="251659264" behindDoc="1" locked="0" layoutInCell="1" allowOverlap="1" wp14:anchorId="0CFAD78F" wp14:editId="0E2C3F47">
          <wp:simplePos x="0" y="0"/>
          <wp:positionH relativeFrom="page">
            <wp:posOffset>5112385</wp:posOffset>
          </wp:positionH>
          <wp:positionV relativeFrom="paragraph">
            <wp:posOffset>-267335</wp:posOffset>
          </wp:positionV>
          <wp:extent cx="2430601" cy="876300"/>
          <wp:effectExtent l="0" t="0" r="8255" b="0"/>
          <wp:wrapNone/>
          <wp:docPr id="1437058114" name="Imagem 1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909902" name="Imagem 1" descr="Padrão do plano de fund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263" t="4240" b="86905"/>
                  <a:stretch>
                    <a:fillRect/>
                  </a:stretch>
                </pic:blipFill>
                <pic:spPr bwMode="auto">
                  <a:xfrm>
                    <a:off x="0" y="0"/>
                    <a:ext cx="2430601" cy="876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08F4B31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1" v:ext="edit"/>
    <o:shapelayout v:ext="edit">
      <o:idmap data="2" v:ext="edit"/>
    </o:shapelayout>
  </w:hdrShapeDefaults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1BEB"/>
    <w:rsid w:val="00790B71"/>
    <w:rsid w:val="008045EC"/>
    <w:rsid w:val="00DA1BE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1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spacing w:after="0" w:line="360" w:lineRule="auto"/>
      <w:ind w:firstLine="708"/>
      <w:jc w:val="both"/>
    </w:pPr>
    <w:rPr>
      <w:rFonts w:ascii="Noto Sans" w:cs="Noto Sans" w:eastAsia="Noto Sans" w:hAnsi="Noto Sans"/>
      <w:sz w:val="20"/>
      <w:szCs w:val="20"/>
      <w:lang w:eastAsia="pt-BR" w:val="pt-BR"/>
    </w:rPr>
  </w:style>
  <w:style w:styleId="Ttulo1" w:type="paragraph">
    <w:name w:val="heading 1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0"/>
    </w:pPr>
    <w:rPr>
      <w:b/>
      <w:bCs/>
      <w:caps/>
      <w:color w:val="0070C0"/>
      <w:sz w:val="28"/>
      <w:szCs w:val="28"/>
    </w:rPr>
  </w:style>
  <w:style w:styleId="Ttulo2" w:type="paragraph">
    <w:name w:val="heading 2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1"/>
    </w:pPr>
    <w:rPr>
      <w:b/>
      <w:bCs/>
      <w:color w:val="0070C0"/>
      <w:sz w:val="28"/>
      <w:szCs w:val="28"/>
    </w:rPr>
  </w:style>
  <w:style w:styleId="Ttulo3" w:type="paragraph">
    <w:name w:val="heading 3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2"/>
    </w:pPr>
    <w:rPr>
      <w:b/>
      <w:bCs/>
      <w:i/>
      <w:iCs/>
      <w:color w:val="0070C0"/>
      <w:sz w:val="28"/>
      <w:szCs w:val="28"/>
    </w:rPr>
  </w:style>
  <w:style w:styleId="Ttulo4" w:type="paragraph">
    <w:name w:val="heading 4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3"/>
    </w:pPr>
    <w:rPr>
      <w:b/>
      <w:bCs/>
      <w:i/>
      <w:iCs/>
      <w:color w:val="0070C0"/>
      <w:sz w:val="28"/>
      <w:szCs w:val="28"/>
    </w:rPr>
  </w:style>
  <w:style w:styleId="Ttulo5" w:type="paragraph">
    <w:name w:val="heading 5"/>
    <w:basedOn w:val="Normal"/>
    <w:next w:val="FirstParagraph"/>
    <w:uiPriority w:val="9"/>
    <w:qFormat/>
    <w:pPr>
      <w:keepNext/>
      <w:keepLines/>
      <w:spacing w:after="240" w:before="360"/>
      <w:ind w:firstLine="0"/>
      <w:jc w:val="left"/>
      <w:outlineLvl w:val="4"/>
    </w:pPr>
    <w:rPr>
      <w:b/>
      <w:bCs/>
      <w:color w:val="0070C0"/>
      <w:sz w:val="28"/>
      <w:szCs w:val="28"/>
      <w:u w:val="single"/>
    </w:rPr>
  </w:style>
  <w:style w:styleId="Ttulo6" w:type="paragraph">
    <w:name w:val="heading 6"/>
    <w:basedOn w:val="Normal"/>
    <w:next w:val="Corpodetexto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Ttulo7" w:type="paragraph">
    <w:name w:val="heading 7"/>
    <w:basedOn w:val="Normal"/>
    <w:next w:val="Corpodetexto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Ttulo8" w:type="paragraph">
    <w:name w:val="heading 8"/>
    <w:basedOn w:val="Normal"/>
    <w:next w:val="Corpodetexto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Ttulo9" w:type="paragraph">
    <w:name w:val="heading 9"/>
    <w:basedOn w:val="Normal"/>
    <w:next w:val="Corpodetexto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link w:val="CorpodetextoChar"/>
    <w:qFormat/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line="240" w:lineRule="auto"/>
      <w:ind w:firstLine="0"/>
    </w:pPr>
  </w:style>
  <w:style w:styleId="Ttulo" w:type="paragraph">
    <w:name w:val="Title"/>
    <w:basedOn w:val="Normal"/>
    <w:next w:val="Normal"/>
    <w:qFormat/>
    <w:pPr>
      <w:keepNext/>
      <w:spacing w:after="120" w:line="240" w:lineRule="auto"/>
      <w:ind w:firstLine="0"/>
      <w:jc w:val="center"/>
    </w:pPr>
    <w:rPr>
      <w:b/>
      <w:color w:val="0070C0"/>
      <w:sz w:val="28"/>
      <w:szCs w:val="28"/>
    </w:rPr>
  </w:style>
  <w:style w:styleId="Subttulo" w:type="paragraph">
    <w:name w:val="Subtitle"/>
    <w:basedOn w:val="Normal"/>
    <w:next w:val="Normal"/>
    <w:qFormat/>
    <w:pPr>
      <w:keepNext/>
      <w:spacing w:after="240"/>
      <w:ind w:firstLine="0"/>
      <w:jc w:val="center"/>
    </w:pPr>
    <w:rPr>
      <w:sz w:val="24"/>
      <w:szCs w:val="24"/>
    </w:rPr>
  </w:style>
  <w:style w:customStyle="1" w:styleId="Author" w:type="paragraph">
    <w:name w:val="Author"/>
    <w:next w:val="Corpodetexto"/>
    <w:qFormat/>
    <w:pPr>
      <w:keepNext/>
      <w:keepLines/>
      <w:jc w:val="center"/>
    </w:pPr>
  </w:style>
  <w:style w:styleId="Data" w:type="paragraph">
    <w:name w:val="Date"/>
    <w:next w:val="Corpodetexto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</w:style>
  <w:style w:styleId="Bibliografia" w:type="paragraph">
    <w:name w:val="Bibliography"/>
    <w:basedOn w:val="Normal"/>
    <w:qFormat/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20" w:before="120" w:line="240" w:lineRule="auto"/>
      <w:ind w:firstLine="0" w:left="2268"/>
    </w:pPr>
    <w:rPr>
      <w:sz w:val="18"/>
      <w:szCs w:val="18"/>
    </w:rPr>
  </w:style>
  <w:style w:styleId="Textodenotaderodap" w:type="paragraph">
    <w:name w:val="footnote text"/>
    <w:basedOn w:val="Normal"/>
    <w:uiPriority w:val="9"/>
    <w:unhideWhenUsed/>
    <w:qFormat/>
  </w:style>
  <w:style w:customStyle="1" w:styleId="Table" w:type="table">
    <w:name w:val="Table"/>
    <w:uiPriority w:val="99"/>
    <w:qFormat/>
    <w:rsid w:val="00790B71"/>
    <w:pPr>
      <w:spacing w:after="0"/>
      <w:jc w:val="center"/>
    </w:pPr>
    <w:rPr>
      <w:rFonts w:ascii="Noto Sans" w:cs="Noto Sans" w:eastAsia="Noto Sans" w:hAnsi="Noto Sans"/>
      <w:sz w:val="18"/>
      <w:szCs w:val="18"/>
      <w:lang w:eastAsia="pt-BR" w:val="pt-BR"/>
    </w:rPr>
    <w:tblPr>
      <w:tblStyleRowBandSize w:val="1"/>
      <w:tblInd w:type="dxa" w:w="0"/>
      <w:tblBorders>
        <w:top w:color="0070C0" w:space="0" w:sz="8" w:val="single"/>
        <w:bottom w:color="0070C0" w:space="0" w:sz="8" w:val="single"/>
        <w:insideH w:color="D9D9D9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cPr>
      <w:vAlign w:val="center"/>
    </w:tcPr>
    <w:tblStylePr w:type="firstRow">
      <w:pPr>
        <w:jc w:val="center"/>
      </w:pPr>
      <w:rPr>
        <w:rFonts w:ascii="Noto Sans" w:cs="Noto Sans" w:eastAsia="Noto Sans" w:hAnsi="Noto Sans"/>
        <w:b/>
        <w:color w:val="FFFFFF"/>
        <w:sz w:val="18"/>
      </w:rPr>
      <w:tblPr/>
      <w:tcPr>
        <w:tcBorders>
          <w:top w:color="auto" w:space="0" w:sz="4" w:val="single"/>
          <w:bottom w:color="auto" w:space="0" w:sz="4" w:val="single"/>
        </w:tcBorders>
        <w:shd w:color="auto" w:fill="0070C0" w:val="clear"/>
      </w:tcPr>
    </w:tblStylePr>
    <w:tblStylePr w:type="firstCol">
      <w:pPr>
        <w:jc w:val="left"/>
      </w:pPr>
      <w:tblPr/>
      <w:tcPr>
        <w:tcBorders>
          <w:top w:val="nil"/>
          <w:bottom w:color="auto" w:space="0" w:sz="4" w:val="single"/>
        </w:tcBorders>
      </w:tcPr>
    </w:tblStylePr>
    <w:tblStylePr w:type="band1Horz">
      <w:pPr>
        <w:jc w:val="center"/>
      </w:pPr>
      <w:tblPr/>
      <w:tcPr>
        <w:shd w:color="auto" w:fill="F2F2F2" w:themeFill="background1" w:themeFillShade="F2" w:val="clear"/>
      </w:tcPr>
    </w:tblStylePr>
    <w:tblStylePr w:type="band2Horz">
      <w:pPr>
        <w:jc w:val="center"/>
      </w:pPr>
    </w:tblStylePr>
    <w:tblStylePr w:type="nwCell">
      <w:pPr>
        <w:jc w:val="left"/>
      </w:pPr>
      <w:rPr>
        <w:b/>
        <w:color w:val="FFFFFF"/>
      </w:rPr>
      <w:tblPr/>
      <w:tcPr>
        <w:shd w:color="auto" w:fill="0070C0" w:val="clear"/>
      </w:tcPr>
    </w:tblStylePr>
  </w:style>
  <w:style w:customStyle="1" w:styleId="TabelaTexto" w:type="paragraph">
    <w:name w:val="Tabela Texto"/>
    <w:basedOn w:val="Normal"/>
    <w:qFormat/>
    <w:pPr>
      <w:keepNext/>
      <w:spacing w:after="0" w:before="0" w:line="240" w:lineRule="auto"/>
      <w:ind w:firstLine="0"/>
      <w:jc w:val="left"/>
    </w:pPr>
    <w:rPr>
      <w:sz w:val="18"/>
      <w:szCs w:val="18"/>
    </w:r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next w:val="Normal"/>
    <w:qFormat/>
    <w:pPr>
      <w:keepNext/>
      <w:keepLines/>
      <w:spacing w:after="60" w:before="240" w:line="240" w:lineRule="auto"/>
      <w:ind w:firstLine="0"/>
      <w:jc w:val="center"/>
    </w:pPr>
    <w:rPr>
      <w:b/>
      <w:sz w:val="24"/>
      <w:szCs w:val="24"/>
    </w:rPr>
  </w:style>
  <w:style w:customStyle="1" w:styleId="TableCaption" w:type="paragraph">
    <w:name w:val="Table Caption"/>
    <w:basedOn w:val="Legenda"/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orpodetextoChar" w:type="character">
    <w:name w:val="Corpo de texto Char"/>
    <w:basedOn w:val="Fontepargpadro"/>
    <w:link w:val="Corpodetexto"/>
  </w:style>
  <w:style w:customStyle="1" w:styleId="VerbatimChar" w:type="character">
    <w:name w:val="Verbatim Char"/>
    <w:basedOn w:val="CorpodetextoChar"/>
    <w:rPr>
      <w:rFonts w:ascii="Consolas" w:hAnsi="Consolas"/>
      <w:sz w:val="22"/>
    </w:rPr>
  </w:style>
  <w:style w:customStyle="1" w:styleId="SectionNumber" w:type="character">
    <w:name w:val="Section Number"/>
    <w:basedOn w:val="CorpodetextoChar"/>
  </w:style>
  <w:style w:styleId="Refdenotaderodap" w:type="character">
    <w:name w:val="footnote reference"/>
    <w:basedOn w:val="CorpodetextoChar"/>
    <w:rPr>
      <w:vertAlign w:val="superscript"/>
    </w:rPr>
  </w:style>
  <w:style w:styleId="Hyperlink" w:type="character">
    <w:name w:val="Hyperlink"/>
    <w:basedOn w:val="CorpodetextoChar"/>
    <w:rPr>
      <w:color w:themeColor="accent1" w:val="4F81BD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ituloTabela" w:type="paragraph">
    <w:name w:val="TituloTabela"/>
    <w:basedOn w:val="Normal"/>
    <w:next w:val="Normal"/>
    <w:qFormat/>
    <w:pPr>
      <w:keepNext/>
      <w:keepLines/>
      <w:spacing w:after="60" w:before="240" w:line="240" w:lineRule="auto"/>
      <w:ind w:firstLine="0"/>
      <w:jc w:val="center"/>
    </w:pPr>
    <w:rPr>
      <w:b/>
      <w:sz w:val="24"/>
      <w:szCs w:val="24"/>
    </w:rPr>
  </w:style>
  <w:style w:customStyle="1" w:styleId="Fonte" w:type="paragraph">
    <w:name w:val="Fonte"/>
    <w:basedOn w:val="Normal"/>
    <w:next w:val="Normal"/>
    <w:qFormat/>
    <w:pPr>
      <w:spacing w:after="300" w:before="60" w:line="240" w:lineRule="auto"/>
      <w:ind w:firstLine="0"/>
      <w:jc w:val="left"/>
    </w:pPr>
  </w:style>
  <w:style w:customStyle="1" w:styleId="Nota" w:type="paragraph">
    <w:name w:val="Nota"/>
    <w:basedOn w:val="Normal"/>
    <w:next w:val="Fonte"/>
    <w:qFormat/>
    <w:pPr>
      <w:spacing w:after="60" w:line="240" w:lineRule="auto"/>
      <w:ind w:firstLine="0"/>
      <w:jc w:val="left"/>
    </w:pPr>
  </w:style>
  <w:style w:customStyle="1" w:styleId="Referencia" w:type="paragraph">
    <w:name w:val="Referencia"/>
    <w:basedOn w:val="Normal"/>
    <w:qFormat/>
    <w:pPr>
      <w:spacing w:after="240"/>
      <w:ind w:firstLine="0"/>
      <w:jc w:val="left"/>
    </w:pPr>
  </w:style>
  <w:style w:customStyle="1" w:styleId="TituloRecapitulo" w:type="paragraph">
    <w:name w:val="TituloRecapitulo"/>
    <w:basedOn w:val="Normal"/>
    <w:next w:val="SubtituloRecapitulo"/>
    <w:qFormat/>
    <w:pPr>
      <w:keepNext/>
      <w:ind w:firstLine="0"/>
      <w:jc w:val="center"/>
    </w:pPr>
    <w:rPr>
      <w:b/>
      <w:color w:val="0070C0"/>
      <w:sz w:val="28"/>
      <w:szCs w:val="28"/>
    </w:rPr>
  </w:style>
  <w:style w:customStyle="1" w:styleId="SubtituloRecapitulo" w:type="paragraph">
    <w:name w:val="SubtituloRecapitulo"/>
    <w:basedOn w:val="Normal"/>
    <w:next w:val="FirstParagraph"/>
    <w:qFormat/>
    <w:pPr>
      <w:spacing w:after="240"/>
      <w:ind w:firstLine="0"/>
      <w:jc w:val="center"/>
    </w:pPr>
    <w:rPr>
      <w:sz w:val="24"/>
      <w:szCs w:val="24"/>
    </w:rPr>
  </w:style>
  <w:style w:styleId="Tabelacomgrade" w:type="table">
    <w:name w:val="Table Grid"/>
    <w:basedOn w:val="Tabelanormal"/>
    <w:rsid w:val="00790B71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image" Id="rId19" Target="media/rId19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2" Target="media/rId32.pn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2026-09-21T16:03:50Z</dcterms:created>
  <dcterms:modified xsi:type="dcterms:W3CDTF">2026-09-21T16:03:50Z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