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A6E8" w14:textId="77777777" w:rsidR="00CC4C1E" w:rsidRDefault="006C088C">
      <w:pPr>
        <w:spacing w:before="2400" w:after="240"/>
        <w:jc w:val="center"/>
      </w:pPr>
      <w:r>
        <w:rPr>
          <w:b/>
          <w:bCs/>
          <w:sz w:val="32"/>
          <w:szCs w:val="32"/>
        </w:rPr>
        <w:t>ANÁLISE DE AGRUPAMENTOS ESPACIAIS DAS POTENCIALIDADES T1 E T2 — PIPELINE SHIFT-SHARE (CE+RIE)</w:t>
      </w:r>
    </w:p>
    <w:p w14:paraId="40CEC934" w14:textId="77777777" w:rsidR="00CC4C1E" w:rsidRDefault="006C088C">
      <w:pPr>
        <w:spacing w:after="1200"/>
        <w:jc w:val="center"/>
      </w:pPr>
      <w:r>
        <w:rPr>
          <w:sz w:val="26"/>
          <w:szCs w:val="26"/>
        </w:rPr>
        <w:t xml:space="preserve">Competitividade do emprego formal, </w:t>
      </w:r>
      <w:proofErr w:type="spellStart"/>
      <w:r>
        <w:rPr>
          <w:sz w:val="26"/>
          <w:szCs w:val="26"/>
        </w:rPr>
        <w:t>co-localização</w:t>
      </w:r>
      <w:proofErr w:type="spellEnd"/>
      <w:r>
        <w:rPr>
          <w:sz w:val="26"/>
          <w:szCs w:val="26"/>
        </w:rPr>
        <w:t xml:space="preserve"> setorial e robustez estatística — Piauí</w:t>
      </w:r>
    </w:p>
    <w:p w14:paraId="5809AF33" w14:textId="77777777" w:rsidR="00CC4C1E" w:rsidRDefault="006C088C">
      <w:pPr>
        <w:spacing w:after="120"/>
        <w:jc w:val="center"/>
      </w:pPr>
      <w:r>
        <w:t>Relatório analítico</w:t>
      </w:r>
    </w:p>
    <w:p w14:paraId="0693132B" w14:textId="77777777" w:rsidR="00CC4C1E" w:rsidRDefault="006C088C">
      <w:pPr>
        <w:spacing w:after="2400"/>
        <w:jc w:val="center"/>
      </w:pPr>
      <w:r>
        <w:rPr>
          <w:sz w:val="22"/>
          <w:szCs w:val="22"/>
        </w:rPr>
        <w:t xml:space="preserve">Fontes primárias: RAIS/MTE, IBGE (Malha Municipal 2025), DNIT/DER-PI, </w:t>
      </w:r>
      <w:proofErr w:type="spellStart"/>
      <w:r>
        <w:rPr>
          <w:sz w:val="22"/>
          <w:szCs w:val="22"/>
        </w:rPr>
        <w:t>OpenStreetMap</w:t>
      </w:r>
      <w:proofErr w:type="spellEnd"/>
    </w:p>
    <w:p w14:paraId="535311B7" w14:textId="77777777" w:rsidR="00CC4C1E" w:rsidRDefault="006C088C">
      <w:pPr>
        <w:jc w:val="center"/>
      </w:pPr>
      <w:r>
        <w:t>Teresina, 2026</w:t>
      </w:r>
    </w:p>
    <w:p w14:paraId="34DB830E" w14:textId="77777777" w:rsidR="00CC4C1E" w:rsidRDefault="006C088C">
      <w:r>
        <w:br w:type="page"/>
      </w:r>
    </w:p>
    <w:p w14:paraId="643F874D" w14:textId="77777777" w:rsidR="00CC4C1E" w:rsidRDefault="006C088C">
      <w:pPr>
        <w:spacing w:after="36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-587915191"/>
      </w:sdtPr>
      <w:sdtEndPr/>
      <w:sdtContent>
        <w:p w14:paraId="74367F4B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03211" w:history="1">
            <w:r w:rsidRPr="00FE020C">
              <w:rPr>
                <w:rStyle w:val="Hyperlink"/>
                <w:b/>
                <w:bCs/>
                <w:caps/>
                <w:noProof/>
              </w:rPr>
              <w:t>1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BE56C8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12" w:history="1">
            <w:r w:rsidRPr="00FE020C">
              <w:rPr>
                <w:rStyle w:val="Hyperlink"/>
                <w:b/>
                <w:bCs/>
                <w:caps/>
                <w:noProof/>
              </w:rPr>
              <w:t>2 ASPECTOS METODOLÓGICOS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141E48" w14:textId="77777777" w:rsidR="006C088C" w:rsidRDefault="006C088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3213" w:history="1">
            <w:r w:rsidRPr="00FE020C">
              <w:rPr>
                <w:rStyle w:val="Hyperlink"/>
                <w:b/>
                <w:bCs/>
                <w:noProof/>
              </w:rPr>
              <w:t>2.1 Dados e recorte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DA9204" w14:textId="77777777" w:rsidR="006C088C" w:rsidRDefault="006C088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3214" w:history="1">
            <w:r w:rsidRPr="00FE020C">
              <w:rPr>
                <w:rStyle w:val="Hyperlink"/>
                <w:b/>
                <w:bCs/>
                <w:noProof/>
              </w:rPr>
              <w:t>2.2 Estatísticas espaciais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205F79" w14:textId="77777777" w:rsidR="006C088C" w:rsidRDefault="006C088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3215" w:history="1">
            <w:r w:rsidRPr="00FE020C">
              <w:rPr>
                <w:rStyle w:val="Hyperlink"/>
                <w:b/>
                <w:bCs/>
                <w:noProof/>
              </w:rPr>
              <w:t>2.3 Verificações de robustez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FB6B64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16" w:history="1">
            <w:r w:rsidRPr="00FE020C">
              <w:rPr>
                <w:rStyle w:val="Hyperlink"/>
                <w:b/>
                <w:bCs/>
                <w:caps/>
                <w:noProof/>
              </w:rPr>
              <w:t>3 RESULTADOS DA ANÁLISE UNIVARIADA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53AB46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17" w:history="1">
            <w:r w:rsidRPr="00FE020C">
              <w:rPr>
                <w:rStyle w:val="Hyperlink"/>
                <w:b/>
                <w:bCs/>
                <w:caps/>
                <w:noProof/>
              </w:rPr>
              <w:t>4 ROBUSTEZ À ESPECIFICAÇÃO DE VIZINHANÇA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DE955C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18" w:history="1">
            <w:r w:rsidRPr="00FE020C">
              <w:rPr>
                <w:rStyle w:val="Hyperlink"/>
                <w:b/>
                <w:bCs/>
                <w:caps/>
                <w:noProof/>
              </w:rPr>
              <w:t>5 CONTROLE DE COMPARAÇÕES MÚLTIPLAS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14F112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19" w:history="1">
            <w:r w:rsidRPr="00FE020C">
              <w:rPr>
                <w:rStyle w:val="Hyperlink"/>
                <w:b/>
                <w:bCs/>
                <w:caps/>
                <w:noProof/>
              </w:rPr>
              <w:t>6 CO-LOCALIZAÇÃO: O NÚCLEO ROBUSTO DE PARES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7102C0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20" w:history="1">
            <w:r w:rsidRPr="00FE020C">
              <w:rPr>
                <w:rStyle w:val="Hyperlink"/>
                <w:b/>
                <w:bCs/>
                <w:caps/>
                <w:noProof/>
              </w:rPr>
              <w:t>7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8356F8" w14:textId="77777777" w:rsidR="006C088C" w:rsidRDefault="006C088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3221" w:history="1">
            <w:r w:rsidRPr="00FE020C">
              <w:rPr>
                <w:rStyle w:val="Hyperlink"/>
                <w:b/>
                <w:bCs/>
                <w:caps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AC2C0D" w14:textId="77777777" w:rsidR="00CC4C1E" w:rsidRDefault="006C088C">
          <w:r>
            <w:fldChar w:fldCharType="end"/>
          </w:r>
        </w:p>
      </w:sdtContent>
    </w:sdt>
    <w:p w14:paraId="6B22E542" w14:textId="77777777" w:rsidR="00CC4C1E" w:rsidRDefault="006C088C">
      <w:r>
        <w:br w:type="page"/>
      </w:r>
    </w:p>
    <w:p w14:paraId="34C1FC74" w14:textId="77777777" w:rsidR="00CC4C1E" w:rsidRDefault="006C088C">
      <w:pPr>
        <w:pStyle w:val="Ttulo1"/>
        <w:spacing w:before="360" w:after="240" w:line="360" w:lineRule="auto"/>
      </w:pPr>
      <w:bookmarkStart w:id="0" w:name="_Toc236903211"/>
      <w:r>
        <w:rPr>
          <w:b/>
          <w:bCs/>
          <w:caps/>
          <w:color w:val="000000"/>
          <w:sz w:val="24"/>
          <w:szCs w:val="24"/>
        </w:rPr>
        <w:lastRenderedPageBreak/>
        <w:t>1 INTRODUÇÃO</w:t>
      </w:r>
      <w:bookmarkEnd w:id="0"/>
    </w:p>
    <w:p w14:paraId="10FEC223" w14:textId="77777777" w:rsidR="00CC4C1E" w:rsidRDefault="006C088C">
      <w:pPr>
        <w:spacing w:line="360" w:lineRule="auto"/>
        <w:ind w:firstLine="708"/>
        <w:jc w:val="both"/>
      </w:pPr>
      <w:r>
        <w:t>Este relatório é a versão paralela, para o pipeline shift-</w:t>
      </w:r>
      <w:proofErr w:type="spellStart"/>
      <w:r>
        <w:t>share</w:t>
      </w:r>
      <w:proofErr w:type="spellEnd"/>
      <w:r>
        <w:t>, da análise de agrupamentos espaciais das potencialidades T1 e T2 do Piauí. Enquanto o relatório companheiro examina os estoques físicos e de emprego consolidados (pipeline de estoques, com da</w:t>
      </w:r>
      <w:r>
        <w:t>dos da PAM, PPM, PEVS e RAIS), este documento analisa a dimensão dinâmica das mesmas potencialidades: a soma dos componentes competitivo estrutural (CE) e regional idiossincrático (RIE) da decomposição shift-</w:t>
      </w:r>
      <w:proofErr w:type="spellStart"/>
      <w:r>
        <w:t>share</w:t>
      </w:r>
      <w:proofErr w:type="spellEnd"/>
      <w:r>
        <w:t xml:space="preserve"> do emprego formal, que mede quanto da vari</w:t>
      </w:r>
      <w:r>
        <w:t>ação do vínculo formal municipal excede o que a estrutura setorial nacional explicaria. Em termos simples, o relatório de estoques responde onde a potencialidade é grande; este responde onde ela está ganhando competitividade.</w:t>
      </w:r>
    </w:p>
    <w:p w14:paraId="186A83F2" w14:textId="77777777" w:rsidR="00CC4C1E" w:rsidRDefault="006C088C">
      <w:pPr>
        <w:spacing w:line="360" w:lineRule="auto"/>
        <w:ind w:firstLine="708"/>
        <w:jc w:val="both"/>
      </w:pPr>
      <w:r>
        <w:t>Os objetivos específicos são o</w:t>
      </w:r>
      <w:r>
        <w:t xml:space="preserve">s mesmos da versão companheira: mapear os aglomerados municipais Alto-Alto de cada subclasse elegível por meio de indicadores locais de associação espacial (LISA); identificar os pares de subclasses espacialmente </w:t>
      </w:r>
      <w:proofErr w:type="spellStart"/>
      <w:r>
        <w:t>co-localizados</w:t>
      </w:r>
      <w:proofErr w:type="spellEnd"/>
      <w:r>
        <w:t xml:space="preserve"> pela autocorrelação bivariad</w:t>
      </w:r>
      <w:r>
        <w:t>a; e qualificar cada resultado pelos dois critérios de robustez do projeto — estabilidade sob quatro matrizes alternativas de vizinhança, incluindo as construídas sobre a malha rodoviária real e sobre tempos de viagem, e sobrevivência à correção de compara</w:t>
      </w:r>
      <w:r>
        <w:t>ções múltiplas pela taxa de falsas descobertas (FDR).</w:t>
      </w:r>
    </w:p>
    <w:p w14:paraId="49549C7A" w14:textId="77777777" w:rsidR="00CC4C1E" w:rsidRDefault="006C088C">
      <w:pPr>
        <w:spacing w:line="360" w:lineRule="auto"/>
        <w:ind w:firstLine="708"/>
        <w:jc w:val="both"/>
      </w:pPr>
      <w:r>
        <w:t xml:space="preserve">O documento segue a mesma estrutura da versão companheira: aspectos metodológicos (seção 2), resultados </w:t>
      </w:r>
      <w:proofErr w:type="spellStart"/>
      <w:r>
        <w:t>univariados</w:t>
      </w:r>
      <w:proofErr w:type="spellEnd"/>
      <w:r>
        <w:t xml:space="preserve"> (seção 3), robustez à especificação de vizinhança (seção 4), controle de comparações m</w:t>
      </w:r>
      <w:r>
        <w:t>últiplas (seção 5), análise bivariada com o núcleo robusto (seção 6) e considerações finais (seção 7), que incluem o contraste sistemático entre os dois pipelines.</w:t>
      </w:r>
    </w:p>
    <w:p w14:paraId="4E03CBB0" w14:textId="77777777" w:rsidR="00CC4C1E" w:rsidRDefault="006C088C">
      <w:pPr>
        <w:pStyle w:val="Ttulo1"/>
        <w:spacing w:before="360" w:after="240" w:line="360" w:lineRule="auto"/>
      </w:pPr>
      <w:bookmarkStart w:id="1" w:name="_Toc236903212"/>
      <w:r>
        <w:rPr>
          <w:b/>
          <w:bCs/>
          <w:caps/>
          <w:color w:val="000000"/>
          <w:sz w:val="24"/>
          <w:szCs w:val="24"/>
        </w:rPr>
        <w:t>2 ASPECTOS METODOLÓGICOS</w:t>
      </w:r>
      <w:bookmarkEnd w:id="1"/>
    </w:p>
    <w:p w14:paraId="02A9F0D7" w14:textId="77777777" w:rsidR="00CC4C1E" w:rsidRDefault="006C088C">
      <w:pPr>
        <w:pStyle w:val="Ttulo2"/>
        <w:spacing w:before="360" w:after="240" w:line="360" w:lineRule="auto"/>
      </w:pPr>
      <w:bookmarkStart w:id="2" w:name="_Toc236903213"/>
      <w:r>
        <w:rPr>
          <w:b/>
          <w:bCs/>
          <w:color w:val="000000"/>
          <w:sz w:val="24"/>
          <w:szCs w:val="24"/>
        </w:rPr>
        <w:t>2.1 Dados e recorte</w:t>
      </w:r>
      <w:bookmarkEnd w:id="2"/>
    </w:p>
    <w:p w14:paraId="4C8909AC" w14:textId="77777777" w:rsidR="00CC4C1E" w:rsidRDefault="006C088C">
      <w:pPr>
        <w:spacing w:line="360" w:lineRule="auto"/>
        <w:ind w:firstLine="708"/>
        <w:jc w:val="both"/>
      </w:pPr>
      <w:r>
        <w:t>A base de origem é o consolidado shift-</w:t>
      </w:r>
      <w:proofErr w:type="spellStart"/>
      <w:r>
        <w:t>share</w:t>
      </w:r>
      <w:proofErr w:type="spellEnd"/>
      <w:r>
        <w:t xml:space="preserve"> do</w:t>
      </w:r>
      <w:r>
        <w:t xml:space="preserve"> emprego formal (RAIS/MTE), com 915.936 registros para o Piauí, cobrindo três janelas de comparação (anos-base 2013, 2018 e 2022, ano final 2025). O filtro pelas classes T1 e T2 — que, por construção, exigem CE e RIE simultaneamente positivos — retém 6.198</w:t>
      </w:r>
      <w:r>
        <w:t xml:space="preserve"> registros com decomposição válida. Quando um par município–subclasse aparece em mais de uma janela, mantém-se a observação de maior CE+RIE, resultando em 3.920 pares distintos, distribuídos por 650 subclasses e 222 dos 224 municípios do estado (Pau D’Arco</w:t>
      </w:r>
      <w:r>
        <w:t xml:space="preserve"> do Piauí e Pedro Laurentino não registram potencialidade </w:t>
      </w:r>
      <w:r>
        <w:lastRenderedPageBreak/>
        <w:t>classificada com decomposição válida no período). A malha territorial é a Malha Municipal Digital 2025 do IBGE.</w:t>
      </w:r>
    </w:p>
    <w:p w14:paraId="4044F3B6" w14:textId="77777777" w:rsidR="00CC4C1E" w:rsidRDefault="006C088C">
      <w:pPr>
        <w:spacing w:line="360" w:lineRule="auto"/>
        <w:ind w:firstLine="708"/>
        <w:jc w:val="both"/>
      </w:pPr>
      <w:r>
        <w:t>A variável de intensidade é CE+RIE, transformada pela função logarítmica sinalizada, s</w:t>
      </w:r>
      <w:r>
        <w:t>inal(x)·log1p(|x|), adotada no projeto para acomodar valores negativos. No recorte T1/T2, contudo, todos os valores são positivos por definição, e a transformação equivale ao log1p simples — o que preserva a comparabilidade plena com o relatório de estoque</w:t>
      </w:r>
      <w:r>
        <w:t>s. Municípios sem o registro recebem valor zero.</w:t>
      </w:r>
    </w:p>
    <w:p w14:paraId="304670FF" w14:textId="77777777" w:rsidR="00CC4C1E" w:rsidRDefault="006C088C">
      <w:pPr>
        <w:pStyle w:val="Ttulo2"/>
        <w:spacing w:before="360" w:after="240" w:line="360" w:lineRule="auto"/>
      </w:pPr>
      <w:bookmarkStart w:id="3" w:name="_Toc236903214"/>
      <w:r>
        <w:rPr>
          <w:b/>
          <w:bCs/>
          <w:color w:val="000000"/>
          <w:sz w:val="24"/>
          <w:szCs w:val="24"/>
        </w:rPr>
        <w:t>2.2 Estatísticas espaciais</w:t>
      </w:r>
      <w:bookmarkEnd w:id="3"/>
    </w:p>
    <w:p w14:paraId="1969C559" w14:textId="77777777" w:rsidR="00CC4C1E" w:rsidRDefault="006C088C">
      <w:pPr>
        <w:spacing w:line="360" w:lineRule="auto"/>
        <w:ind w:firstLine="708"/>
        <w:jc w:val="both"/>
      </w:pPr>
      <w:r>
        <w:t xml:space="preserve">A análise </w:t>
      </w:r>
      <w:proofErr w:type="spellStart"/>
      <w:r>
        <w:t>univariada</w:t>
      </w:r>
      <w:proofErr w:type="spellEnd"/>
      <w:r>
        <w:t xml:space="preserve"> usa o I de Moran local (LISA) com matriz de contiguidade Queen padronizada por linha, 999 permutações condicionais e semente 42, ao nível de significância de 5%, para as 87 subclasses presentes em ao menos dez municípios. O I de Moran </w:t>
      </w:r>
      <w:r>
        <w:t xml:space="preserve">global, sob as mesmas permutações, ordena a força do agrupamento. A análise bivariada usa o I de Moran bivariado global e local (variável focal contra a defasagem espacial da parceira), para os 7.047 pares ordenados com ao menos cinco municípios de </w:t>
      </w:r>
      <w:proofErr w:type="spellStart"/>
      <w:r>
        <w:t>coprese</w:t>
      </w:r>
      <w:r>
        <w:t>nça</w:t>
      </w:r>
      <w:proofErr w:type="spellEnd"/>
      <w:r>
        <w:t>.</w:t>
      </w:r>
    </w:p>
    <w:p w14:paraId="09C4B197" w14:textId="77777777" w:rsidR="00CC4C1E" w:rsidRDefault="006C088C">
      <w:pPr>
        <w:pStyle w:val="Ttulo2"/>
        <w:spacing w:before="360" w:after="240" w:line="360" w:lineRule="auto"/>
      </w:pPr>
      <w:bookmarkStart w:id="4" w:name="_Toc236903215"/>
      <w:r>
        <w:rPr>
          <w:b/>
          <w:bCs/>
          <w:color w:val="000000"/>
          <w:sz w:val="24"/>
          <w:szCs w:val="24"/>
        </w:rPr>
        <w:t>2.3 Verificações de robustez</w:t>
      </w:r>
      <w:bookmarkEnd w:id="4"/>
    </w:p>
    <w:p w14:paraId="59DDA18E" w14:textId="77777777" w:rsidR="00CC4C1E" w:rsidRDefault="006C088C">
      <w:pPr>
        <w:spacing w:line="360" w:lineRule="auto"/>
        <w:ind w:firstLine="708"/>
        <w:jc w:val="both"/>
      </w:pPr>
      <w:r>
        <w:t>As verificações replicam integralmente as da versão companheira. Todos os indicadores foram recalculados sob quatro especificações alternativas de vizinhança: k vizinhos mais próximos (k = 5); distância inversa euclidiana com banda de 76,5 km; distância ro</w:t>
      </w:r>
      <w:r>
        <w:t xml:space="preserve">doviária inversa sobre a malha viária estadual e federal construída (13,9 mil km, banda conexa de 107,9 km); e tempo de viagem inverso entre sedes municipais, extraído do </w:t>
      </w:r>
      <w:proofErr w:type="spellStart"/>
      <w:r>
        <w:t>OpenRouteService</w:t>
      </w:r>
      <w:proofErr w:type="spellEnd"/>
      <w:r>
        <w:t xml:space="preserve"> sobre a base </w:t>
      </w:r>
      <w:proofErr w:type="spellStart"/>
      <w:r>
        <w:t>OpenStreetMap</w:t>
      </w:r>
      <w:proofErr w:type="spellEnd"/>
      <w:r>
        <w:t xml:space="preserve"> (banda conexa de 133 minutos). O controle</w:t>
      </w:r>
      <w:r>
        <w:t xml:space="preserve"> de comparações múltiplas usa o procedimento de </w:t>
      </w:r>
      <w:proofErr w:type="spellStart"/>
      <w:r>
        <w:t>Benjamini</w:t>
      </w:r>
      <w:proofErr w:type="spellEnd"/>
      <w:r>
        <w:t xml:space="preserve"> e </w:t>
      </w:r>
      <w:proofErr w:type="spellStart"/>
      <w:r>
        <w:t>Hochberg</w:t>
      </w:r>
      <w:proofErr w:type="spellEnd"/>
      <w:r>
        <w:t xml:space="preserve"> (1995), na aplicação de Castro e Singer (2006) a estatísticas locais, com </w:t>
      </w:r>
      <w:proofErr w:type="spellStart"/>
      <w:r>
        <w:t>pseudo</w:t>
      </w:r>
      <w:proofErr w:type="spellEnd"/>
      <w:r>
        <w:t xml:space="preserve"> p-valores recalculados sob 9.999 permutações.</w:t>
      </w:r>
    </w:p>
    <w:p w14:paraId="268BAB2A" w14:textId="77777777" w:rsidR="00CC4C1E" w:rsidRDefault="006C088C">
      <w:pPr>
        <w:spacing w:line="360" w:lineRule="auto"/>
        <w:ind w:firstLine="708"/>
        <w:jc w:val="both"/>
      </w:pPr>
      <w:r>
        <w:t>Às ressalvas da versão companheira — tempos de viagem modela</w:t>
      </w:r>
      <w:r>
        <w:t>dos, quatro municípios com tempos imputados (R² = 0,933), caráter exploratório dos resultados fora dos filtros de robustez — soma-se uma específica deste pipeline: por medir componentes de variação entre janelas temporais, e não níveis acumulados, a variáv</w:t>
      </w:r>
      <w:r>
        <w:t>el CE+RIE é estruturalmente mais ruidosa que o estoque, e a comparação entre as seções 3 a 6 deste relatório e as correspondentes do relatório de estoques deve ser lida com essa assimetria em mente.</w:t>
      </w:r>
    </w:p>
    <w:p w14:paraId="57323748" w14:textId="77777777" w:rsidR="00CC4C1E" w:rsidRDefault="006C088C">
      <w:pPr>
        <w:pStyle w:val="Ttulo1"/>
        <w:spacing w:before="360" w:after="240" w:line="360" w:lineRule="auto"/>
      </w:pPr>
      <w:bookmarkStart w:id="5" w:name="_Toc236903216"/>
      <w:r>
        <w:rPr>
          <w:b/>
          <w:bCs/>
          <w:caps/>
          <w:color w:val="000000"/>
          <w:sz w:val="24"/>
          <w:szCs w:val="24"/>
        </w:rPr>
        <w:t>3 RESULTADOS DA ANÁLISE UNIVARIADA</w:t>
      </w:r>
      <w:bookmarkEnd w:id="5"/>
    </w:p>
    <w:p w14:paraId="3C7FBADE" w14:textId="77777777" w:rsidR="00CC4C1E" w:rsidRDefault="006C088C">
      <w:pPr>
        <w:spacing w:line="360" w:lineRule="auto"/>
        <w:ind w:firstLine="708"/>
        <w:jc w:val="both"/>
      </w:pPr>
      <w:r>
        <w:lastRenderedPageBreak/>
        <w:t>Das 87 subclasses eleg</w:t>
      </w:r>
      <w:r>
        <w:t>íveis, 28 apresentam autocorrelação espacial global positiva e estatisticamente significativa. Entre elas, 97 observações municipais caem em núcleos Alto-Alto significativos, distribuídas por apenas 33 municípios distintos — uma geografia muito mais concen</w:t>
      </w:r>
      <w:r>
        <w:t>trada que a dos estoques, na qual 185 municípios participavam de algum aglomerado. A dinâmica competitiva, portanto, não acompanha a difusão territorial dos estoques: ela se adensa em poucos polos. A Tabela 1 apresenta as doze subclasses de agrupamento mai</w:t>
      </w:r>
      <w:r>
        <w:t>s forte.</w:t>
      </w:r>
    </w:p>
    <w:p w14:paraId="0B30BE34" w14:textId="77777777" w:rsidR="00CC4C1E" w:rsidRDefault="006C088C">
      <w:pPr>
        <w:keepNext/>
        <w:keepLines/>
        <w:spacing w:before="240" w:after="60"/>
      </w:pPr>
      <w:r>
        <w:rPr>
          <w:sz w:val="22"/>
          <w:szCs w:val="22"/>
        </w:rPr>
        <w:t>Tabela 1 – Subclasses T1/T2 com agrupamento espacial mais forte da dinâmica competitiva (CE+RIE), com indicadores de robustez – Piauí – 2013-2025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1078"/>
        <w:gridCol w:w="1078"/>
        <w:gridCol w:w="1078"/>
        <w:gridCol w:w="1078"/>
        <w:gridCol w:w="1078"/>
        <w:gridCol w:w="1078"/>
      </w:tblGrid>
      <w:tr w:rsidR="00CC4C1E" w14:paraId="75708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3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FD856A" w14:textId="77777777" w:rsidR="00CC4C1E" w:rsidRDefault="006C088C">
            <w:pPr>
              <w:spacing w:line="200" w:lineRule="auto"/>
            </w:pPr>
            <w:r>
              <w:rPr>
                <w:b/>
                <w:bCs/>
                <w:sz w:val="14"/>
                <w:szCs w:val="14"/>
              </w:rPr>
              <w:t>Subclasse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41A04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Municípios presentes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96AB26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I de Moran global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30A447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1AF89A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Núcleos AA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C030B9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Pós-FDR (</w:t>
            </w:r>
            <w:proofErr w:type="spellStart"/>
            <w:r>
              <w:rPr>
                <w:b/>
                <w:bCs/>
                <w:sz w:val="14"/>
                <w:szCs w:val="14"/>
              </w:rPr>
              <w:t>sig</w:t>
            </w:r>
            <w:proofErr w:type="spellEnd"/>
            <w:r>
              <w:rPr>
                <w:b/>
                <w:bCs/>
                <w:sz w:val="14"/>
                <w:szCs w:val="14"/>
              </w:rPr>
              <w:t>.)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19D797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Robustos às 4 W alt.</w:t>
            </w:r>
          </w:p>
        </w:tc>
      </w:tr>
      <w:tr w:rsidR="00CC4C1E" w14:paraId="11EDFA9F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ECE4B5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Cultivo de arroz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0EF54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E58D6D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0,229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F4B2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274E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6C81A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B6267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</w:t>
            </w:r>
          </w:p>
        </w:tc>
      </w:tr>
      <w:tr w:rsidR="00CC4C1E" w14:paraId="2CABEBEE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B46E5D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Hotéis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FAE65D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644BF1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0,216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C1FAF8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C5F28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F71DB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125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3B86B6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13</w:t>
            </w:r>
          </w:p>
        </w:tc>
      </w:tr>
      <w:tr w:rsidR="00CC4C1E" w14:paraId="4ACE01A9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86CDF2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Criação de frangos para corte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979782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BFA7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0,156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E58A51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0,009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F822DD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5E3F2B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AA280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</w:tr>
      <w:tr w:rsidR="00CC4C1E" w14:paraId="4E886368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2292ED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Cultivo de soja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6B6278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AD5D4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0,155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E1264B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86E47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84FB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165A06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</w:tr>
      <w:tr w:rsidR="00CC4C1E" w14:paraId="2208A6FF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5A74B5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Criação de bovinos para corte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3C1B1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E94629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0,150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55AD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EA38E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94DC9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127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E05AD1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42</w:t>
            </w:r>
          </w:p>
        </w:tc>
      </w:tr>
      <w:tr w:rsidR="00CC4C1E" w14:paraId="1083ADB5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FB386A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Comércio varejista de animais vivos e de artigos e…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001B2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DAC3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0,136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043CF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A4326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2DEB9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B2C6D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</w:tr>
      <w:tr w:rsidR="00CC4C1E" w14:paraId="567C093B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BACAE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Comércio varejista de artigos de papelaria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C6455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71D18B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0,111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091F9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0,011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CB415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454D1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AA61F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</w:tr>
      <w:tr w:rsidR="00CC4C1E" w14:paraId="26F24B1C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AFC7D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Restaurantes e similares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35425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3FECD7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0,111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6D9BAA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9C55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57441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99192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</w:tr>
      <w:tr w:rsidR="00CC4C1E" w14:paraId="45043E90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82612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Comércio varejista de bebidas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196385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0BBD22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0,107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396B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0,012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9003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AC1E9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DDBF6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</w:tr>
      <w:tr w:rsidR="00CC4C1E" w14:paraId="550581DB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E0EEFB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 xml:space="preserve">Comércio varejista de artigos do vestuário e </w:t>
            </w:r>
            <w:proofErr w:type="spellStart"/>
            <w:r>
              <w:rPr>
                <w:sz w:val="14"/>
                <w:szCs w:val="14"/>
              </w:rPr>
              <w:t>acess</w:t>
            </w:r>
            <w:proofErr w:type="spellEnd"/>
            <w:r>
              <w:rPr>
                <w:sz w:val="14"/>
                <w:szCs w:val="14"/>
              </w:rPr>
              <w:t>…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3CF6C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D3800B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0,104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3DA5F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D471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C989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49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5C578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7</w:t>
            </w:r>
          </w:p>
        </w:tc>
      </w:tr>
      <w:tr w:rsidR="00CC4C1E" w14:paraId="57456263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5392AA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 xml:space="preserve">Serviços combinados de escritório e apoio </w:t>
            </w:r>
            <w:proofErr w:type="spellStart"/>
            <w:r>
              <w:rPr>
                <w:sz w:val="14"/>
                <w:szCs w:val="14"/>
              </w:rPr>
              <w:t>administ</w:t>
            </w:r>
            <w:proofErr w:type="spellEnd"/>
            <w:r>
              <w:rPr>
                <w:sz w:val="14"/>
                <w:szCs w:val="14"/>
              </w:rPr>
              <w:t>…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E5102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E69DF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0,102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47816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0,020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3AF586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E9F19D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E70F5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</w:tr>
      <w:tr w:rsidR="00CC4C1E" w14:paraId="26414F28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DC569E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Educação infantil - pré-escola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F3BF6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0250E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0,101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E72F4C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0,015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0E4DF9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D241B8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2FF7C7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</w:tr>
    </w:tbl>
    <w:p w14:paraId="32867E69" w14:textId="77777777" w:rsidR="00CC4C1E" w:rsidRDefault="006C088C">
      <w:pPr>
        <w:spacing w:after="60"/>
        <w:jc w:val="both"/>
      </w:pPr>
      <w:r>
        <w:rPr>
          <w:sz w:val="20"/>
          <w:szCs w:val="20"/>
        </w:rPr>
        <w:t xml:space="preserve">Nota: "Pós-FDR" é o número de municípios significativos em qualquer quadrante após a correção de </w:t>
      </w:r>
      <w:proofErr w:type="spellStart"/>
      <w:r>
        <w:rPr>
          <w:sz w:val="20"/>
          <w:szCs w:val="20"/>
        </w:rPr>
        <w:t>Benjamini</w:t>
      </w:r>
      <w:proofErr w:type="spellEnd"/>
      <w:r>
        <w:rPr>
          <w:sz w:val="20"/>
          <w:szCs w:val="20"/>
        </w:rPr>
        <w:t>–</w:t>
      </w:r>
      <w:proofErr w:type="spellStart"/>
      <w:r>
        <w:rPr>
          <w:sz w:val="20"/>
          <w:szCs w:val="20"/>
        </w:rPr>
        <w:t>Hochberg</w:t>
      </w:r>
      <w:proofErr w:type="spellEnd"/>
      <w:r>
        <w:rPr>
          <w:sz w:val="20"/>
          <w:szCs w:val="20"/>
        </w:rPr>
        <w:t xml:space="preserve"> (9.999 permutações) — inclui núcleos Baixo-Baixo de ausência conjunta, podendo por isso exceder o número de municípios presentes; "Robustos </w:t>
      </w:r>
      <w:r>
        <w:rPr>
          <w:sz w:val="20"/>
          <w:szCs w:val="20"/>
        </w:rPr>
        <w:t>às 4 W alt." é o número de núcleos que mantêm o quadrante sob as quatro matrizes alternativas.</w:t>
      </w:r>
    </w:p>
    <w:p w14:paraId="6CAC438E" w14:textId="77777777" w:rsidR="00CC4C1E" w:rsidRDefault="006C088C">
      <w:pPr>
        <w:spacing w:before="60" w:after="300"/>
      </w:pPr>
      <w:r>
        <w:rPr>
          <w:sz w:val="20"/>
          <w:szCs w:val="20"/>
        </w:rPr>
        <w:t>Fonte: elaboração própria a partir de RAIS/MTE (2025).</w:t>
      </w:r>
    </w:p>
    <w:p w14:paraId="27A88E61" w14:textId="77777777" w:rsidR="00CC4C1E" w:rsidRDefault="006C088C">
      <w:pPr>
        <w:spacing w:line="360" w:lineRule="auto"/>
        <w:ind w:firstLine="708"/>
        <w:jc w:val="both"/>
      </w:pPr>
      <w:r>
        <w:t>A intensidade do agrupamento é sistematicamente menor que no pipeline de estoques: o I de Moran máximo é 0</w:t>
      </w:r>
      <w:r>
        <w:t>,229 (cultivo de arroz), contra 0,720 (mel de abelha) na versão companheira. A composição setorial também muda de natureza: em vez das cadeias agropecuárias e extrativas que dominam os estoques, o topo da dinâmica competitiva mistura agricultura empresaria</w:t>
      </w:r>
      <w:r>
        <w:t xml:space="preserve">l (arroz, soja, frangos e bovinos de corte) com um bloco de serviços urbanos e de consumo — hotéis, restaurantes, comércio varejista de vestuário, papelaria e bebidas, serviços administrativos e educação infantil. É o retrato de onde o emprego formal está </w:t>
      </w:r>
      <w:r>
        <w:t>ganhando competitividade, e não de onde a produção acumulada é maior.</w:t>
      </w:r>
    </w:p>
    <w:p w14:paraId="086AF961" w14:textId="77777777" w:rsidR="00CC4C1E" w:rsidRDefault="006C088C">
      <w:pPr>
        <w:spacing w:line="360" w:lineRule="auto"/>
        <w:ind w:firstLine="708"/>
        <w:jc w:val="both"/>
      </w:pPr>
      <w:r>
        <w:t>A geografia dos núcleos Alto-Alto confirma a concentração: União (13 subclasses em núcleo AA), Teresina e José de Freitas (10 cada), Altos (9) e Demerval Lobão (5) reproduzem o quadrilát</w:t>
      </w:r>
      <w:r>
        <w:t xml:space="preserve">ero metropolitano já identificado nos estoques; a eles somam-se </w:t>
      </w:r>
      <w:proofErr w:type="spellStart"/>
      <w:r>
        <w:t>Nazária</w:t>
      </w:r>
      <w:proofErr w:type="spellEnd"/>
      <w:r>
        <w:t>, o litoral (Luís Correia) e um ponto isolado na fronteira de grãos (Baixa Grande do Ribeiro). A Figura 1 mapeia essa distribuição.</w:t>
      </w:r>
    </w:p>
    <w:p w14:paraId="0AEDC56C" w14:textId="77777777" w:rsidR="00CC4C1E" w:rsidRDefault="006C088C">
      <w:pPr>
        <w:keepNext/>
        <w:keepLines/>
        <w:spacing w:before="240" w:after="60"/>
      </w:pPr>
      <w:r>
        <w:rPr>
          <w:sz w:val="22"/>
          <w:szCs w:val="22"/>
        </w:rPr>
        <w:lastRenderedPageBreak/>
        <w:t>Figura 1 – Número de subclasses T1/T2 em núcleo Alto-</w:t>
      </w:r>
      <w:r>
        <w:rPr>
          <w:sz w:val="22"/>
          <w:szCs w:val="22"/>
        </w:rPr>
        <w:t>Alto significativo da dinâmica competitiva, por município – Piauí – 2013-2025</w:t>
      </w:r>
    </w:p>
    <w:p w14:paraId="5EBB8923" w14:textId="77777777" w:rsidR="00CC4C1E" w:rsidRDefault="006C088C">
      <w:pPr>
        <w:jc w:val="center"/>
      </w:pPr>
      <w:r>
        <w:rPr>
          <w:noProof/>
        </w:rPr>
        <w:drawing>
          <wp:inline distT="0" distB="0" distL="0" distR="0" wp14:anchorId="489292AA" wp14:editId="3A1154C2">
            <wp:extent cx="5715000" cy="6715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9CD" w14:textId="77777777" w:rsidR="00CC4C1E" w:rsidRDefault="006C088C">
      <w:pPr>
        <w:spacing w:after="60"/>
        <w:jc w:val="both"/>
      </w:pPr>
      <w:r>
        <w:rPr>
          <w:sz w:val="20"/>
          <w:szCs w:val="20"/>
        </w:rPr>
        <w:t>Nota: contorno em destaque nos oito municípios de maior contagem.</w:t>
      </w:r>
    </w:p>
    <w:p w14:paraId="30E41181" w14:textId="77777777" w:rsidR="00CC4C1E" w:rsidRDefault="006C088C">
      <w:pPr>
        <w:spacing w:before="60" w:after="300"/>
      </w:pPr>
      <w:r>
        <w:rPr>
          <w:sz w:val="20"/>
          <w:szCs w:val="20"/>
        </w:rPr>
        <w:t>Fonte: elaboração própria a partir de RAIS/MTE (2025).</w:t>
      </w:r>
    </w:p>
    <w:p w14:paraId="38804826" w14:textId="77777777" w:rsidR="00CC4C1E" w:rsidRDefault="006C088C">
      <w:pPr>
        <w:pStyle w:val="Ttulo1"/>
        <w:spacing w:before="360" w:after="240" w:line="360" w:lineRule="auto"/>
      </w:pPr>
      <w:bookmarkStart w:id="6" w:name="_Toc236903217"/>
      <w:r>
        <w:rPr>
          <w:b/>
          <w:bCs/>
          <w:caps/>
          <w:color w:val="000000"/>
          <w:sz w:val="24"/>
          <w:szCs w:val="24"/>
        </w:rPr>
        <w:t>4 ROBUSTEZ À ESPECIFICAÇÃO DE VIZINHANÇA</w:t>
      </w:r>
      <w:bookmarkEnd w:id="6"/>
    </w:p>
    <w:p w14:paraId="2C5C9BD1" w14:textId="77777777" w:rsidR="00CC4C1E" w:rsidRDefault="006C088C">
      <w:pPr>
        <w:spacing w:line="360" w:lineRule="auto"/>
        <w:ind w:firstLine="708"/>
        <w:jc w:val="both"/>
      </w:pPr>
      <w:r>
        <w:t>A Tabela 2 resume a estabilidade dos resultados quando a matriz Queen é substituída pelas quatro especificações alternativas.</w:t>
      </w:r>
    </w:p>
    <w:p w14:paraId="77D27BBC" w14:textId="77777777" w:rsidR="00CC4C1E" w:rsidRDefault="006C088C">
      <w:pPr>
        <w:keepNext/>
        <w:keepLines/>
        <w:spacing w:before="240" w:after="60"/>
      </w:pPr>
      <w:r>
        <w:rPr>
          <w:sz w:val="22"/>
          <w:szCs w:val="22"/>
        </w:rPr>
        <w:lastRenderedPageBreak/>
        <w:t>Tabela 2 – Proporção dos resultados significativos sob Queen mantidos sob matrizes alternativas de vizinhança – pipeline CE+RIE, r</w:t>
      </w:r>
      <w:r>
        <w:rPr>
          <w:sz w:val="22"/>
          <w:szCs w:val="22"/>
        </w:rPr>
        <w:t>ecorte T1+T2 – Piauí – 2013-2025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1145"/>
        <w:gridCol w:w="1145"/>
        <w:gridCol w:w="1145"/>
        <w:gridCol w:w="1145"/>
        <w:gridCol w:w="1145"/>
        <w:gridCol w:w="1145"/>
      </w:tblGrid>
      <w:tr w:rsidR="00CC4C1E" w14:paraId="04A79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1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E1E131" w14:textId="77777777" w:rsidR="00CC4C1E" w:rsidRDefault="006C088C">
            <w:pPr>
              <w:spacing w:line="200" w:lineRule="auto"/>
            </w:pPr>
            <w:r>
              <w:rPr>
                <w:b/>
                <w:bCs/>
                <w:sz w:val="14"/>
                <w:szCs w:val="14"/>
              </w:rPr>
              <w:t>Análise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9056B" w14:textId="77777777" w:rsidR="00CC4C1E" w:rsidRDefault="006C088C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Sig</w:t>
            </w:r>
            <w:proofErr w:type="spellEnd"/>
            <w:r>
              <w:rPr>
                <w:b/>
                <w:bCs/>
                <w:sz w:val="14"/>
                <w:szCs w:val="14"/>
              </w:rPr>
              <w:t>. sob Queen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1B3F0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KNN-5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0BE68" w14:textId="77777777" w:rsidR="00CC4C1E" w:rsidRDefault="006C088C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Dist</w:t>
            </w:r>
            <w:proofErr w:type="spellEnd"/>
            <w:r>
              <w:rPr>
                <w:b/>
                <w:bCs/>
                <w:sz w:val="14"/>
                <w:szCs w:val="14"/>
              </w:rPr>
              <w:t>. inversa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154272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Rede rodoviária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A2DEC4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Tempo de viagem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48D1DC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As 4 alternativas</w:t>
            </w:r>
          </w:p>
        </w:tc>
      </w:tr>
      <w:tr w:rsidR="00CC4C1E" w14:paraId="40639B23" w14:textId="77777777">
        <w:tblPrEx>
          <w:tblCellMar>
            <w:top w:w="0" w:type="dxa"/>
            <w:bottom w:w="0" w:type="dxa"/>
          </w:tblCellMar>
        </w:tblPrEx>
        <w:tc>
          <w:tcPr>
            <w:tcW w:w="22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2FEC2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 xml:space="preserve">LISA </w:t>
            </w:r>
            <w:proofErr w:type="spellStart"/>
            <w:r>
              <w:rPr>
                <w:sz w:val="14"/>
                <w:szCs w:val="14"/>
              </w:rPr>
              <w:t>univariado</w:t>
            </w:r>
            <w:proofErr w:type="spellEnd"/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4198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5.065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031FED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67,4%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EC8FC7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37,2%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4A67A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39,5%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36059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32,0%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421DB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14,3%</w:t>
            </w:r>
          </w:p>
        </w:tc>
      </w:tr>
      <w:tr w:rsidR="00CC4C1E" w14:paraId="1008DA5C" w14:textId="77777777">
        <w:tblPrEx>
          <w:tblCellMar>
            <w:top w:w="0" w:type="dxa"/>
            <w:bottom w:w="0" w:type="dxa"/>
          </w:tblCellMar>
        </w:tblPrEx>
        <w:tc>
          <w:tcPr>
            <w:tcW w:w="22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43599E" w14:textId="77777777" w:rsidR="00CC4C1E" w:rsidRDefault="006C088C">
            <w:pPr>
              <w:spacing w:line="200" w:lineRule="auto"/>
            </w:pPr>
            <w:r>
              <w:rPr>
                <w:sz w:val="14"/>
                <w:szCs w:val="14"/>
              </w:rPr>
              <w:t>Moran bivariado global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D1DC50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2.061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FDC1B4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37,8%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CEBAA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32,1%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E980FE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29,3%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067EDF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29,7%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DE863" w14:textId="77777777" w:rsidR="00CC4C1E" w:rsidRDefault="006C088C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10,1%</w:t>
            </w:r>
          </w:p>
        </w:tc>
      </w:tr>
    </w:tbl>
    <w:p w14:paraId="3EADBE55" w14:textId="77777777" w:rsidR="00CC4C1E" w:rsidRDefault="006C088C">
      <w:pPr>
        <w:spacing w:after="60"/>
        <w:jc w:val="both"/>
      </w:pPr>
      <w:r>
        <w:rPr>
          <w:sz w:val="20"/>
          <w:szCs w:val="20"/>
        </w:rPr>
        <w:t xml:space="preserve">Nota: </w:t>
      </w:r>
      <w:proofErr w:type="spellStart"/>
      <w:r>
        <w:rPr>
          <w:sz w:val="20"/>
          <w:szCs w:val="20"/>
        </w:rPr>
        <w:t>univariado</w:t>
      </w:r>
      <w:proofErr w:type="spellEnd"/>
      <w:r>
        <w:rPr>
          <w:sz w:val="20"/>
          <w:szCs w:val="20"/>
        </w:rPr>
        <w:t xml:space="preserve"> — mesmo quadrante e significância; bivariado — mesma significância e sinal do I. "As 4 alternativas" exige manutenção simultânea sob KNN-5, distância inversa, rede rodoviária e tempo de viagem.</w:t>
      </w:r>
    </w:p>
    <w:p w14:paraId="2A6BA496" w14:textId="77777777" w:rsidR="00CC4C1E" w:rsidRDefault="006C088C">
      <w:pPr>
        <w:spacing w:before="60" w:after="300"/>
      </w:pPr>
      <w:r>
        <w:rPr>
          <w:sz w:val="20"/>
          <w:szCs w:val="20"/>
        </w:rPr>
        <w:t>Fonte: elaboração própria a partir de RAIS/MT</w:t>
      </w:r>
      <w:r>
        <w:rPr>
          <w:sz w:val="20"/>
          <w:szCs w:val="20"/>
        </w:rPr>
        <w:t>E (2025).</w:t>
      </w:r>
    </w:p>
    <w:p w14:paraId="7E95E2EF" w14:textId="77777777" w:rsidR="00CC4C1E" w:rsidRDefault="006C088C">
      <w:pPr>
        <w:spacing w:line="360" w:lineRule="auto"/>
        <w:ind w:firstLine="708"/>
        <w:jc w:val="both"/>
      </w:pPr>
      <w:r>
        <w:t xml:space="preserve">A sensibilidade à vizinhança é maior que no pipeline de estoques: 14,3% dos núcleos </w:t>
      </w:r>
      <w:proofErr w:type="spellStart"/>
      <w:r>
        <w:t>univariados</w:t>
      </w:r>
      <w:proofErr w:type="spellEnd"/>
      <w:r>
        <w:t xml:space="preserve"> e 10,1% dos pares bivariados resistem às quatro alternativas, contra 20,9% e 26,9% na versão companheira. O padrão entre matrizes, porém, repete-se: K</w:t>
      </w:r>
      <w:r>
        <w:t xml:space="preserve">NN-5 é a alternativa mais concordante (67,4% no </w:t>
      </w:r>
      <w:proofErr w:type="spellStart"/>
      <w:r>
        <w:t>univariado</w:t>
      </w:r>
      <w:proofErr w:type="spellEnd"/>
      <w:r>
        <w:t>), e o tempo de viagem, a mais exigente (32,0%). A leitura é a mesma nas duas versões — os aglomerados devem ser lidos em dois estratos, um núcleo invariante à topologia de vizinhança e uma camada s</w:t>
      </w:r>
      <w:r>
        <w:t>ensível a ela —, com a diferença de que, aqui, o núcleo é proporcionalmente menor, coerente com o caráter mais ruidoso da variável.</w:t>
      </w:r>
    </w:p>
    <w:p w14:paraId="572FDFDC" w14:textId="77777777" w:rsidR="00CC4C1E" w:rsidRDefault="006C088C">
      <w:pPr>
        <w:pStyle w:val="Ttulo1"/>
        <w:spacing w:before="360" w:after="240" w:line="360" w:lineRule="auto"/>
      </w:pPr>
      <w:bookmarkStart w:id="7" w:name="_Toc236903218"/>
      <w:r>
        <w:rPr>
          <w:b/>
          <w:bCs/>
          <w:caps/>
          <w:color w:val="000000"/>
          <w:sz w:val="24"/>
          <w:szCs w:val="24"/>
        </w:rPr>
        <w:t>5 CONTROLE DE COMPARAÇÕES MÚLTIPLAS</w:t>
      </w:r>
      <w:bookmarkEnd w:id="7"/>
    </w:p>
    <w:p w14:paraId="62ABF0A2" w14:textId="77777777" w:rsidR="00CC4C1E" w:rsidRDefault="006C088C">
      <w:pPr>
        <w:spacing w:line="360" w:lineRule="auto"/>
        <w:ind w:firstLine="708"/>
        <w:jc w:val="both"/>
      </w:pPr>
      <w:r>
        <w:t xml:space="preserve">Ao nível nominal de 5%, seriam esperados cerca de 11 falsos positivos por mapa </w:t>
      </w:r>
      <w:proofErr w:type="spellStart"/>
      <w:r>
        <w:t>univariad</w:t>
      </w:r>
      <w:r>
        <w:t>o</w:t>
      </w:r>
      <w:proofErr w:type="spellEnd"/>
      <w:r>
        <w:t xml:space="preserve"> e 352 pares bivariados espúrios no universo de 7.047. Aplicada a correção FDR, dos 5.118 municípios nominalmente significativos na análise </w:t>
      </w:r>
      <w:proofErr w:type="spellStart"/>
      <w:r>
        <w:t>univariada</w:t>
      </w:r>
      <w:proofErr w:type="spellEnd"/>
      <w:r>
        <w:t>, 3.870 (75,6%) permanecem significativos — a maior taxa de sobrevivência entre todos os recortes do proj</w:t>
      </w:r>
      <w:r>
        <w:t>eto, superior inclusive à do pipeline de estoques (66,7%). Na análise bivariada, dos 2.073 pares nominalmente significativos, 552 (26,6%) sobrevivem à correção, dos quais 238 com associação espacial positiva. O corte de significância corrigido foi p ≤ 0,00</w:t>
      </w:r>
      <w:r>
        <w:t>39.</w:t>
      </w:r>
    </w:p>
    <w:p w14:paraId="793B5E66" w14:textId="77777777" w:rsidR="00CC4C1E" w:rsidRDefault="006C088C">
      <w:pPr>
        <w:spacing w:line="360" w:lineRule="auto"/>
        <w:ind w:firstLine="708"/>
        <w:jc w:val="both"/>
      </w:pPr>
      <w:r>
        <w:t>O contraste entre as duas seções de robustez é instrutivo: a dinâmica competitiva é mais vulnerável à escolha da matriz de vizinhança, mas menos vulnerável ao problema de comparações múltiplas. A explicação é geométrica — os aglomerados de CE+RIE são p</w:t>
      </w:r>
      <w:r>
        <w:t>oucos, compactos e de significância local muito forte (concentrados no quadrilátero metropolitano), de modo que sobrevivem bem à correção de multiplicidade, mas seus contornos estreitos são facilmente redesenhados quando a definição de vizinhança muda.</w:t>
      </w:r>
    </w:p>
    <w:p w14:paraId="75A1704E" w14:textId="77777777" w:rsidR="00CC4C1E" w:rsidRDefault="006C088C">
      <w:pPr>
        <w:pStyle w:val="Ttulo1"/>
        <w:spacing w:before="360" w:after="240" w:line="360" w:lineRule="auto"/>
      </w:pPr>
      <w:bookmarkStart w:id="8" w:name="_Toc236903219"/>
      <w:r>
        <w:rPr>
          <w:b/>
          <w:bCs/>
          <w:caps/>
          <w:color w:val="000000"/>
          <w:sz w:val="24"/>
          <w:szCs w:val="24"/>
        </w:rPr>
        <w:t>6 C</w:t>
      </w:r>
      <w:r>
        <w:rPr>
          <w:b/>
          <w:bCs/>
          <w:caps/>
          <w:color w:val="000000"/>
          <w:sz w:val="24"/>
          <w:szCs w:val="24"/>
        </w:rPr>
        <w:t>O-LOCALIZAÇÃO: O NÚCLEO ROBUSTO DE PARES</w:t>
      </w:r>
      <w:bookmarkEnd w:id="8"/>
    </w:p>
    <w:p w14:paraId="4D5E46EA" w14:textId="77777777" w:rsidR="00CC4C1E" w:rsidRDefault="006C088C">
      <w:pPr>
        <w:spacing w:line="360" w:lineRule="auto"/>
        <w:ind w:firstLine="708"/>
        <w:jc w:val="both"/>
      </w:pPr>
      <w:r>
        <w:t>Dos 7.047 pares avaliados, 2.061 são significativos sob Queen; destes, 568 têm associação positiva com subclasse focal significativa. A aplicação conjunta dos dois critérios de robustez — sobrevivência ao FDR e confirmação sob as quatro matrizes alternativ</w:t>
      </w:r>
      <w:r>
        <w:t xml:space="preserve">as — </w:t>
      </w:r>
      <w:r>
        <w:lastRenderedPageBreak/>
        <w:t>reduz esse conjunto a um núcleo de 50 pares, listados integralmente na planilha de apoio; a Tabela 3 apresenta os vinte mais fortes.</w:t>
      </w:r>
    </w:p>
    <w:p w14:paraId="34D34C1C" w14:textId="77777777" w:rsidR="00CC4C1E" w:rsidRDefault="006C088C">
      <w:pPr>
        <w:keepNext/>
        <w:keepLines/>
        <w:pageBreakBefore/>
        <w:spacing w:before="240" w:after="60"/>
      </w:pPr>
      <w:r>
        <w:rPr>
          <w:sz w:val="22"/>
          <w:szCs w:val="22"/>
        </w:rPr>
        <w:lastRenderedPageBreak/>
        <w:t xml:space="preserve">Tabela 3 – Os vinte pares de subclasses mais </w:t>
      </w:r>
      <w:proofErr w:type="spellStart"/>
      <w:r>
        <w:rPr>
          <w:sz w:val="22"/>
          <w:szCs w:val="22"/>
        </w:rPr>
        <w:t>co-localizados</w:t>
      </w:r>
      <w:proofErr w:type="spellEnd"/>
      <w:r>
        <w:rPr>
          <w:sz w:val="22"/>
          <w:szCs w:val="22"/>
        </w:rPr>
        <w:t xml:space="preserve"> do núcleo robusto (FDR e 4 matrizes alternativas) – pipeli</w:t>
      </w:r>
      <w:r>
        <w:rPr>
          <w:sz w:val="22"/>
          <w:szCs w:val="22"/>
        </w:rPr>
        <w:t>ne CE+RIE – Piauí – 2013-2025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1428"/>
        <w:gridCol w:w="1428"/>
        <w:gridCol w:w="1428"/>
        <w:gridCol w:w="1428"/>
        <w:gridCol w:w="1428"/>
        <w:gridCol w:w="1428"/>
      </w:tblGrid>
      <w:tr w:rsidR="00CC4C1E" w14:paraId="76AD2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3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1BA47E" w14:textId="77777777" w:rsidR="00CC4C1E" w:rsidRDefault="006C088C">
            <w:pPr>
              <w:spacing w:line="200" w:lineRule="auto"/>
            </w:pPr>
            <w:r>
              <w:rPr>
                <w:b/>
                <w:bCs/>
                <w:sz w:val="13"/>
                <w:szCs w:val="13"/>
              </w:rPr>
              <w:t>#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8232D8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Subclasse focal (x)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E53D5F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Subclasse parceira (</w:t>
            </w:r>
            <w:proofErr w:type="spellStart"/>
            <w:r>
              <w:rPr>
                <w:b/>
                <w:bCs/>
                <w:sz w:val="13"/>
                <w:szCs w:val="13"/>
              </w:rPr>
              <w:t>lag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y)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02221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I </w:t>
            </w:r>
            <w:proofErr w:type="spellStart"/>
            <w:r>
              <w:rPr>
                <w:b/>
                <w:bCs/>
                <w:sz w:val="13"/>
                <w:szCs w:val="13"/>
              </w:rPr>
              <w:t>biv</w:t>
            </w:r>
            <w:proofErr w:type="spellEnd"/>
            <w:r>
              <w:rPr>
                <w:b/>
                <w:bCs/>
                <w:sz w:val="13"/>
                <w:szCs w:val="13"/>
              </w:rPr>
              <w:t>.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DA23CD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p (9.999 </w:t>
            </w:r>
            <w:proofErr w:type="spellStart"/>
            <w:r>
              <w:rPr>
                <w:b/>
                <w:bCs/>
                <w:sz w:val="13"/>
                <w:szCs w:val="13"/>
              </w:rPr>
              <w:t>perm</w:t>
            </w:r>
            <w:proofErr w:type="spellEnd"/>
            <w:r>
              <w:rPr>
                <w:b/>
                <w:bCs/>
                <w:sz w:val="13"/>
                <w:szCs w:val="13"/>
              </w:rPr>
              <w:t>.)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C6B2D" w14:textId="77777777" w:rsidR="00CC4C1E" w:rsidRDefault="006C088C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Núcleos AA</w:t>
            </w:r>
          </w:p>
        </w:tc>
        <w:tc>
          <w:tcPr>
            <w:tcW w:w="142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C89948" w14:textId="77777777" w:rsidR="00CC4C1E" w:rsidRDefault="006C088C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Copre</w:t>
            </w:r>
            <w:proofErr w:type="spellEnd"/>
            <w:r>
              <w:rPr>
                <w:b/>
                <w:bCs/>
                <w:sz w:val="13"/>
                <w:szCs w:val="13"/>
              </w:rPr>
              <w:t>- sentes</w:t>
            </w:r>
          </w:p>
        </w:tc>
      </w:tr>
      <w:tr w:rsidR="00CC4C1E" w14:paraId="20848DB4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2EC5D0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679BC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Hotéis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0B5D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Condomínios prediais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D56D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0,257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587BF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0,0024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98D67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67CF3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161858C7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3CF262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2B51B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Serviços combinados de escritório e </w:t>
            </w:r>
            <w:proofErr w:type="spellStart"/>
            <w:r>
              <w:rPr>
                <w:sz w:val="13"/>
                <w:szCs w:val="13"/>
              </w:rPr>
              <w:t>ap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EB01E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Formação de condutores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B57AC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0,231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4C99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2570E7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6934B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</w:tr>
      <w:tr w:rsidR="00CC4C1E" w14:paraId="5C73FC85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128D47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C2C57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1E5CEA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milho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DF726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0,224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564E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D2A0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1C08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457C2E0B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AB4F5C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05C7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arroz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B8AF4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29136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0,200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DA43B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59B07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F92E9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</w:tr>
      <w:tr w:rsidR="00CC4C1E" w14:paraId="7369FD3A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F2CD8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6833E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9D2D0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arroz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4E07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0,195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B3682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AE976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F3F77A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</w:tr>
      <w:tr w:rsidR="00CC4C1E" w14:paraId="61F424FD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48837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8A806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Serviços combinados de escritório e </w:t>
            </w:r>
            <w:proofErr w:type="spellStart"/>
            <w:r>
              <w:rPr>
                <w:sz w:val="13"/>
                <w:szCs w:val="13"/>
              </w:rPr>
              <w:t>ap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6D6BE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animais vivos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D241E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0,187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364C5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1AE21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6099A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35C3E89B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3BDF04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E785E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7D21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soja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13B5E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0,179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35B72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BF5BE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34C05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</w:tr>
      <w:tr w:rsidR="00CC4C1E" w14:paraId="35D5B068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BF46B8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08D477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Serviços combinados de escritório e </w:t>
            </w:r>
            <w:proofErr w:type="spellStart"/>
            <w:r>
              <w:rPr>
                <w:sz w:val="13"/>
                <w:szCs w:val="13"/>
              </w:rPr>
              <w:t>ap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BA7F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Hotéis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81E5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0,177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1383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C56D0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F41BA7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</w:tr>
      <w:tr w:rsidR="00CC4C1E" w14:paraId="7C109AC1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DD5E58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794AA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Restaurantes e similares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0FB9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animais vivos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FFE4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0,176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A0B3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CDCDC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CCC2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14</w:t>
            </w:r>
          </w:p>
        </w:tc>
      </w:tr>
      <w:tr w:rsidR="00CC4C1E" w14:paraId="605FD67A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0DCCDC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78D96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soja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3846A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FCAFB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0,175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EE0155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B5EB67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499D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</w:tr>
      <w:tr w:rsidR="00CC4C1E" w14:paraId="5AB7AB78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B3F7D6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7ADB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0F878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Comércio varejista especializado de </w:t>
            </w:r>
            <w:proofErr w:type="spellStart"/>
            <w:r>
              <w:rPr>
                <w:sz w:val="13"/>
                <w:szCs w:val="13"/>
              </w:rPr>
              <w:t>eq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CEA47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0,174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8A7C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992D6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6F6D0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</w:tr>
      <w:tr w:rsidR="00CC4C1E" w14:paraId="49585C9A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39FE53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DE86E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Obras de urbanização - ruas, praças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B049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animais vivos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1C149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0,169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4F72E5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F7AD4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C07BC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783E7594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55058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4815F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Serviços combinados de escritório e </w:t>
            </w:r>
            <w:proofErr w:type="spellStart"/>
            <w:r>
              <w:rPr>
                <w:sz w:val="13"/>
                <w:szCs w:val="13"/>
              </w:rPr>
              <w:t>ap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0527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Comércio varejista de artigos do </w:t>
            </w:r>
            <w:proofErr w:type="spellStart"/>
            <w:r>
              <w:rPr>
                <w:sz w:val="13"/>
                <w:szCs w:val="13"/>
              </w:rPr>
              <w:t>vestu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88AF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0,164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287A4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E8C1E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2896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63ECE832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31B976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49FB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Serviços combinados de escritório e </w:t>
            </w:r>
            <w:proofErr w:type="spellStart"/>
            <w:r>
              <w:rPr>
                <w:sz w:val="13"/>
                <w:szCs w:val="13"/>
              </w:rPr>
              <w:t>ap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90CE2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Restaurantes e similares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41ACBA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0,159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8C128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AFBB0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6754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</w:tr>
      <w:tr w:rsidR="00CC4C1E" w14:paraId="156DCF73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4BF1A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4025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Comércio varejista de artigos do </w:t>
            </w:r>
            <w:proofErr w:type="spellStart"/>
            <w:r>
              <w:rPr>
                <w:sz w:val="13"/>
                <w:szCs w:val="13"/>
              </w:rPr>
              <w:t>vestu</w:t>
            </w:r>
            <w:proofErr w:type="spellEnd"/>
            <w:r>
              <w:rPr>
                <w:sz w:val="13"/>
                <w:szCs w:val="13"/>
              </w:rPr>
              <w:t>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B9349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Construção de rodovias e ferrovias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9E27C5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0,159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878A5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E9481B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7FF885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</w:tr>
      <w:tr w:rsidR="00CC4C1E" w14:paraId="2A4250AB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BC2D0B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8D6AA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EFFF2A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Transporte rodoviário de carga, exceto…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1CCC1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0,159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CD91E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6309B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7846D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</w:tr>
      <w:tr w:rsidR="00CC4C1E" w14:paraId="6099D88F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1D6A31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FAAD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frangos para corte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B1B6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animais vivos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6478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0,155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5215F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0,0002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0EF4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896FFC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5DB6E6D8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5C0C4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90D86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bebidas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C9A50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Promoção de vendas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DDD2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0,144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AB186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440C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6A50F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CC4C1E" w14:paraId="5B8CEDF5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2E7BA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19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409CB0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animais vivos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C80F2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Promoção de vendas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98DA6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0,143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C14A4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0,0004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708A4E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76AB0D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</w:tr>
      <w:tr w:rsidR="00CC4C1E" w14:paraId="49192384" w14:textId="77777777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91C0D9" w14:textId="77777777" w:rsidR="00CC4C1E" w:rsidRDefault="006C088C">
            <w:pPr>
              <w:spacing w:line="200" w:lineRule="auto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00D7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Obras de urbanização - ruas, praças e 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305BE8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Comércio varejista de mercadorias em g…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27B12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0,141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78265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0,0017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630E41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14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268DC3" w14:textId="77777777" w:rsidR="00CC4C1E" w:rsidRDefault="006C088C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</w:tbl>
    <w:p w14:paraId="64746933" w14:textId="77777777" w:rsidR="00CC4C1E" w:rsidRDefault="006C088C">
      <w:pPr>
        <w:spacing w:after="60"/>
        <w:jc w:val="both"/>
      </w:pPr>
      <w:r>
        <w:rPr>
          <w:sz w:val="20"/>
          <w:szCs w:val="20"/>
        </w:rPr>
        <w:t xml:space="preserve">Nota: I </w:t>
      </w:r>
      <w:proofErr w:type="spellStart"/>
      <w:r>
        <w:rPr>
          <w:sz w:val="20"/>
          <w:szCs w:val="20"/>
        </w:rPr>
        <w:t>biv</w:t>
      </w:r>
      <w:proofErr w:type="spellEnd"/>
      <w:r>
        <w:rPr>
          <w:sz w:val="20"/>
          <w:szCs w:val="20"/>
        </w:rPr>
        <w:t>. sob matriz Queen; núcleos AA do LISA bivariado local (999 permutações); pares ordenados pelo I bivariado.</w:t>
      </w:r>
    </w:p>
    <w:p w14:paraId="60F4B918" w14:textId="77777777" w:rsidR="00CC4C1E" w:rsidRDefault="006C088C">
      <w:pPr>
        <w:spacing w:before="60" w:after="300"/>
      </w:pPr>
      <w:r>
        <w:rPr>
          <w:sz w:val="20"/>
          <w:szCs w:val="20"/>
        </w:rPr>
        <w:t>Fonte: elaboração própria a partir de RAIS/MTE (2025).</w:t>
      </w:r>
    </w:p>
    <w:p w14:paraId="276DB951" w14:textId="77777777" w:rsidR="00CC4C1E" w:rsidRDefault="006C088C">
      <w:pPr>
        <w:spacing w:line="360" w:lineRule="auto"/>
        <w:ind w:firstLine="708"/>
        <w:jc w:val="both"/>
      </w:pPr>
      <w:r>
        <w:t>Três assinaturas econômicas organizam o núcleo robusto. A primeira, e a mais disti</w:t>
      </w:r>
      <w:r>
        <w:t xml:space="preserve">ntiva deste pipeline, é o complexo turístico-imobiliário do litoral: hotéis </w:t>
      </w:r>
      <w:proofErr w:type="spellStart"/>
      <w:r>
        <w:t>co-localizados</w:t>
      </w:r>
      <w:proofErr w:type="spellEnd"/>
      <w:r>
        <w:t xml:space="preserve"> com condomínios prediais (par 1) e com serviços administrativos (par 8), com núcleos Alto-Alto em Cajueiro da Praia, Luís Correia e Parnaíba, mancha à qual Ilha Gran</w:t>
      </w:r>
      <w:r>
        <w:t xml:space="preserve">de se agrega nos demais pares costeiros do núcleo — um aglomerado que o pipeline de estoques, dominado pelas magnitudes agropecuárias, não revela. A segunda é o complexo pecuária–grãos: bovinos de corte </w:t>
      </w:r>
      <w:proofErr w:type="spellStart"/>
      <w:r>
        <w:t>co-localizados</w:t>
      </w:r>
      <w:proofErr w:type="spellEnd"/>
      <w:r>
        <w:t xml:space="preserve"> com milho, arroz e soja (pares 3, 4, 5</w:t>
      </w:r>
      <w:r>
        <w:t>, 7, 10) e com seus elos de apoio, como transporte rodoviário de carga e comércio de equipamentos (pares 11 e 16). A terceira é o tecido de serviços urbanos do quadrilátero metropolitano: serviços administrativos, restaurantes, comércio varejista, promoção</w:t>
      </w:r>
      <w:r>
        <w:t xml:space="preserve"> de vendas e obras de urbanização em pares densamente entrelaçados (pares 2, 6, 9, 12 a 15, 18 a 20).</w:t>
      </w:r>
    </w:p>
    <w:p w14:paraId="376B2BF9" w14:textId="77777777" w:rsidR="00CC4C1E" w:rsidRDefault="006C088C">
      <w:pPr>
        <w:spacing w:line="360" w:lineRule="auto"/>
        <w:ind w:firstLine="708"/>
        <w:jc w:val="both"/>
      </w:pPr>
      <w:r>
        <w:t>A Figura 2 mapeia a frequência com que cada município participa de núcleos Alto-Alto dos 50 pares robustos.</w:t>
      </w:r>
    </w:p>
    <w:p w14:paraId="2582B73E" w14:textId="77777777" w:rsidR="00CC4C1E" w:rsidRDefault="006C088C">
      <w:pPr>
        <w:keepNext/>
        <w:keepLines/>
        <w:spacing w:before="240" w:after="60"/>
      </w:pPr>
      <w:r>
        <w:rPr>
          <w:sz w:val="22"/>
          <w:szCs w:val="22"/>
        </w:rPr>
        <w:lastRenderedPageBreak/>
        <w:t>Figura 2 – Número de pares robustos com núcleo Alto-Alto no município – pipeline CE+RIE – Piauí – 2013-2025</w:t>
      </w:r>
    </w:p>
    <w:p w14:paraId="22BC7973" w14:textId="77777777" w:rsidR="00CC4C1E" w:rsidRDefault="006C088C">
      <w:pPr>
        <w:jc w:val="center"/>
      </w:pPr>
      <w:r>
        <w:rPr>
          <w:noProof/>
        </w:rPr>
        <w:drawing>
          <wp:inline distT="0" distB="0" distL="0" distR="0" wp14:anchorId="45ED5784" wp14:editId="3D432FE8">
            <wp:extent cx="5715000" cy="67151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05E6" w14:textId="77777777" w:rsidR="00CC4C1E" w:rsidRDefault="006C088C">
      <w:pPr>
        <w:spacing w:after="60"/>
        <w:jc w:val="both"/>
      </w:pPr>
      <w:r>
        <w:rPr>
          <w:sz w:val="20"/>
          <w:szCs w:val="20"/>
        </w:rPr>
        <w:t>Nota: contorno em destaque nos oito mu</w:t>
      </w:r>
      <w:r>
        <w:rPr>
          <w:sz w:val="20"/>
          <w:szCs w:val="20"/>
        </w:rPr>
        <w:t>nicípios de maior contagem.</w:t>
      </w:r>
    </w:p>
    <w:p w14:paraId="1DCB0938" w14:textId="77777777" w:rsidR="00CC4C1E" w:rsidRDefault="006C088C">
      <w:pPr>
        <w:spacing w:before="60" w:after="300"/>
      </w:pPr>
      <w:r>
        <w:rPr>
          <w:sz w:val="20"/>
          <w:szCs w:val="20"/>
        </w:rPr>
        <w:t>Fonte: elaboração própria a partir de RAIS/MTE (2025).</w:t>
      </w:r>
    </w:p>
    <w:p w14:paraId="112D79D2" w14:textId="77777777" w:rsidR="00CC4C1E" w:rsidRDefault="006C088C">
      <w:pPr>
        <w:spacing w:line="360" w:lineRule="auto"/>
        <w:ind w:firstLine="708"/>
        <w:jc w:val="both"/>
      </w:pPr>
      <w:r>
        <w:t xml:space="preserve">Teresina (33 pares), Altos (31), União e José de Freitas (27 cada) e Demerval Lobão (18) repetem o quadrilátero metropolitano como zona de </w:t>
      </w:r>
      <w:proofErr w:type="spellStart"/>
      <w:r>
        <w:t>co-localização</w:t>
      </w:r>
      <w:proofErr w:type="spellEnd"/>
      <w:r>
        <w:t xml:space="preserve"> mais densa; Ilha Gr</w:t>
      </w:r>
      <w:r>
        <w:t>ande e Cajueiro da Praia (9 cada) inscrevem o litoral no mapa. A leitura de política difere sutilmente da versão companheira: nos estoques, o quadrilátero é onde as potencialidades são grandes e se reforçam; aqui, é onde elas estão simultaneamente ganhando</w:t>
      </w:r>
      <w:r>
        <w:t xml:space="preserve"> competitividade — </w:t>
      </w:r>
      <w:r>
        <w:lastRenderedPageBreak/>
        <w:t>a combinação dos dois mapas identifica os territórios em que magnitude e dinamismo coincidem.</w:t>
      </w:r>
    </w:p>
    <w:p w14:paraId="18A723EA" w14:textId="77777777" w:rsidR="00CC4C1E" w:rsidRDefault="006C088C">
      <w:pPr>
        <w:pStyle w:val="Ttulo1"/>
        <w:spacing w:before="360" w:after="240" w:line="360" w:lineRule="auto"/>
      </w:pPr>
      <w:bookmarkStart w:id="9" w:name="_Toc236903220"/>
      <w:r>
        <w:rPr>
          <w:b/>
          <w:bCs/>
          <w:caps/>
          <w:color w:val="000000"/>
          <w:sz w:val="24"/>
          <w:szCs w:val="24"/>
        </w:rPr>
        <w:t>7 CONSIDERAÇÕES FINAIS</w:t>
      </w:r>
      <w:bookmarkEnd w:id="9"/>
    </w:p>
    <w:p w14:paraId="5F198B71" w14:textId="77777777" w:rsidR="00CC4C1E" w:rsidRDefault="006C088C">
      <w:pPr>
        <w:spacing w:line="360" w:lineRule="auto"/>
        <w:ind w:firstLine="708"/>
        <w:jc w:val="both"/>
      </w:pPr>
      <w:r>
        <w:t xml:space="preserve">Lido em conjunto com a versão companheira, este relatório completa o retrato espacial das potencialidades classificadas do Piauí, e o contraste entre os dois pipelines é em si um achado. Primeiro: a dinâmica competitiva agrupa-se menos e concentra-se mais </w:t>
      </w:r>
      <w:r>
        <w:t>— 28 subclasses significativas contra 54, 33 municípios com núcleo Alto-Alto contra 185, I máximo de 0,229 contra 0,720. Segundo: os perfis de robustez são espelhados — os estoques resistem mais à troca da matriz de vizinhança, a dinâmica resiste mais à co</w:t>
      </w:r>
      <w:r>
        <w:t xml:space="preserve">rreção de comparações múltiplas (75,6% de sobrevivência </w:t>
      </w:r>
      <w:proofErr w:type="spellStart"/>
      <w:r>
        <w:t>univariada</w:t>
      </w:r>
      <w:proofErr w:type="spellEnd"/>
      <w:r>
        <w:t>, a maior do projeto). Terceiro: a composição setorial diverge de forma informativa — o topo da dinâmica competitiva é urbano e de serviços, e revela o complexo turístico-imobiliário do lito</w:t>
      </w:r>
      <w:r>
        <w:t>ral, invisível no pipeline de estoques. Quarto: o quadrilátero metropolitano Teresina–União–Altos–José de Freitas é o único território que domina os dois mapas, qualificando-se como o espaço em que magnitude acumulada e ganho de competitividade coincidem.</w:t>
      </w:r>
    </w:p>
    <w:p w14:paraId="72075A2B" w14:textId="77777777" w:rsidR="00CC4C1E" w:rsidRDefault="006C088C">
      <w:pPr>
        <w:spacing w:line="360" w:lineRule="auto"/>
        <w:ind w:firstLine="708"/>
        <w:jc w:val="both"/>
      </w:pPr>
      <w:r>
        <w:t>Como agenda, três desdobramentos são naturais: cruzar formalmente os dois núcleos robustos (340 pares de estoques, 50 de dinâmica) para identificar os pares presentes em ambos; incorporar ao painel interativo o escopo CE+RIE da aba de clusters espaciais; e</w:t>
      </w:r>
      <w:r>
        <w:t xml:space="preserve"> aprofundar o aglomerado turístico do litoral com evidência de campo, dado que sua detecção aqui se apoia em poucos municípios </w:t>
      </w:r>
      <w:proofErr w:type="spellStart"/>
      <w:r>
        <w:t>copresentes</w:t>
      </w:r>
      <w:proofErr w:type="spellEnd"/>
      <w:r>
        <w:t>.</w:t>
      </w:r>
    </w:p>
    <w:p w14:paraId="1F1B27F2" w14:textId="77777777" w:rsidR="00CC4C1E" w:rsidRDefault="006C088C">
      <w:pPr>
        <w:pStyle w:val="Ttulo1"/>
        <w:spacing w:before="360" w:after="240" w:line="360" w:lineRule="auto"/>
      </w:pPr>
      <w:bookmarkStart w:id="10" w:name="_Toc236903221"/>
      <w:r>
        <w:rPr>
          <w:b/>
          <w:bCs/>
          <w:caps/>
          <w:color w:val="000000"/>
          <w:sz w:val="24"/>
          <w:szCs w:val="24"/>
        </w:rPr>
        <w:t>REFERÊNCIAS</w:t>
      </w:r>
      <w:bookmarkEnd w:id="10"/>
    </w:p>
    <w:p w14:paraId="6FD8405C" w14:textId="77777777" w:rsidR="00CC4C1E" w:rsidRDefault="006C088C">
      <w:pPr>
        <w:spacing w:after="240"/>
      </w:pPr>
      <w:r>
        <w:t xml:space="preserve">ANSELIN, L. Local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— LISA.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v. 27, n. 2, p. 93–11</w:t>
      </w:r>
      <w:r>
        <w:t>5, 1995.</w:t>
      </w:r>
    </w:p>
    <w:p w14:paraId="5629F445" w14:textId="77777777" w:rsidR="00CC4C1E" w:rsidRDefault="006C088C">
      <w:pPr>
        <w:spacing w:after="240"/>
      </w:pPr>
      <w:r>
        <w:t xml:space="preserve">BENJAMINI, Y.; HOCHBERG, Y.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false </w:t>
      </w:r>
      <w:proofErr w:type="spellStart"/>
      <w:r>
        <w:t>discovery</w:t>
      </w:r>
      <w:proofErr w:type="spellEnd"/>
      <w:r>
        <w:t xml:space="preserve"> rate: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Royal </w:t>
      </w:r>
      <w:proofErr w:type="spellStart"/>
      <w:r>
        <w:t>Statistical</w:t>
      </w:r>
      <w:proofErr w:type="spellEnd"/>
      <w:r>
        <w:t xml:space="preserve"> Society: Series B, v. 57, n. 1, p. 289–300, 1995.</w:t>
      </w:r>
    </w:p>
    <w:p w14:paraId="228CD5CF" w14:textId="77777777" w:rsidR="00CC4C1E" w:rsidRDefault="006C088C">
      <w:pPr>
        <w:spacing w:after="240"/>
      </w:pPr>
      <w:r>
        <w:t xml:space="preserve">CASTRO, M. C. de; SINGER, B. H.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false </w:t>
      </w:r>
      <w:proofErr w:type="spellStart"/>
      <w:r>
        <w:t>discovery</w:t>
      </w:r>
      <w:proofErr w:type="spellEnd"/>
      <w:r>
        <w:t xml:space="preserve"> rate: a new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local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.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v. 38, n. 2, p. 180–208, 2006.</w:t>
      </w:r>
    </w:p>
    <w:p w14:paraId="0FF31868" w14:textId="77777777" w:rsidR="00CC4C1E" w:rsidRDefault="006C088C">
      <w:pPr>
        <w:spacing w:after="240"/>
      </w:pPr>
      <w:r>
        <w:t>INSTITUTO BRASILEIRO DE GEOGRAFIA E ESTATÍSTICA. Malha Municipal Digi</w:t>
      </w:r>
      <w:r>
        <w:t>tal 2025. Rio de Janeiro: IBGE, 2025.</w:t>
      </w:r>
    </w:p>
    <w:p w14:paraId="7BFBF5B7" w14:textId="77777777" w:rsidR="00CC4C1E" w:rsidRDefault="006C088C">
      <w:pPr>
        <w:spacing w:after="240"/>
      </w:pPr>
      <w:r>
        <w:lastRenderedPageBreak/>
        <w:t>MINISTÉRIO DO TRABALHO E EMPREGO. Relação Anual de Informações Sociais (RAIS). Brasília: MTE, 2025.</w:t>
      </w:r>
    </w:p>
    <w:p w14:paraId="0C0E6691" w14:textId="77777777" w:rsidR="00CC4C1E" w:rsidRDefault="006C088C">
      <w:pPr>
        <w:spacing w:after="240"/>
      </w:pPr>
      <w:r>
        <w:t xml:space="preserve">OPENROUTESERVICE. Matrix API. Heidelberg: </w:t>
      </w:r>
      <w:proofErr w:type="spellStart"/>
      <w:r>
        <w:t>HeiGIT</w:t>
      </w:r>
      <w:proofErr w:type="spellEnd"/>
      <w:r>
        <w:t>, Universidade de Heidelberg, 2026. Disponível em: https://openroutese</w:t>
      </w:r>
      <w:r>
        <w:t>rvice.org. Acesso em: ago. 2026.</w:t>
      </w:r>
    </w:p>
    <w:p w14:paraId="1F819089" w14:textId="77777777" w:rsidR="00CC4C1E" w:rsidRDefault="006C088C">
      <w:pPr>
        <w:spacing w:after="240"/>
      </w:pPr>
      <w:r>
        <w:t xml:space="preserve">REY, S. J.; ANSELIN, L. </w:t>
      </w:r>
      <w:proofErr w:type="spellStart"/>
      <w:r>
        <w:t>PySAL</w:t>
      </w:r>
      <w:proofErr w:type="spellEnd"/>
      <w:r>
        <w:t xml:space="preserve">: a Python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Review </w:t>
      </w:r>
      <w:proofErr w:type="spellStart"/>
      <w:r>
        <w:t>of</w:t>
      </w:r>
      <w:proofErr w:type="spellEnd"/>
      <w:r>
        <w:t xml:space="preserve"> Regional </w:t>
      </w:r>
      <w:proofErr w:type="spellStart"/>
      <w:r>
        <w:t>Studies</w:t>
      </w:r>
      <w:proofErr w:type="spellEnd"/>
      <w:r>
        <w:t>, v. 37, n. 1, p. 5–27, 2007.</w:t>
      </w:r>
    </w:p>
    <w:sectPr w:rsidR="00CC4C1E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E7265"/>
    <w:multiLevelType w:val="hybridMultilevel"/>
    <w:tmpl w:val="CE949FA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C1E"/>
    <w:rsid w:val="006C088C"/>
    <w:rsid w:val="00CC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70211"/>
  <w15:docId w15:val="{6E7023E1-8418-4E5E-88A1-17785B69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C088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C088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2915</Words>
  <Characters>15747</Characters>
  <Application>Microsoft Office Word</Application>
  <DocSecurity>0</DocSecurity>
  <Lines>131</Lines>
  <Paragraphs>37</Paragraphs>
  <ScaleCrop>false</ScaleCrop>
  <Company/>
  <LinksUpToDate>false</LinksUpToDate>
  <CharactersWithSpaces>18625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Girola Macedo Barbosa</cp:lastModifiedBy>
  <cp:revision>2</cp:revision>
  <dcterms:created xsi:type="dcterms:W3CDTF">2026-08-06T12:17:00Z</dcterms:created>
  <dcterms:modified xsi:type="dcterms:W3CDTF">2026-08-06T14:50:00Z</dcterms:modified>
</cp:coreProperties>
</file>