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7E5A5" w14:textId="77777777" w:rsidR="00E57E15" w:rsidRDefault="000A4263">
      <w:pPr>
        <w:spacing w:before="2400" w:after="240"/>
        <w:jc w:val="center"/>
      </w:pPr>
      <w:r>
        <w:rPr>
          <w:b/>
          <w:bCs/>
          <w:sz w:val="32"/>
          <w:szCs w:val="32"/>
        </w:rPr>
        <w:t>ANÁLISE DE AGRUPAMENTOS ESPACIAIS DAS POTENCIALIDADES T1 E T2</w:t>
      </w:r>
    </w:p>
    <w:p w14:paraId="3C31C9E0" w14:textId="77777777" w:rsidR="00E57E15" w:rsidRDefault="000A4263">
      <w:pPr>
        <w:spacing w:after="1200"/>
        <w:jc w:val="center"/>
      </w:pPr>
      <w:r>
        <w:rPr>
          <w:sz w:val="26"/>
          <w:szCs w:val="26"/>
        </w:rPr>
        <w:t xml:space="preserve">Aglomerados municipais, </w:t>
      </w:r>
      <w:proofErr w:type="spellStart"/>
      <w:r>
        <w:rPr>
          <w:sz w:val="26"/>
          <w:szCs w:val="26"/>
        </w:rPr>
        <w:t>co-localização</w:t>
      </w:r>
      <w:proofErr w:type="spellEnd"/>
      <w:r>
        <w:rPr>
          <w:sz w:val="26"/>
          <w:szCs w:val="26"/>
        </w:rPr>
        <w:t xml:space="preserve"> setorial e robustez estatística — Piauí</w:t>
      </w:r>
    </w:p>
    <w:p w14:paraId="5D1A7588" w14:textId="77777777" w:rsidR="00E57E15" w:rsidRDefault="000A4263">
      <w:pPr>
        <w:spacing w:after="120"/>
        <w:jc w:val="center"/>
      </w:pPr>
      <w:r>
        <w:t>Relatório analítico</w:t>
      </w:r>
    </w:p>
    <w:p w14:paraId="5B1BD678" w14:textId="77777777" w:rsidR="00E57E15" w:rsidRDefault="000A4263">
      <w:pPr>
        <w:spacing w:after="2400"/>
        <w:jc w:val="center"/>
      </w:pPr>
      <w:r>
        <w:rPr>
          <w:sz w:val="22"/>
          <w:szCs w:val="22"/>
        </w:rPr>
        <w:t xml:space="preserve">Fontes primárias: IBGE (PAM, PPM, PEVS, Malha Municipal 2025), RAIS/MTE, DNIT/DER-PI, </w:t>
      </w:r>
      <w:proofErr w:type="spellStart"/>
      <w:r>
        <w:rPr>
          <w:sz w:val="22"/>
          <w:szCs w:val="22"/>
        </w:rPr>
        <w:t>OpenStreetMap</w:t>
      </w:r>
      <w:proofErr w:type="spellEnd"/>
    </w:p>
    <w:p w14:paraId="5AFC876D" w14:textId="77777777" w:rsidR="006953C4" w:rsidRDefault="006953C4">
      <w:pPr>
        <w:jc w:val="center"/>
      </w:pPr>
    </w:p>
    <w:p w14:paraId="62C52ACE" w14:textId="77777777" w:rsidR="006953C4" w:rsidRDefault="006953C4">
      <w:pPr>
        <w:jc w:val="center"/>
      </w:pPr>
    </w:p>
    <w:p w14:paraId="6E2DA238" w14:textId="77777777" w:rsidR="006953C4" w:rsidRDefault="006953C4">
      <w:pPr>
        <w:jc w:val="center"/>
      </w:pPr>
    </w:p>
    <w:p w14:paraId="2C7B71A5" w14:textId="77777777" w:rsidR="006953C4" w:rsidRDefault="006953C4">
      <w:pPr>
        <w:jc w:val="center"/>
      </w:pPr>
    </w:p>
    <w:p w14:paraId="69B40D8F" w14:textId="77777777" w:rsidR="006953C4" w:rsidRDefault="006953C4">
      <w:pPr>
        <w:jc w:val="center"/>
      </w:pPr>
    </w:p>
    <w:p w14:paraId="2FFFCA70" w14:textId="77777777" w:rsidR="006953C4" w:rsidRDefault="006953C4">
      <w:pPr>
        <w:jc w:val="center"/>
      </w:pPr>
    </w:p>
    <w:p w14:paraId="187E2581" w14:textId="77777777" w:rsidR="006953C4" w:rsidRDefault="006953C4">
      <w:pPr>
        <w:jc w:val="center"/>
      </w:pPr>
    </w:p>
    <w:p w14:paraId="2E1249BD" w14:textId="77777777" w:rsidR="006953C4" w:rsidRDefault="006953C4">
      <w:pPr>
        <w:jc w:val="center"/>
      </w:pPr>
    </w:p>
    <w:p w14:paraId="37AC9AE2" w14:textId="77777777" w:rsidR="006953C4" w:rsidRDefault="006953C4">
      <w:pPr>
        <w:jc w:val="center"/>
      </w:pPr>
    </w:p>
    <w:p w14:paraId="70F27D9B" w14:textId="77777777" w:rsidR="006953C4" w:rsidRDefault="006953C4">
      <w:pPr>
        <w:jc w:val="center"/>
      </w:pPr>
    </w:p>
    <w:p w14:paraId="4BEF543D" w14:textId="77777777" w:rsidR="006953C4" w:rsidRDefault="006953C4">
      <w:pPr>
        <w:jc w:val="center"/>
      </w:pPr>
    </w:p>
    <w:p w14:paraId="3185AD5B" w14:textId="77777777" w:rsidR="006953C4" w:rsidRDefault="006953C4">
      <w:pPr>
        <w:jc w:val="center"/>
      </w:pPr>
    </w:p>
    <w:p w14:paraId="045AB2F8" w14:textId="77777777" w:rsidR="006953C4" w:rsidRDefault="006953C4">
      <w:pPr>
        <w:jc w:val="center"/>
      </w:pPr>
    </w:p>
    <w:p w14:paraId="10B0C918" w14:textId="77777777" w:rsidR="006953C4" w:rsidRDefault="006953C4">
      <w:pPr>
        <w:jc w:val="center"/>
      </w:pPr>
    </w:p>
    <w:p w14:paraId="74045F9B" w14:textId="77777777" w:rsidR="006953C4" w:rsidRDefault="006953C4">
      <w:pPr>
        <w:jc w:val="center"/>
      </w:pPr>
    </w:p>
    <w:p w14:paraId="08CDAF7B" w14:textId="77777777" w:rsidR="006953C4" w:rsidRDefault="006953C4">
      <w:pPr>
        <w:jc w:val="center"/>
      </w:pPr>
    </w:p>
    <w:p w14:paraId="6984530A" w14:textId="77777777" w:rsidR="006953C4" w:rsidRDefault="006953C4">
      <w:pPr>
        <w:jc w:val="center"/>
      </w:pPr>
    </w:p>
    <w:p w14:paraId="55FFA14B" w14:textId="55D1B7C8" w:rsidR="00E57E15" w:rsidRDefault="000A4263">
      <w:pPr>
        <w:jc w:val="center"/>
      </w:pPr>
      <w:r>
        <w:t>Teresina, 2026</w:t>
      </w:r>
    </w:p>
    <w:p w14:paraId="4ADBA312" w14:textId="77777777" w:rsidR="00E57E15" w:rsidRDefault="000A4263">
      <w:r>
        <w:br w:type="page"/>
      </w:r>
    </w:p>
    <w:p w14:paraId="670BC7CC" w14:textId="77777777" w:rsidR="00E57E15" w:rsidRDefault="000A4263">
      <w:pPr>
        <w:spacing w:after="360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1807746471"/>
      </w:sdtPr>
      <w:sdtEndPr/>
      <w:sdtContent>
        <w:p w14:paraId="49FCCA48" w14:textId="77777777" w:rsidR="006953C4" w:rsidRDefault="000A4263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01699" w:history="1">
            <w:r w:rsidR="006953C4" w:rsidRPr="00EF6824">
              <w:rPr>
                <w:rStyle w:val="Hyperlink"/>
                <w:b/>
                <w:bCs/>
                <w:caps/>
                <w:noProof/>
              </w:rPr>
              <w:t>1 INTRODUÇÃO</w:t>
            </w:r>
            <w:r w:rsidR="006953C4">
              <w:rPr>
                <w:noProof/>
              </w:rPr>
              <w:tab/>
            </w:r>
            <w:r w:rsidR="006953C4">
              <w:rPr>
                <w:noProof/>
              </w:rPr>
              <w:fldChar w:fldCharType="begin"/>
            </w:r>
            <w:r w:rsidR="006953C4">
              <w:rPr>
                <w:noProof/>
              </w:rPr>
              <w:instrText xml:space="preserve"> PAGEREF _Toc236901699 \h </w:instrText>
            </w:r>
            <w:r w:rsidR="006953C4">
              <w:rPr>
                <w:noProof/>
              </w:rPr>
            </w:r>
            <w:r w:rsidR="006953C4">
              <w:rPr>
                <w:noProof/>
              </w:rPr>
              <w:fldChar w:fldCharType="separate"/>
            </w:r>
            <w:r w:rsidR="006953C4">
              <w:rPr>
                <w:noProof/>
              </w:rPr>
              <w:t>3</w:t>
            </w:r>
            <w:r w:rsidR="006953C4">
              <w:rPr>
                <w:noProof/>
              </w:rPr>
              <w:fldChar w:fldCharType="end"/>
            </w:r>
          </w:hyperlink>
        </w:p>
        <w:p w14:paraId="01E8F896" w14:textId="77777777" w:rsidR="006953C4" w:rsidRDefault="006953C4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1700" w:history="1">
            <w:r w:rsidRPr="00EF6824">
              <w:rPr>
                <w:rStyle w:val="Hyperlink"/>
                <w:b/>
                <w:bCs/>
                <w:caps/>
                <w:noProof/>
              </w:rPr>
              <w:t>2 ASPECTOS METODOLÓGICOS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955075" w14:textId="77777777" w:rsidR="006953C4" w:rsidRDefault="006953C4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6901701" w:history="1">
            <w:r w:rsidRPr="00EF6824">
              <w:rPr>
                <w:rStyle w:val="Hyperlink"/>
                <w:b/>
                <w:bCs/>
                <w:noProof/>
              </w:rPr>
              <w:t>2.1 Dados e recorte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3C7AAA" w14:textId="77777777" w:rsidR="006953C4" w:rsidRDefault="006953C4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6901702" w:history="1">
            <w:r w:rsidRPr="00EF6824">
              <w:rPr>
                <w:rStyle w:val="Hyperlink"/>
                <w:b/>
                <w:bCs/>
                <w:noProof/>
              </w:rPr>
              <w:t>2.2 Estatísticas espaciais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3A944B" w14:textId="77777777" w:rsidR="006953C4" w:rsidRDefault="006953C4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6901703" w:history="1">
            <w:r w:rsidRPr="00EF6824">
              <w:rPr>
                <w:rStyle w:val="Hyperlink"/>
                <w:b/>
                <w:bCs/>
                <w:noProof/>
              </w:rPr>
              <w:t>2.3 Verificações de robustez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57AE20" w14:textId="77777777" w:rsidR="006953C4" w:rsidRDefault="006953C4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1704" w:history="1">
            <w:r w:rsidRPr="00EF6824">
              <w:rPr>
                <w:rStyle w:val="Hyperlink"/>
                <w:b/>
                <w:bCs/>
                <w:caps/>
                <w:noProof/>
              </w:rPr>
              <w:t>3 RESULTADOS DA ANÁLISE UNIVARIADA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BFFA43" w14:textId="77777777" w:rsidR="006953C4" w:rsidRDefault="006953C4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1705" w:history="1">
            <w:r w:rsidRPr="00EF6824">
              <w:rPr>
                <w:rStyle w:val="Hyperlink"/>
                <w:b/>
                <w:bCs/>
                <w:caps/>
                <w:noProof/>
              </w:rPr>
              <w:t>4 ROBUSTEZ À ESPECIFICAÇÃO DE VIZINHANÇA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F0B7D3" w14:textId="77777777" w:rsidR="006953C4" w:rsidRDefault="006953C4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1706" w:history="1">
            <w:r w:rsidRPr="00EF6824">
              <w:rPr>
                <w:rStyle w:val="Hyperlink"/>
                <w:b/>
                <w:bCs/>
                <w:caps/>
                <w:noProof/>
              </w:rPr>
              <w:t>5 CONTROLE DE COMPARAÇÕES MÚLTIPLAS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C9118A" w14:textId="77777777" w:rsidR="006953C4" w:rsidRDefault="006953C4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1707" w:history="1">
            <w:r w:rsidRPr="00EF6824">
              <w:rPr>
                <w:rStyle w:val="Hyperlink"/>
                <w:b/>
                <w:bCs/>
                <w:caps/>
                <w:noProof/>
              </w:rPr>
              <w:t>6 CO-LOCALIZAÇÃO: O NÚCLEO ROBUSTO DE PARES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B2A696" w14:textId="77777777" w:rsidR="006953C4" w:rsidRDefault="006953C4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1708" w:history="1">
            <w:r w:rsidRPr="00EF6824">
              <w:rPr>
                <w:rStyle w:val="Hyperlink"/>
                <w:b/>
                <w:bCs/>
                <w:caps/>
                <w:noProof/>
              </w:rPr>
              <w:t>7 CONSIDERAÇÕES FINAIS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AD9EF5" w14:textId="77777777" w:rsidR="006953C4" w:rsidRDefault="006953C4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6901709" w:history="1">
            <w:r w:rsidRPr="00EF6824">
              <w:rPr>
                <w:rStyle w:val="Hyperlink"/>
                <w:b/>
                <w:bCs/>
                <w:caps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B80E5F" w14:textId="77777777" w:rsidR="00E57E15" w:rsidRDefault="000A4263">
          <w:r>
            <w:fldChar w:fldCharType="end"/>
          </w:r>
        </w:p>
      </w:sdtContent>
    </w:sdt>
    <w:p w14:paraId="2A0C259C" w14:textId="77777777" w:rsidR="00E57E15" w:rsidRDefault="000A4263">
      <w:r>
        <w:br w:type="page"/>
      </w:r>
    </w:p>
    <w:p w14:paraId="2F0B9602" w14:textId="77777777" w:rsidR="00E57E15" w:rsidRDefault="000A4263">
      <w:pPr>
        <w:pStyle w:val="Ttulo1"/>
        <w:spacing w:before="360" w:after="240" w:line="360" w:lineRule="auto"/>
      </w:pPr>
      <w:bookmarkStart w:id="0" w:name="_Toc236901699"/>
      <w:r>
        <w:rPr>
          <w:b/>
          <w:bCs/>
          <w:caps/>
          <w:color w:val="000000"/>
          <w:sz w:val="24"/>
          <w:szCs w:val="24"/>
        </w:rPr>
        <w:lastRenderedPageBreak/>
        <w:t>1 INTRODUÇÃO</w:t>
      </w:r>
      <w:bookmarkEnd w:id="0"/>
    </w:p>
    <w:p w14:paraId="6A869760" w14:textId="77777777" w:rsidR="00E57E15" w:rsidRDefault="000A4263">
      <w:pPr>
        <w:spacing w:line="360" w:lineRule="auto"/>
        <w:ind w:firstLine="708"/>
        <w:jc w:val="both"/>
      </w:pPr>
      <w:r>
        <w:t>Este relatório identifica onde as subclasses de potencialidade econômica classificadas como T1</w:t>
      </w:r>
      <w:r>
        <w:t xml:space="preserve"> e T2 — aquelas com vantagem competitiva nacional e municipal na decomposição shift-</w:t>
      </w:r>
      <w:proofErr w:type="spellStart"/>
      <w:r>
        <w:t>share</w:t>
      </w:r>
      <w:proofErr w:type="spellEnd"/>
      <w:r>
        <w:t xml:space="preserve">, em economias municipais dinâmicas (T1) ou mais lentas (T2) — se agrupam no espaço entre os 224 municípios do Piauí, e quais subclasses tendem a se </w:t>
      </w:r>
      <w:proofErr w:type="spellStart"/>
      <w:r>
        <w:t>co-localizar</w:t>
      </w:r>
      <w:proofErr w:type="spellEnd"/>
      <w:r>
        <w:t>. Dife</w:t>
      </w:r>
      <w:r>
        <w:t>rentemente de versões anteriores desta análise, os resultados aqui reportados passaram por um conjunto sistemático de verificações de robustez, e o texto privilegia os achados que resistem a essas verificações.</w:t>
      </w:r>
    </w:p>
    <w:p w14:paraId="486A371C" w14:textId="77777777" w:rsidR="00E57E15" w:rsidRDefault="000A4263">
      <w:pPr>
        <w:spacing w:line="360" w:lineRule="auto"/>
        <w:ind w:firstLine="708"/>
        <w:jc w:val="both"/>
      </w:pPr>
      <w:r>
        <w:t>São três os objetivos específicos. O primeiro</w:t>
      </w:r>
      <w:r>
        <w:t xml:space="preserve"> é mapear, por meio de indicadores locais de associação espacial (LISA), os aglomerados municipais de tipo Alto-Alto de cada subclasse elegível. O segundo é identificar, pela autocorrelação espacial bivariada, os pares de subclasses cuja presença conjunta </w:t>
      </w:r>
      <w:r>
        <w:t>se organiza territorialmente. O terceiro — que constitui a principal contribuição desta versão — é qualificar cada resultado segundo dois critérios de robustez: a estabilidade sob especificações alternativas da matriz de vizinhança espacial, incluindo matr</w:t>
      </w:r>
      <w:r>
        <w:t>izes construídas sobre a malha rodoviária real e sobre tempos de viagem, e a sobrevivência à correção de comparações múltiplas pela taxa de falsas descobertas (FDR).</w:t>
      </w:r>
    </w:p>
    <w:p w14:paraId="2DD102F7" w14:textId="77777777" w:rsidR="00E57E15" w:rsidRDefault="000A4263">
      <w:pPr>
        <w:spacing w:line="360" w:lineRule="auto"/>
        <w:ind w:firstLine="708"/>
        <w:jc w:val="both"/>
      </w:pPr>
      <w:r>
        <w:t>O documento se organiza em sete seções, além desta introdução: os aspectos metodológicos (</w:t>
      </w:r>
      <w:r>
        <w:t xml:space="preserve">seção 2), os resultados </w:t>
      </w:r>
      <w:proofErr w:type="spellStart"/>
      <w:r>
        <w:t>univariados</w:t>
      </w:r>
      <w:proofErr w:type="spellEnd"/>
      <w:r>
        <w:t xml:space="preserve"> (seção 3), a robustez à especificação de vizinhança (seção 4), o controle de comparações múltiplas (seção 5), a análise bivariada com o núcleo robusto de pares </w:t>
      </w:r>
      <w:proofErr w:type="spellStart"/>
      <w:r>
        <w:t>co-localizados</w:t>
      </w:r>
      <w:proofErr w:type="spellEnd"/>
      <w:r>
        <w:t xml:space="preserve"> (seção 6) e as considerações finais (seção 7)</w:t>
      </w:r>
      <w:r>
        <w:t>.</w:t>
      </w:r>
    </w:p>
    <w:p w14:paraId="466B96BF" w14:textId="77777777" w:rsidR="00E57E15" w:rsidRDefault="000A4263">
      <w:pPr>
        <w:pStyle w:val="Ttulo1"/>
        <w:spacing w:before="360" w:after="240" w:line="360" w:lineRule="auto"/>
      </w:pPr>
      <w:bookmarkStart w:id="1" w:name="_Toc236901700"/>
      <w:r>
        <w:rPr>
          <w:b/>
          <w:bCs/>
          <w:caps/>
          <w:color w:val="000000"/>
          <w:sz w:val="24"/>
          <w:szCs w:val="24"/>
        </w:rPr>
        <w:t>2 ASPECTOS METODOLÓGICOS</w:t>
      </w:r>
      <w:bookmarkEnd w:id="1"/>
    </w:p>
    <w:p w14:paraId="2882EF23" w14:textId="77777777" w:rsidR="00E57E15" w:rsidRDefault="000A4263">
      <w:pPr>
        <w:pStyle w:val="Ttulo2"/>
        <w:spacing w:before="360" w:after="240" w:line="360" w:lineRule="auto"/>
      </w:pPr>
      <w:bookmarkStart w:id="2" w:name="_Toc236901701"/>
      <w:r>
        <w:rPr>
          <w:b/>
          <w:bCs/>
          <w:color w:val="000000"/>
          <w:sz w:val="24"/>
          <w:szCs w:val="24"/>
        </w:rPr>
        <w:t>2.1 Dados e recorte</w:t>
      </w:r>
      <w:bookmarkEnd w:id="2"/>
    </w:p>
    <w:p w14:paraId="421CCBB6" w14:textId="77777777" w:rsidR="00E57E15" w:rsidRDefault="000A4263">
      <w:pPr>
        <w:spacing w:line="360" w:lineRule="auto"/>
        <w:ind w:firstLine="708"/>
        <w:jc w:val="both"/>
      </w:pPr>
      <w:r>
        <w:t>A base de origem é o arquivo consolidado de potencialidades (versão 2), com 50.513 registros que combinam levantamentos do IBGE (Produção Agrícola Municipal, Pesquisa da Pecuária Municipal e Produção da Extraç</w:t>
      </w:r>
      <w:r>
        <w:t>ão Vegetal e da Silvicultura) e vínculos formais da RAIS/MTE, em três janelas de comparação (anos-base 2013, 2018 e 2022). O filtro pelas classes T1 e T2 retém 10.032 registros. Quando um par município–subclasse aparece em mais de uma janela, mantém-se a o</w:t>
      </w:r>
      <w:r>
        <w:t>bservação de maior estoque, resultando em 6.295 pares distintos, distribuídos por 710 subclasses e pelos 224 municípios do estado. A malha territorial é a Malha Municipal Digital 2025 do IBGE.</w:t>
      </w:r>
    </w:p>
    <w:p w14:paraId="65BFCF38" w14:textId="77777777" w:rsidR="00E57E15" w:rsidRDefault="000A4263">
      <w:pPr>
        <w:spacing w:line="360" w:lineRule="auto"/>
        <w:ind w:firstLine="708"/>
        <w:jc w:val="both"/>
      </w:pPr>
      <w:r>
        <w:lastRenderedPageBreak/>
        <w:t>Diferentemente da abordagem binária de presença adotada em vers</w:t>
      </w:r>
      <w:r>
        <w:t>ão preliminar deste relatório, a variável analisada é a intensidade: o estoque municipal no ano final de cada série, transformado por log1p para atenuar assimetrias de magnitude. A mudança alinha este relatório ao restante do projeto — em particular à nota</w:t>
      </w:r>
      <w:r>
        <w:t xml:space="preserve"> metodológica e ao painel interativo — e permite que os aglomerados reflitam não apenas onde a subclasse existe, mas onde ela é expressiva. Municípios sem o registro recebem valor zero.</w:t>
      </w:r>
    </w:p>
    <w:p w14:paraId="0A7D89D6" w14:textId="77777777" w:rsidR="00E57E15" w:rsidRDefault="000A4263">
      <w:pPr>
        <w:pStyle w:val="Ttulo2"/>
        <w:spacing w:before="360" w:after="240" w:line="360" w:lineRule="auto"/>
      </w:pPr>
      <w:bookmarkStart w:id="3" w:name="_Toc236901702"/>
      <w:r>
        <w:rPr>
          <w:b/>
          <w:bCs/>
          <w:color w:val="000000"/>
          <w:sz w:val="24"/>
          <w:szCs w:val="24"/>
        </w:rPr>
        <w:t>2.2 Estatísticas espaciais</w:t>
      </w:r>
      <w:bookmarkEnd w:id="3"/>
    </w:p>
    <w:p w14:paraId="0D1D9F34" w14:textId="77777777" w:rsidR="00E57E15" w:rsidRDefault="000A4263">
      <w:pPr>
        <w:spacing w:line="360" w:lineRule="auto"/>
        <w:ind w:firstLine="708"/>
        <w:jc w:val="both"/>
      </w:pPr>
      <w:r>
        <w:t xml:space="preserve">A análise </w:t>
      </w:r>
      <w:proofErr w:type="spellStart"/>
      <w:r>
        <w:t>univariada</w:t>
      </w:r>
      <w:proofErr w:type="spellEnd"/>
      <w:r>
        <w:t xml:space="preserve"> usa o I de Moran local (LISA) com matriz de contiguidade Queen padronizada por linha, 999 permutações condicionais e semente 42, ao nível de significância de 5%, para as 120 subclasses presentes em ao menos dez municípios. O I de Moran</w:t>
      </w:r>
      <w:r>
        <w:t xml:space="preserve"> global, sob as mesmas permutações, ordena a força do agrupamento de cada subclasse. A análise bivariada usa o I de Moran bivariado global e local (variável focal contra a defasagem espacial da parceira), para os 11.690 pares ordenados com ao menos cinco m</w:t>
      </w:r>
      <w:r>
        <w:t xml:space="preserve">unicípios de </w:t>
      </w:r>
      <w:proofErr w:type="spellStart"/>
      <w:r>
        <w:t>copresença</w:t>
      </w:r>
      <w:proofErr w:type="spellEnd"/>
      <w:r>
        <w:t xml:space="preserve"> entre subclasses elegíveis.</w:t>
      </w:r>
    </w:p>
    <w:p w14:paraId="447133CE" w14:textId="77777777" w:rsidR="00E57E15" w:rsidRDefault="000A4263">
      <w:pPr>
        <w:pStyle w:val="Ttulo2"/>
        <w:spacing w:before="360" w:after="240" w:line="360" w:lineRule="auto"/>
      </w:pPr>
      <w:bookmarkStart w:id="4" w:name="_Toc236901703"/>
      <w:r>
        <w:rPr>
          <w:b/>
          <w:bCs/>
          <w:color w:val="000000"/>
          <w:sz w:val="24"/>
          <w:szCs w:val="24"/>
        </w:rPr>
        <w:t>2.3 Verificações de robustez</w:t>
      </w:r>
      <w:bookmarkEnd w:id="4"/>
    </w:p>
    <w:p w14:paraId="45DD3C3A" w14:textId="77777777" w:rsidR="00E57E15" w:rsidRDefault="000A4263">
      <w:pPr>
        <w:spacing w:line="360" w:lineRule="auto"/>
        <w:ind w:firstLine="708"/>
        <w:jc w:val="both"/>
      </w:pPr>
      <w:r>
        <w:t>Dois riscos metodológicos estruturam as verificações. O primeiro é a sensibilidade à matriz de vizinhança: a contiguidade Queen pressupõe que a interação econômica se dá por adjacência física. Todos os indicadores foram recalculados sob quatro especificaçõ</w:t>
      </w:r>
      <w:r>
        <w:t>es alternativas: k vizinhos mais próximos (k = 5); distância inversa euclidiana com banda de 76,5 km; distância rodoviária inversa, calculada por caminhos mínimos sobre a malha viária estadual e federal construída (13,9 mil km, excluídos trechos planejados</w:t>
      </w:r>
      <w:r>
        <w:t xml:space="preserve">), com banda conexa de 107,9 km; e tempo de viagem inverso entre as sedes municipais, extraído do </w:t>
      </w:r>
      <w:proofErr w:type="spellStart"/>
      <w:r>
        <w:t>OpenRouteService</w:t>
      </w:r>
      <w:proofErr w:type="spellEnd"/>
      <w:r>
        <w:t xml:space="preserve"> sobre a base </w:t>
      </w:r>
      <w:proofErr w:type="spellStart"/>
      <w:r>
        <w:t>OpenStreetMap</w:t>
      </w:r>
      <w:proofErr w:type="spellEnd"/>
      <w:r>
        <w:t>, com banda conexa de 133 minutos. Um resultado é considerado robusto a W quando mantém o mesmo quadrante (</w:t>
      </w:r>
      <w:proofErr w:type="spellStart"/>
      <w:r>
        <w:t>univaria</w:t>
      </w:r>
      <w:r>
        <w:t>do</w:t>
      </w:r>
      <w:proofErr w:type="spellEnd"/>
      <w:r>
        <w:t>) ou a mesma significância e sinal (bivariado) sob as quatro alternativas.</w:t>
      </w:r>
    </w:p>
    <w:p w14:paraId="535C6778" w14:textId="77777777" w:rsidR="00E57E15" w:rsidRDefault="000A4263">
      <w:pPr>
        <w:spacing w:line="360" w:lineRule="auto"/>
        <w:ind w:firstLine="708"/>
        <w:jc w:val="both"/>
      </w:pPr>
      <w:r>
        <w:t>O segundo risco é o volume de testes: com 120 mapas de 224 testes locais cada e 11.690 pares bivariados, o número esperado de falsos positivos ao nível nominal de 5% não é desprez</w:t>
      </w:r>
      <w:r>
        <w:t xml:space="preserve">ível. Aplicou-se o controle da taxa de falsas descobertas de </w:t>
      </w:r>
      <w:proofErr w:type="spellStart"/>
      <w:r>
        <w:t>Benjamini</w:t>
      </w:r>
      <w:proofErr w:type="spellEnd"/>
      <w:r>
        <w:t xml:space="preserve"> e </w:t>
      </w:r>
      <w:proofErr w:type="spellStart"/>
      <w:r>
        <w:t>Hochberg</w:t>
      </w:r>
      <w:proofErr w:type="spellEnd"/>
      <w:r>
        <w:t xml:space="preserve"> (1995), na forma proposta por Castro e Singer (2006) para estatísticas locais de associação espacial, com </w:t>
      </w:r>
      <w:proofErr w:type="spellStart"/>
      <w:r>
        <w:t>pseudo</w:t>
      </w:r>
      <w:proofErr w:type="spellEnd"/>
      <w:r>
        <w:t xml:space="preserve"> p-valores recalculados sob 9.999 permutações — resolução nece</w:t>
      </w:r>
      <w:r>
        <w:t>ssária para que os limiares do procedimento sejam alcançáveis.</w:t>
      </w:r>
    </w:p>
    <w:p w14:paraId="1AFA3DBD" w14:textId="77777777" w:rsidR="00E57E15" w:rsidRDefault="000A4263">
      <w:pPr>
        <w:spacing w:line="360" w:lineRule="auto"/>
        <w:ind w:firstLine="708"/>
        <w:jc w:val="both"/>
      </w:pPr>
      <w:r>
        <w:lastRenderedPageBreak/>
        <w:t xml:space="preserve">Três ressalvas devem acompanhar a leitura. Os tempos de viagem do </w:t>
      </w:r>
      <w:proofErr w:type="spellStart"/>
      <w:r>
        <w:t>OpenStreetMap</w:t>
      </w:r>
      <w:proofErr w:type="spellEnd"/>
      <w:r>
        <w:t xml:space="preserve"> são modelados a partir de atributos viários, não de tráfego observado. Quatro municípios (Dom Inocêncio, Socorro </w:t>
      </w:r>
      <w:r>
        <w:t>do Piauí, Valença do Piauí e Passagem Franca do Piauí) tiveram os tempos imputados pela relação tempo–distância ajustada nos pares válidos (R² = 0,933), por ancoragem das sedes em trechos não roteáveis. Por fim, os resultados que não passam pelos filtros d</w:t>
      </w:r>
      <w:r>
        <w:t>e robustez não devem ser descartados, mas lidos como evidência exploratória, a validar com dados complementares.</w:t>
      </w:r>
    </w:p>
    <w:p w14:paraId="0D1F38A8" w14:textId="77777777" w:rsidR="00E57E15" w:rsidRDefault="000A4263">
      <w:pPr>
        <w:pStyle w:val="Ttulo1"/>
        <w:spacing w:before="360" w:after="240" w:line="360" w:lineRule="auto"/>
      </w:pPr>
      <w:bookmarkStart w:id="5" w:name="_Toc236901704"/>
      <w:r>
        <w:rPr>
          <w:b/>
          <w:bCs/>
          <w:caps/>
          <w:color w:val="000000"/>
          <w:sz w:val="24"/>
          <w:szCs w:val="24"/>
        </w:rPr>
        <w:t>3 RESULTADOS DA ANÁLISE UNIVARIADA</w:t>
      </w:r>
      <w:bookmarkEnd w:id="5"/>
    </w:p>
    <w:p w14:paraId="01CD32F7" w14:textId="77777777" w:rsidR="00E57E15" w:rsidRDefault="000A4263">
      <w:pPr>
        <w:spacing w:line="360" w:lineRule="auto"/>
        <w:ind w:firstLine="708"/>
        <w:jc w:val="both"/>
      </w:pPr>
      <w:r>
        <w:t>Das 120 subclasses elegíveis, 54 apresentam autocorrelação espacial global positiva e estatisticamente signi</w:t>
      </w:r>
      <w:r>
        <w:t>ficativa. Entre elas, 560 observações municipais caem em núcleos Alto-Alto significativos, distribuídas por 185 municípios distintos — ou seja, mais de quatro quintos do território estadual participam de ao menos um aglomerado de potencialidade classificad</w:t>
      </w:r>
      <w:r>
        <w:t>a. A Tabela 1 apresenta as doze subclasses de agrupamento mais forte, já qualificadas pelos dois critérios de robustez.</w:t>
      </w:r>
    </w:p>
    <w:p w14:paraId="3828EE78" w14:textId="77777777" w:rsidR="00E57E15" w:rsidRDefault="000A4263">
      <w:pPr>
        <w:keepNext/>
        <w:keepLines/>
        <w:spacing w:before="240" w:after="60"/>
      </w:pPr>
      <w:r>
        <w:rPr>
          <w:sz w:val="22"/>
          <w:szCs w:val="22"/>
        </w:rPr>
        <w:t>Tabela 1 – Subclasses T1/T2 com agrupamento espacial mais forte, com indicadores de robustez – Piauí – 2025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3"/>
        <w:gridCol w:w="1078"/>
        <w:gridCol w:w="1078"/>
        <w:gridCol w:w="1078"/>
        <w:gridCol w:w="1078"/>
        <w:gridCol w:w="1078"/>
        <w:gridCol w:w="1078"/>
      </w:tblGrid>
      <w:tr w:rsidR="00E57E15" w14:paraId="42DF2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3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51490A" w14:textId="77777777" w:rsidR="00E57E15" w:rsidRDefault="000A4263">
            <w:pPr>
              <w:spacing w:line="200" w:lineRule="auto"/>
            </w:pPr>
            <w:r>
              <w:rPr>
                <w:b/>
                <w:bCs/>
                <w:sz w:val="14"/>
                <w:szCs w:val="14"/>
              </w:rPr>
              <w:t>Subclasse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6BCE23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Municípios present</w:t>
            </w:r>
            <w:r>
              <w:rPr>
                <w:b/>
                <w:bCs/>
                <w:sz w:val="14"/>
                <w:szCs w:val="14"/>
              </w:rPr>
              <w:t>es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FF5D2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I de Moran global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1662B6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D5CFC2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Núcleos AA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903832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Pós-FDR (</w:t>
            </w:r>
            <w:proofErr w:type="spellStart"/>
            <w:r>
              <w:rPr>
                <w:b/>
                <w:bCs/>
                <w:sz w:val="14"/>
                <w:szCs w:val="14"/>
              </w:rPr>
              <w:t>sig</w:t>
            </w:r>
            <w:proofErr w:type="spellEnd"/>
            <w:r>
              <w:rPr>
                <w:b/>
                <w:bCs/>
                <w:sz w:val="14"/>
                <w:szCs w:val="14"/>
              </w:rPr>
              <w:t>.)</w:t>
            </w:r>
          </w:p>
        </w:tc>
        <w:tc>
          <w:tcPr>
            <w:tcW w:w="1078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C88D3C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Robustos às 4 W alt.</w:t>
            </w:r>
          </w:p>
        </w:tc>
      </w:tr>
      <w:tr w:rsidR="00E57E15" w14:paraId="5E0540A6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768D65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Mel de abelha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1B158A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112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160B4E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0,720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BC5D57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55C0AE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CD802A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81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BACAD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98</w:t>
            </w:r>
          </w:p>
        </w:tc>
      </w:tr>
      <w:tr w:rsidR="00E57E15" w14:paraId="6D323F49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8DFB45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Babaçu amêndoa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ED4D2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B67949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0,458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57B95E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6F0871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A3A0DC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5EC82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18</w:t>
            </w:r>
          </w:p>
        </w:tc>
      </w:tr>
      <w:tr w:rsidR="00E57E15" w14:paraId="734C5D58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B2C4A9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Caprino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F6C06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96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4FF9D9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0,431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30C13E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721EF8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1AF9D2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EEAC1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30</w:t>
            </w:r>
          </w:p>
        </w:tc>
      </w:tr>
      <w:tr w:rsidR="00E57E15" w14:paraId="2C2BB00A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A5F041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Soja em grão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FECE0C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33736F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0,415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E0315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D152B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5ED8E0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B2CB3C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14</w:t>
            </w:r>
          </w:p>
        </w:tc>
      </w:tr>
      <w:tr w:rsidR="00E57E15" w14:paraId="5FA5FA02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0D3132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Arroz em casca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252288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103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AA8D4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0,394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FBB144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CC65E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6F286A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67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6E32F7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70</w:t>
            </w:r>
          </w:p>
        </w:tc>
      </w:tr>
      <w:tr w:rsidR="00E57E15" w14:paraId="41EC3DD6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74F51E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Tucum amêndoa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EC6A4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B6BCC1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0,355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73F51B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8EE11A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5E898C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CF974E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16</w:t>
            </w:r>
          </w:p>
        </w:tc>
      </w:tr>
      <w:tr w:rsidR="00E57E15" w14:paraId="707C83C1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0D24EB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Castanha de caju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4E0D9B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74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6CE308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0,304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4E56B6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6175C9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F068A0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75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EA9C58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45</w:t>
            </w:r>
          </w:p>
        </w:tc>
      </w:tr>
      <w:tr w:rsidR="00E57E15" w14:paraId="57FEE5DF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D76E42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Galináceos total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ADD097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222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27F902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0,247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88BEDB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0EBE6F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C9139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4C1CEF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15</w:t>
            </w:r>
          </w:p>
        </w:tc>
      </w:tr>
      <w:tr w:rsidR="00E57E15" w14:paraId="59D72589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C58F2D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Cultivo de arroz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129227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7DD61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0,243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8ABD77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937643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2CE817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D0AF0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8</w:t>
            </w:r>
          </w:p>
        </w:tc>
      </w:tr>
      <w:tr w:rsidR="00E57E15" w14:paraId="4FFA5349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C7E6FE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Leite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F5592A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86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6A979F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0,237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476FC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98D86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B395FB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8D837F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12</w:t>
            </w:r>
          </w:p>
        </w:tc>
      </w:tr>
      <w:tr w:rsidR="00E57E15" w14:paraId="166D1CFA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5A018B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Equino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A17A1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691EB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0,236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CBC778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B00589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D1226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45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227848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15</w:t>
            </w:r>
          </w:p>
        </w:tc>
      </w:tr>
      <w:tr w:rsidR="00E57E15" w14:paraId="58CF21C5" w14:textId="77777777">
        <w:tblPrEx>
          <w:tblCellMar>
            <w:top w:w="0" w:type="dxa"/>
            <w:bottom w:w="0" w:type="dxa"/>
          </w:tblCellMar>
        </w:tblPrEx>
        <w:tc>
          <w:tcPr>
            <w:tcW w:w="260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FD6CD9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 xml:space="preserve">Tambacu </w:t>
            </w:r>
            <w:proofErr w:type="spellStart"/>
            <w:r>
              <w:rPr>
                <w:sz w:val="14"/>
                <w:szCs w:val="14"/>
              </w:rPr>
              <w:t>tambatinga</w:t>
            </w:r>
            <w:proofErr w:type="spellEnd"/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45AC5A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F1EBB6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0,232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EC7811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0,001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C6DA93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BC0E4B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93</w:t>
            </w:r>
          </w:p>
        </w:tc>
        <w:tc>
          <w:tcPr>
            <w:tcW w:w="107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7D4BBB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37</w:t>
            </w:r>
          </w:p>
        </w:tc>
      </w:tr>
    </w:tbl>
    <w:p w14:paraId="1D4F5E6E" w14:textId="77777777" w:rsidR="00E57E15" w:rsidRDefault="000A4263">
      <w:pPr>
        <w:spacing w:after="60"/>
        <w:jc w:val="both"/>
      </w:pPr>
      <w:r>
        <w:rPr>
          <w:sz w:val="20"/>
          <w:szCs w:val="20"/>
        </w:rPr>
        <w:t xml:space="preserve">Nota: "Pós-FDR" é o número de municípios significativos após a correção de </w:t>
      </w:r>
      <w:proofErr w:type="spellStart"/>
      <w:r>
        <w:rPr>
          <w:sz w:val="20"/>
          <w:szCs w:val="20"/>
        </w:rPr>
        <w:t>Benjamini</w:t>
      </w:r>
      <w:proofErr w:type="spellEnd"/>
      <w:r>
        <w:rPr>
          <w:sz w:val="20"/>
          <w:szCs w:val="20"/>
        </w:rPr>
        <w:t>–</w:t>
      </w:r>
      <w:proofErr w:type="spellStart"/>
      <w:r>
        <w:rPr>
          <w:sz w:val="20"/>
          <w:szCs w:val="20"/>
        </w:rPr>
        <w:t>Hochberg</w:t>
      </w:r>
      <w:proofErr w:type="spellEnd"/>
      <w:r>
        <w:rPr>
          <w:sz w:val="20"/>
          <w:szCs w:val="20"/>
        </w:rPr>
        <w:t xml:space="preserve"> (9.999 permutações); "Robustos às 4 W alt." é o número de núcleos que mantêm o quadrante sob as quatro matrizes alternativas de vizinhança.</w:t>
      </w:r>
    </w:p>
    <w:p w14:paraId="08E66FF7" w14:textId="77777777" w:rsidR="00E57E15" w:rsidRDefault="000A4263">
      <w:pPr>
        <w:spacing w:before="60" w:after="300"/>
      </w:pPr>
      <w:r>
        <w:rPr>
          <w:sz w:val="20"/>
          <w:szCs w:val="20"/>
        </w:rPr>
        <w:t>Fonte: elaboração próp</w:t>
      </w:r>
      <w:r>
        <w:rPr>
          <w:sz w:val="20"/>
          <w:szCs w:val="20"/>
        </w:rPr>
        <w:t>ria a partir de IBGE (2025) e RAIS/MTE (2025).</w:t>
      </w:r>
    </w:p>
    <w:p w14:paraId="0B620D95" w14:textId="77777777" w:rsidR="00E57E15" w:rsidRDefault="000A4263">
      <w:pPr>
        <w:spacing w:line="360" w:lineRule="auto"/>
        <w:ind w:firstLine="708"/>
        <w:jc w:val="both"/>
      </w:pPr>
      <w:r>
        <w:t>A liderança do mel de abelha (I = 0,720) é notável em três frentes: o agrupamento mais forte do estado, um dos maiores contingentes de núcleos Alto-Alto e alta taxa de sobrevivência às verificações. O quadro g</w:t>
      </w:r>
      <w:r>
        <w:t>eral, porém, recomenda leitura seletiva: a razão entre os núcleos robustos às quatro matrizes e os núcleos nominais varia fortemente entre subclasses, e é essa razão — mais que o I global isolado — que separa os aglomerados adequados a leitura confirmatóri</w:t>
      </w:r>
      <w:r>
        <w:t>a daqueles que permanecem hipóteses.</w:t>
      </w:r>
    </w:p>
    <w:p w14:paraId="4BAFBF1B" w14:textId="77777777" w:rsidR="00E57E15" w:rsidRDefault="000A4263">
      <w:pPr>
        <w:spacing w:line="360" w:lineRule="auto"/>
        <w:ind w:firstLine="708"/>
        <w:jc w:val="both"/>
      </w:pPr>
      <w:r>
        <w:lastRenderedPageBreak/>
        <w:t xml:space="preserve">A geografia dos núcleos Alto-Alto reproduz, agora com a métrica de intensidade, as duas macrorregiões já conhecidas do projeto. A primeira é o eixo norte, articulado pela Região Metropolitana de Teresina e pelo Vale do </w:t>
      </w:r>
      <w:r>
        <w:t xml:space="preserve">Longá/Cocais: União (16 subclasses em núcleo AA), Teresina (13), </w:t>
      </w:r>
      <w:proofErr w:type="gramStart"/>
      <w:r>
        <w:t>Altos</w:t>
      </w:r>
      <w:proofErr w:type="gramEnd"/>
      <w:r>
        <w:t xml:space="preserve"> e José de Freitas (12 cada), Demerval Lobão (10), Barras (9), com extensão a Piracuruca, Brasileira, Piripiri e Esperantina. A segunda é a fronteira de grãos do Cerrado no </w:t>
      </w:r>
      <w:proofErr w:type="gramStart"/>
      <w:r>
        <w:t>sudoeste</w:t>
      </w:r>
      <w:proofErr w:type="gramEnd"/>
      <w:r>
        <w:t>, cap</w:t>
      </w:r>
      <w:r>
        <w:t>itaneada por Baixa Grande do Ribeiro (7). A Figura 1 mapeia essa distribuição.</w:t>
      </w:r>
    </w:p>
    <w:p w14:paraId="30434E91" w14:textId="77777777" w:rsidR="00E57E15" w:rsidRDefault="000A4263">
      <w:pPr>
        <w:keepNext/>
        <w:keepLines/>
        <w:spacing w:before="240" w:after="60"/>
      </w:pPr>
      <w:r>
        <w:rPr>
          <w:sz w:val="22"/>
          <w:szCs w:val="22"/>
        </w:rPr>
        <w:t>Figura 1 – Número de subclasses T1/T2 em núcleo Alto-Alto significativo, por município – Piauí – 2025</w:t>
      </w:r>
    </w:p>
    <w:p w14:paraId="2129EFC3" w14:textId="77777777" w:rsidR="00E57E15" w:rsidRDefault="000A4263">
      <w:pPr>
        <w:jc w:val="center"/>
      </w:pPr>
      <w:r>
        <w:rPr>
          <w:noProof/>
        </w:rPr>
        <w:drawing>
          <wp:inline distT="0" distB="0" distL="0" distR="0" wp14:anchorId="583193C3" wp14:editId="00FE7B8E">
            <wp:extent cx="5715000" cy="6715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D292" w14:textId="77777777" w:rsidR="00E57E15" w:rsidRDefault="000A4263">
      <w:pPr>
        <w:spacing w:after="60"/>
        <w:jc w:val="both"/>
      </w:pPr>
      <w:r>
        <w:rPr>
          <w:sz w:val="20"/>
          <w:szCs w:val="20"/>
        </w:rPr>
        <w:lastRenderedPageBreak/>
        <w:t>Nota: contorno em destaque nos oito municípios de maior contagem.</w:t>
      </w:r>
    </w:p>
    <w:p w14:paraId="059E16DD" w14:textId="77777777" w:rsidR="00E57E15" w:rsidRDefault="000A4263">
      <w:pPr>
        <w:spacing w:before="60" w:after="300"/>
      </w:pPr>
      <w:r>
        <w:rPr>
          <w:sz w:val="20"/>
          <w:szCs w:val="20"/>
        </w:rPr>
        <w:t>Fonte: elaboração própria a partir de IBGE (2025) e RAIS/MTE (2025).</w:t>
      </w:r>
    </w:p>
    <w:p w14:paraId="1CDFDE60" w14:textId="77777777" w:rsidR="00E57E15" w:rsidRDefault="000A4263">
      <w:pPr>
        <w:spacing w:line="360" w:lineRule="auto"/>
        <w:ind w:firstLine="708"/>
        <w:jc w:val="both"/>
      </w:pPr>
      <w:r>
        <w:t xml:space="preserve">O contraste entre as duas regiões é qualitativo, não apenas de escala. No </w:t>
      </w:r>
      <w:proofErr w:type="gramStart"/>
      <w:r>
        <w:t>norte</w:t>
      </w:r>
      <w:proofErr w:type="gramEnd"/>
      <w:r>
        <w:t>, os aglomerados combinam pecuária de pequ</w:t>
      </w:r>
      <w:r>
        <w:t xml:space="preserve">eno porte, extrativismo (babaçu, mel) e comércio e serviços de consumo — a assinatura de uma economia densa e diversificada. No </w:t>
      </w:r>
      <w:proofErr w:type="gramStart"/>
      <w:r>
        <w:t>sudoeste</w:t>
      </w:r>
      <w:proofErr w:type="gramEnd"/>
      <w:r>
        <w:t>, concentram-se as cadeias mecanizadas de grãos e seus serviços especializados, com menos municípios envolvidos, porém m</w:t>
      </w:r>
      <w:r>
        <w:t>aior coerência setorial.</w:t>
      </w:r>
    </w:p>
    <w:p w14:paraId="5362C44B" w14:textId="77777777" w:rsidR="00E57E15" w:rsidRDefault="000A4263">
      <w:pPr>
        <w:pStyle w:val="Ttulo1"/>
        <w:spacing w:before="360" w:after="240" w:line="360" w:lineRule="auto"/>
      </w:pPr>
      <w:bookmarkStart w:id="6" w:name="_Toc236901705"/>
      <w:r>
        <w:rPr>
          <w:b/>
          <w:bCs/>
          <w:caps/>
          <w:color w:val="000000"/>
          <w:sz w:val="24"/>
          <w:szCs w:val="24"/>
        </w:rPr>
        <w:t>4 ROBUSTEZ À ESPECIFICAÇÃO DE VIZINHANÇA</w:t>
      </w:r>
      <w:bookmarkEnd w:id="6"/>
    </w:p>
    <w:p w14:paraId="0F114CA9" w14:textId="77777777" w:rsidR="00E57E15" w:rsidRDefault="000A4263">
      <w:pPr>
        <w:spacing w:line="360" w:lineRule="auto"/>
        <w:ind w:firstLine="708"/>
        <w:jc w:val="both"/>
      </w:pPr>
      <w:r>
        <w:t>A Tabela 2 resume a estabilidade dos resultados quando a matriz Queen é substituída pelas quatro especificações alternativas, incluindo as duas construídas sobre infraestrutura real de transporte.</w:t>
      </w:r>
    </w:p>
    <w:p w14:paraId="25B6B9F3" w14:textId="77777777" w:rsidR="00E57E15" w:rsidRDefault="000A4263">
      <w:pPr>
        <w:keepNext/>
        <w:keepLines/>
        <w:spacing w:before="240" w:after="60"/>
      </w:pPr>
      <w:r>
        <w:rPr>
          <w:sz w:val="22"/>
          <w:szCs w:val="22"/>
        </w:rPr>
        <w:t>Tabela 2 – Proporção dos resultados significativos sob Quee</w:t>
      </w:r>
      <w:r>
        <w:rPr>
          <w:sz w:val="22"/>
          <w:szCs w:val="22"/>
        </w:rPr>
        <w:t>n mantidos sob matrizes alternativas de vizinhança – recorte T1+T2 – Piauí – 2025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1145"/>
        <w:gridCol w:w="1145"/>
        <w:gridCol w:w="1145"/>
        <w:gridCol w:w="1145"/>
        <w:gridCol w:w="1145"/>
        <w:gridCol w:w="1145"/>
      </w:tblGrid>
      <w:tr w:rsidR="00E57E15" w14:paraId="78051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1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086ED9" w14:textId="77777777" w:rsidR="00E57E15" w:rsidRDefault="000A4263">
            <w:pPr>
              <w:spacing w:line="200" w:lineRule="auto"/>
            </w:pPr>
            <w:r>
              <w:rPr>
                <w:b/>
                <w:bCs/>
                <w:sz w:val="14"/>
                <w:szCs w:val="14"/>
              </w:rPr>
              <w:t>Análise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917749" w14:textId="77777777" w:rsidR="00E57E15" w:rsidRDefault="000A4263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Sig</w:t>
            </w:r>
            <w:proofErr w:type="spellEnd"/>
            <w:r>
              <w:rPr>
                <w:b/>
                <w:bCs/>
                <w:sz w:val="14"/>
                <w:szCs w:val="14"/>
              </w:rPr>
              <w:t>. sob Queen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9A207B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KNN-5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DCFD48" w14:textId="77777777" w:rsidR="00E57E15" w:rsidRDefault="000A4263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Dist</w:t>
            </w:r>
            <w:proofErr w:type="spellEnd"/>
            <w:r>
              <w:rPr>
                <w:b/>
                <w:bCs/>
                <w:sz w:val="14"/>
                <w:szCs w:val="14"/>
              </w:rPr>
              <w:t>. inversa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ED6A87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Rede rodoviária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1C9FCD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Tempo de viagem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2B3E62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As 4 alternativas</w:t>
            </w:r>
          </w:p>
        </w:tc>
      </w:tr>
      <w:tr w:rsidR="00E57E15" w14:paraId="2DC74588" w14:textId="77777777">
        <w:tblPrEx>
          <w:tblCellMar>
            <w:top w:w="0" w:type="dxa"/>
            <w:bottom w:w="0" w:type="dxa"/>
          </w:tblCellMar>
        </w:tblPrEx>
        <w:tc>
          <w:tcPr>
            <w:tcW w:w="22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5C0624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 xml:space="preserve">LISA </w:t>
            </w:r>
            <w:proofErr w:type="spellStart"/>
            <w:r>
              <w:rPr>
                <w:sz w:val="14"/>
                <w:szCs w:val="14"/>
              </w:rPr>
              <w:t>univariado</w:t>
            </w:r>
            <w:proofErr w:type="spellEnd"/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648831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5.991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C9960C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57,7%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8E0076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45,5%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B467E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46,1%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026911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40,7%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857431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20,9%</w:t>
            </w:r>
          </w:p>
        </w:tc>
      </w:tr>
      <w:tr w:rsidR="00E57E15" w14:paraId="1E96299B" w14:textId="77777777">
        <w:tblPrEx>
          <w:tblCellMar>
            <w:top w:w="0" w:type="dxa"/>
            <w:bottom w:w="0" w:type="dxa"/>
          </w:tblCellMar>
        </w:tblPrEx>
        <w:tc>
          <w:tcPr>
            <w:tcW w:w="220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C3420E" w14:textId="77777777" w:rsidR="00E57E15" w:rsidRDefault="000A4263">
            <w:pPr>
              <w:spacing w:line="200" w:lineRule="auto"/>
            </w:pPr>
            <w:r>
              <w:rPr>
                <w:sz w:val="14"/>
                <w:szCs w:val="14"/>
              </w:rPr>
              <w:t>Moran bivariado global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C9F02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3.857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0EAC3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49,8%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1555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50,1%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635CE5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45,1%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EF8DD0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46,3%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204F7D" w14:textId="77777777" w:rsidR="00E57E15" w:rsidRDefault="000A4263">
            <w:pPr>
              <w:spacing w:line="200" w:lineRule="auto"/>
              <w:jc w:val="center"/>
            </w:pPr>
            <w:r>
              <w:rPr>
                <w:sz w:val="14"/>
                <w:szCs w:val="14"/>
              </w:rPr>
              <w:t>26,9%</w:t>
            </w:r>
          </w:p>
        </w:tc>
      </w:tr>
    </w:tbl>
    <w:p w14:paraId="01C6E5D2" w14:textId="77777777" w:rsidR="00E57E15" w:rsidRDefault="000A4263">
      <w:pPr>
        <w:spacing w:after="60"/>
        <w:jc w:val="both"/>
      </w:pPr>
      <w:r>
        <w:rPr>
          <w:sz w:val="20"/>
          <w:szCs w:val="20"/>
        </w:rPr>
        <w:t xml:space="preserve">Nota: </w:t>
      </w:r>
      <w:proofErr w:type="spellStart"/>
      <w:r>
        <w:rPr>
          <w:sz w:val="20"/>
          <w:szCs w:val="20"/>
        </w:rPr>
        <w:t>univariado</w:t>
      </w:r>
      <w:proofErr w:type="spellEnd"/>
      <w:r>
        <w:rPr>
          <w:sz w:val="20"/>
          <w:szCs w:val="20"/>
        </w:rPr>
        <w:t xml:space="preserve"> — mesmo quadrante e significância; bivariado — mesma significância e sinal do I. "As 4 alternativas" exige manutenção simultânea sob KNN-5, distância inversa, rede rodoviária e tempo de viagem.</w:t>
      </w:r>
    </w:p>
    <w:p w14:paraId="466B59D8" w14:textId="77777777" w:rsidR="00E57E15" w:rsidRDefault="000A4263">
      <w:pPr>
        <w:spacing w:before="60" w:after="300"/>
      </w:pPr>
      <w:r>
        <w:rPr>
          <w:sz w:val="20"/>
          <w:szCs w:val="20"/>
        </w:rPr>
        <w:t>Fonte: elaboração própria a partir de IBGE (2</w:t>
      </w:r>
      <w:r>
        <w:rPr>
          <w:sz w:val="20"/>
          <w:szCs w:val="20"/>
        </w:rPr>
        <w:t>025) e RAIS/MTE (2025).</w:t>
      </w:r>
    </w:p>
    <w:p w14:paraId="1F6281EC" w14:textId="77777777" w:rsidR="00E57E15" w:rsidRDefault="000A4263">
      <w:pPr>
        <w:spacing w:line="360" w:lineRule="auto"/>
        <w:ind w:firstLine="708"/>
        <w:jc w:val="both"/>
      </w:pPr>
      <w:r>
        <w:t xml:space="preserve">Três leituras emergem. Primeiro, a sensibilidade à vizinhança é real: pouco mais da metade dos núcleos </w:t>
      </w:r>
      <w:proofErr w:type="spellStart"/>
      <w:r>
        <w:t>univariados</w:t>
      </w:r>
      <w:proofErr w:type="spellEnd"/>
      <w:r>
        <w:t xml:space="preserve"> sobrevive à troca por KNN-5, e cerca de um quinto (20,9%) resiste às quatro alternativas simultaneamente. </w:t>
      </w:r>
      <w:proofErr w:type="gramStart"/>
      <w:r>
        <w:t>Segundo, a</w:t>
      </w:r>
      <w:proofErr w:type="gramEnd"/>
      <w:r>
        <w:t xml:space="preserve"> </w:t>
      </w:r>
      <w:r>
        <w:t xml:space="preserve">matriz de tempo de viagem é a mais exigente (40,7% de manutenção no </w:t>
      </w:r>
      <w:proofErr w:type="spellStart"/>
      <w:r>
        <w:t>univariado</w:t>
      </w:r>
      <w:proofErr w:type="spellEnd"/>
      <w:r>
        <w:t xml:space="preserve">), coerente com sua vizinhança mais densa e com o fato de o tempo penalizar trechos lentos que a distância pura não captura. Terceiro, as matrizes de infraestrutura comportam-se </w:t>
      </w:r>
      <w:r>
        <w:t xml:space="preserve">de forma próxima à distância inversa euclidiana — a correlação entre distância rodoviária e euclidiana é de 0,972, com </w:t>
      </w:r>
      <w:proofErr w:type="spellStart"/>
      <w:r>
        <w:t>circuidade</w:t>
      </w:r>
      <w:proofErr w:type="spellEnd"/>
      <w:r>
        <w:t xml:space="preserve"> mediana de 1,40 —, o que indica que, no Piauí, a topologia viária acompanha em larga medida a geografia; as divergências local</w:t>
      </w:r>
      <w:r>
        <w:t>izadas concentram-se justamente nos municípios de acesso precário, onde a contiguidade superestima a vizinhança efetiva.</w:t>
      </w:r>
    </w:p>
    <w:p w14:paraId="211F0C09" w14:textId="77777777" w:rsidR="00E57E15" w:rsidRDefault="000A4263">
      <w:pPr>
        <w:pStyle w:val="Ttulo1"/>
        <w:spacing w:before="360" w:after="240" w:line="360" w:lineRule="auto"/>
      </w:pPr>
      <w:bookmarkStart w:id="7" w:name="_Toc236901706"/>
      <w:r>
        <w:rPr>
          <w:b/>
          <w:bCs/>
          <w:caps/>
          <w:color w:val="000000"/>
          <w:sz w:val="24"/>
          <w:szCs w:val="24"/>
        </w:rPr>
        <w:t>5 CONTROLE DE COMPARAÇÕES MÚLTIPLAS</w:t>
      </w:r>
      <w:bookmarkEnd w:id="7"/>
    </w:p>
    <w:p w14:paraId="3F1D6BD1" w14:textId="77777777" w:rsidR="00E57E15" w:rsidRDefault="000A4263">
      <w:pPr>
        <w:spacing w:line="360" w:lineRule="auto"/>
        <w:ind w:firstLine="708"/>
        <w:jc w:val="both"/>
      </w:pPr>
      <w:r>
        <w:t xml:space="preserve">Ao nível nominal de 5%, seriam esperados cerca de 11 falsos positivos por mapa </w:t>
      </w:r>
      <w:proofErr w:type="spellStart"/>
      <w:r>
        <w:t>univariado</w:t>
      </w:r>
      <w:proofErr w:type="spellEnd"/>
      <w:r>
        <w:t xml:space="preserve"> e 585 par</w:t>
      </w:r>
      <w:r>
        <w:t xml:space="preserve">es bivariados espúrios no universo de 11.690, mesmo na ausência completa </w:t>
      </w:r>
      <w:r>
        <w:lastRenderedPageBreak/>
        <w:t xml:space="preserve">de estrutura espacial. Aplicada a correção FDR, dos 6.042 municípios nominalmente significativos na análise </w:t>
      </w:r>
      <w:proofErr w:type="spellStart"/>
      <w:r>
        <w:t>univariada</w:t>
      </w:r>
      <w:proofErr w:type="spellEnd"/>
      <w:r>
        <w:t xml:space="preserve">, 4.032 (66,7%) permanecem significativos. Na análise bivariada, </w:t>
      </w:r>
      <w:r>
        <w:t xml:space="preserve">dos 3.915 pares nominalmente significativos, 1.792 (45,8%) sobrevivem à correção, dos quais 937 com associação espacial positiva — o subconjunto de interesse direto para a leitura de potencialidades </w:t>
      </w:r>
      <w:proofErr w:type="spellStart"/>
      <w:r>
        <w:t>co-localizadas</w:t>
      </w:r>
      <w:proofErr w:type="spellEnd"/>
      <w:r>
        <w:t xml:space="preserve">. O corte de significância corrigido foi p </w:t>
      </w:r>
      <w:r>
        <w:t>≤ 0,0077.</w:t>
      </w:r>
    </w:p>
    <w:p w14:paraId="66BE13C1" w14:textId="77777777" w:rsidR="00E57E15" w:rsidRDefault="000A4263">
      <w:pPr>
        <w:spacing w:line="360" w:lineRule="auto"/>
        <w:ind w:firstLine="708"/>
        <w:jc w:val="both"/>
      </w:pPr>
      <w:r>
        <w:t xml:space="preserve">A taxa de sobrevivência de dois terços no </w:t>
      </w:r>
      <w:proofErr w:type="spellStart"/>
      <w:r>
        <w:t>univariado</w:t>
      </w:r>
      <w:proofErr w:type="spellEnd"/>
      <w:r>
        <w:t xml:space="preserve"> indica que os padrões de aglomeração das potencialidades classificadas são majoritariamente sinal, e não artefato do volume de testes — resultado que contrasta com o universo completo da base, </w:t>
      </w:r>
      <w:r>
        <w:t>no qual a mesma correção elimina a grande maioria dos resultados. O filtro tipológico T1/T2 atua, na prática, como um pré-filtro de qualidade estatística.</w:t>
      </w:r>
    </w:p>
    <w:p w14:paraId="2508C35C" w14:textId="77777777" w:rsidR="00E57E15" w:rsidRDefault="000A4263">
      <w:pPr>
        <w:pStyle w:val="Ttulo1"/>
        <w:spacing w:before="360" w:after="240" w:line="360" w:lineRule="auto"/>
      </w:pPr>
      <w:bookmarkStart w:id="8" w:name="_Toc236901707"/>
      <w:r>
        <w:rPr>
          <w:b/>
          <w:bCs/>
          <w:caps/>
          <w:color w:val="000000"/>
          <w:sz w:val="24"/>
          <w:szCs w:val="24"/>
        </w:rPr>
        <w:t>6 CO-LOCALIZAÇÃO: O NÚCLEO ROBUSTO DE PARES</w:t>
      </w:r>
      <w:bookmarkEnd w:id="8"/>
    </w:p>
    <w:p w14:paraId="5C3B57A5" w14:textId="77777777" w:rsidR="00E57E15" w:rsidRDefault="000A4263">
      <w:pPr>
        <w:spacing w:line="360" w:lineRule="auto"/>
        <w:ind w:firstLine="708"/>
        <w:jc w:val="both"/>
      </w:pPr>
      <w:r>
        <w:t xml:space="preserve">Dos 11.690 pares avaliados, 3.857 são significativos sob Queen; destes, 1.298 têm associação positiva com subclasse focal significativa — o conjunto exibido no painel interativo. A aplicação conjunta dos dois critérios de robustez — sobrevivência ao FDR e </w:t>
      </w:r>
      <w:r>
        <w:t xml:space="preserve">confirmação sob as quatro matrizes alternativas — reduz esse conjunto a um núcleo de 340 pares, sobre o qual a evidência de </w:t>
      </w:r>
      <w:proofErr w:type="spellStart"/>
      <w:r>
        <w:t>co-localização</w:t>
      </w:r>
      <w:proofErr w:type="spellEnd"/>
      <w:r>
        <w:t xml:space="preserve"> é a mais defensável que o desenho permite. A Tabela 3 lista os vinte mais fortes.</w:t>
      </w:r>
    </w:p>
    <w:p w14:paraId="6B9E29C2" w14:textId="77777777" w:rsidR="00E57E15" w:rsidRDefault="000A4263">
      <w:pPr>
        <w:keepNext/>
        <w:keepLines/>
        <w:pageBreakBefore/>
        <w:spacing w:before="240" w:after="60"/>
      </w:pPr>
      <w:r>
        <w:rPr>
          <w:sz w:val="22"/>
          <w:szCs w:val="22"/>
        </w:rPr>
        <w:lastRenderedPageBreak/>
        <w:t>Tabela 3 – Os vinte pares de subcla</w:t>
      </w:r>
      <w:r>
        <w:rPr>
          <w:sz w:val="22"/>
          <w:szCs w:val="22"/>
        </w:rPr>
        <w:t xml:space="preserve">sses mais </w:t>
      </w:r>
      <w:proofErr w:type="spellStart"/>
      <w:r>
        <w:rPr>
          <w:sz w:val="22"/>
          <w:szCs w:val="22"/>
        </w:rPr>
        <w:t>co-localizados</w:t>
      </w:r>
      <w:proofErr w:type="spellEnd"/>
      <w:r>
        <w:rPr>
          <w:sz w:val="22"/>
          <w:szCs w:val="22"/>
        </w:rPr>
        <w:t xml:space="preserve"> do núcleo robusto (FDR e 4 matrizes alternativas) – Piauí – 2025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96"/>
        <w:gridCol w:w="2696"/>
        <w:gridCol w:w="899"/>
        <w:gridCol w:w="999"/>
        <w:gridCol w:w="771"/>
        <w:gridCol w:w="510"/>
      </w:tblGrid>
      <w:tr w:rsidR="00E57E15" w14:paraId="2A4B8B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B4E8FF" w14:textId="77777777" w:rsidR="00E57E15" w:rsidRDefault="000A4263">
            <w:pPr>
              <w:spacing w:line="200" w:lineRule="auto"/>
            </w:pPr>
            <w:r>
              <w:rPr>
                <w:b/>
                <w:bCs/>
                <w:sz w:val="13"/>
                <w:szCs w:val="13"/>
              </w:rPr>
              <w:t>#</w:t>
            </w:r>
          </w:p>
        </w:tc>
        <w:tc>
          <w:tcPr>
            <w:tcW w:w="27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5B394F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Subclasse focal (x)</w:t>
            </w:r>
          </w:p>
        </w:tc>
        <w:tc>
          <w:tcPr>
            <w:tcW w:w="27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B247CB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Subclasse parceira (</w:t>
            </w:r>
            <w:proofErr w:type="spellStart"/>
            <w:r>
              <w:rPr>
                <w:b/>
                <w:bCs/>
                <w:sz w:val="13"/>
                <w:szCs w:val="13"/>
              </w:rPr>
              <w:t>lag</w:t>
            </w:r>
            <w:proofErr w:type="spellEnd"/>
            <w:r>
              <w:rPr>
                <w:b/>
                <w:bCs/>
                <w:sz w:val="13"/>
                <w:szCs w:val="13"/>
              </w:rPr>
              <w:t xml:space="preserve"> y)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790425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I </w:t>
            </w:r>
            <w:proofErr w:type="spellStart"/>
            <w:r>
              <w:rPr>
                <w:b/>
                <w:bCs/>
                <w:sz w:val="13"/>
                <w:szCs w:val="13"/>
              </w:rPr>
              <w:t>biv</w:t>
            </w:r>
            <w:proofErr w:type="spellEnd"/>
            <w:r>
              <w:rPr>
                <w:b/>
                <w:bCs/>
                <w:sz w:val="13"/>
                <w:szCs w:val="13"/>
              </w:rPr>
              <w:t>.</w:t>
            </w:r>
          </w:p>
        </w:tc>
        <w:tc>
          <w:tcPr>
            <w:tcW w:w="10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A0F1A2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p (9.999 </w:t>
            </w:r>
            <w:proofErr w:type="spellStart"/>
            <w:r>
              <w:rPr>
                <w:b/>
                <w:bCs/>
                <w:sz w:val="13"/>
                <w:szCs w:val="13"/>
              </w:rPr>
              <w:t>perm</w:t>
            </w:r>
            <w:proofErr w:type="spellEnd"/>
            <w:r>
              <w:rPr>
                <w:b/>
                <w:bCs/>
                <w:sz w:val="13"/>
                <w:szCs w:val="13"/>
              </w:rPr>
              <w:t>.)</w:t>
            </w:r>
          </w:p>
        </w:tc>
        <w:tc>
          <w:tcPr>
            <w:tcW w:w="771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62A6CC" w14:textId="77777777" w:rsidR="00E57E15" w:rsidRDefault="000A4263">
            <w:pPr>
              <w:spacing w:line="200" w:lineRule="auto"/>
              <w:jc w:val="center"/>
            </w:pPr>
            <w:r>
              <w:rPr>
                <w:b/>
                <w:bCs/>
                <w:sz w:val="13"/>
                <w:szCs w:val="13"/>
              </w:rPr>
              <w:t>Núcleos AA</w:t>
            </w:r>
          </w:p>
        </w:tc>
        <w:tc>
          <w:tcPr>
            <w:tcW w:w="500" w:type="dxa"/>
            <w:tcBorders>
              <w:top w:val="single" w:sz="8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A5BCE0" w14:textId="77777777" w:rsidR="00E57E15" w:rsidRDefault="000A4263">
            <w:pPr>
              <w:spacing w:line="200" w:lineRule="auto"/>
              <w:jc w:val="center"/>
            </w:pPr>
            <w:proofErr w:type="spellStart"/>
            <w:r>
              <w:rPr>
                <w:b/>
                <w:bCs/>
                <w:sz w:val="13"/>
                <w:szCs w:val="13"/>
              </w:rPr>
              <w:t>Copre</w:t>
            </w:r>
            <w:proofErr w:type="spellEnd"/>
            <w:r>
              <w:rPr>
                <w:b/>
                <w:bCs/>
                <w:sz w:val="13"/>
                <w:szCs w:val="13"/>
              </w:rPr>
              <w:t>- sentes</w:t>
            </w:r>
          </w:p>
        </w:tc>
      </w:tr>
      <w:tr w:rsidR="00E57E15" w14:paraId="46EBDF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431567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98ED4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Caprino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D2B279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Mel de abelha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15C052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0,431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7FE71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D0A335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49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122A42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65</w:t>
            </w:r>
          </w:p>
        </w:tc>
      </w:tr>
      <w:tr w:rsidR="00E57E15" w14:paraId="68C37E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DC7EFB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005CA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Mel de abelha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EEEA47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Caprino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9E7272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0,395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9524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F69050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36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0B262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65</w:t>
            </w:r>
          </w:p>
        </w:tc>
      </w:tr>
      <w:tr w:rsidR="00E57E15" w14:paraId="4823F0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E78057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335417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Babaçu amêndoa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2D989A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Arroz em casca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43FFCD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0,361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B91A4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310273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19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7B4E7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31</w:t>
            </w:r>
          </w:p>
        </w:tc>
      </w:tr>
      <w:tr w:rsidR="00E57E15" w14:paraId="7BD06F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C1BFDF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EA997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Arroz em casca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0E40B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Babaçu amêndoa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D4DE0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0,357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56ABE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0E86D3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5743CA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31</w:t>
            </w:r>
          </w:p>
        </w:tc>
      </w:tr>
      <w:tr w:rsidR="00E57E15" w14:paraId="149788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4046CC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E8BF46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Soja em grão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FEBEFC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milho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F1D2B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0,332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2E8CFA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E33760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D02E92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6</w:t>
            </w:r>
          </w:p>
        </w:tc>
      </w:tr>
      <w:tr w:rsidR="00E57E15" w14:paraId="323BBF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6CEFE6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3C1170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Babaçu amêndoa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75C915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Oleaginosos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B00AD6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0,326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9C9646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3DCFC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59B32D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29</w:t>
            </w:r>
          </w:p>
        </w:tc>
      </w:tr>
      <w:tr w:rsidR="00E57E15" w14:paraId="398592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1C7D88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08AC4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arroz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C568B9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Soja em grão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4F47A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0,323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7C2E87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11C39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8A3E52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</w:tr>
      <w:tr w:rsidR="00E57E15" w14:paraId="043F4D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625E58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CA4469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Soja em grão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AF664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arroz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F4A956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0,312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110A67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C8FA2B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321AEA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</w:tr>
      <w:tr w:rsidR="00E57E15" w14:paraId="2E759F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9DBC3E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4B5803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Oleaginosos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7C3B7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Babaçu amêndoa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3006D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0,307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344385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0F0AB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1A5683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29</w:t>
            </w:r>
          </w:p>
        </w:tc>
      </w:tr>
      <w:tr w:rsidR="00E57E15" w14:paraId="6D34A5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669006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B02A9F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Cultivo de soja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5FD3BB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Soja em grão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4A68BB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0,304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07F76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46AE2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94EC2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14</w:t>
            </w:r>
          </w:p>
        </w:tc>
      </w:tr>
      <w:tr w:rsidR="00E57E15" w14:paraId="3AE71A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B954FB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FDD376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Ovino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62B23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Mel de abelha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D1AC50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0,290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CC67A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B175C5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58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FFC2F6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106</w:t>
            </w:r>
          </w:p>
        </w:tc>
      </w:tr>
      <w:tr w:rsidR="00E57E15" w14:paraId="7257C0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E7F780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0EBDF2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Tambacu </w:t>
            </w:r>
            <w:proofErr w:type="spellStart"/>
            <w:r>
              <w:rPr>
                <w:sz w:val="13"/>
                <w:szCs w:val="13"/>
              </w:rPr>
              <w:t>tambatinga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99BB97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Babaçu amêndoa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BE5F0F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0,290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5175B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1D372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9DF4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14</w:t>
            </w:r>
          </w:p>
        </w:tc>
      </w:tr>
      <w:tr w:rsidR="00E57E15" w14:paraId="6EB73D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8B29D2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D038A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Tambacu </w:t>
            </w:r>
            <w:proofErr w:type="spellStart"/>
            <w:r>
              <w:rPr>
                <w:sz w:val="13"/>
                <w:szCs w:val="13"/>
              </w:rPr>
              <w:t>tambatinga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193C1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Arroz em casca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227899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0,287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795B4D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B06B0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0674B0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23</w:t>
            </w:r>
          </w:p>
        </w:tc>
      </w:tr>
      <w:tr w:rsidR="00E57E15" w14:paraId="3484F5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C72452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C9101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Babaçu amêndoa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7A317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Tambacu </w:t>
            </w:r>
            <w:proofErr w:type="spellStart"/>
            <w:r>
              <w:rPr>
                <w:sz w:val="13"/>
                <w:szCs w:val="13"/>
              </w:rPr>
              <w:t>tambatinga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C7B103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0,285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DEAEAF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E04D50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02B27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14</w:t>
            </w:r>
          </w:p>
        </w:tc>
      </w:tr>
      <w:tr w:rsidR="00E57E15" w14:paraId="54155C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7C536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E5A36C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Mel de abelha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BB5B59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Ovino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C3B8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0,281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7372F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0F5DC7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42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8D7D86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106</w:t>
            </w:r>
          </w:p>
        </w:tc>
      </w:tr>
      <w:tr w:rsidR="00E57E15" w14:paraId="39DC2B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8BF253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16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DC2BF9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Arroz em casca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8FD6C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Oleaginosos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2FA30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0,280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8D29D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8BEE95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4CA82B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21</w:t>
            </w:r>
          </w:p>
        </w:tc>
      </w:tr>
      <w:tr w:rsidR="00E57E15" w14:paraId="3AE8C9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7E8C78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DFBACC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Oleaginosos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0E10D5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Arroz em casca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A8845B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0,275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EA941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40FC8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2447F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21</w:t>
            </w:r>
          </w:p>
        </w:tc>
      </w:tr>
      <w:tr w:rsidR="00E57E15" w14:paraId="1BA7A7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7EBC2E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05EF34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B66419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Soja em grão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2AF47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0,275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F23E58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4E952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BBE0B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</w:tr>
      <w:tr w:rsidR="00E57E15" w14:paraId="668373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D7010B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19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4FBAE5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Arroz em casca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C1AA00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 xml:space="preserve">Tambacu </w:t>
            </w:r>
            <w:proofErr w:type="spellStart"/>
            <w:r>
              <w:rPr>
                <w:sz w:val="13"/>
                <w:szCs w:val="13"/>
              </w:rPr>
              <w:t>tambatinga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A38E6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0,264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9BCFED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849940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23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82A81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23</w:t>
            </w:r>
          </w:p>
        </w:tc>
      </w:tr>
      <w:tr w:rsidR="00E57E15" w14:paraId="04B70A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E936AA" w14:textId="77777777" w:rsidR="00E57E15" w:rsidRDefault="000A4263">
            <w:pPr>
              <w:spacing w:line="200" w:lineRule="auto"/>
            </w:pPr>
            <w:r>
              <w:rPr>
                <w:sz w:val="13"/>
                <w:szCs w:val="13"/>
              </w:rPr>
              <w:t>20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CE2FE7D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Soja em grão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49B602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Criação de bovinos para corte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D85832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0,256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BC5E77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0,0001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0CF13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10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94EF8E" w14:textId="77777777" w:rsidR="00E57E15" w:rsidRDefault="000A4263">
            <w:pPr>
              <w:spacing w:line="200" w:lineRule="auto"/>
              <w:jc w:val="center"/>
            </w:pPr>
            <w:r>
              <w:rPr>
                <w:sz w:val="13"/>
                <w:szCs w:val="13"/>
              </w:rPr>
              <w:t>8</w:t>
            </w:r>
          </w:p>
        </w:tc>
      </w:tr>
    </w:tbl>
    <w:p w14:paraId="7D2464CD" w14:textId="77777777" w:rsidR="00E57E15" w:rsidRDefault="000A4263">
      <w:pPr>
        <w:spacing w:after="60"/>
        <w:jc w:val="both"/>
      </w:pPr>
      <w:r>
        <w:rPr>
          <w:sz w:val="20"/>
          <w:szCs w:val="20"/>
        </w:rPr>
        <w:t xml:space="preserve">Nota: I </w:t>
      </w:r>
      <w:proofErr w:type="spellStart"/>
      <w:r>
        <w:rPr>
          <w:sz w:val="20"/>
          <w:szCs w:val="20"/>
        </w:rPr>
        <w:t>biv</w:t>
      </w:r>
      <w:proofErr w:type="spellEnd"/>
      <w:r>
        <w:rPr>
          <w:sz w:val="20"/>
          <w:szCs w:val="20"/>
        </w:rPr>
        <w:t>. sob matriz Queen; núcleos AA do LISA bivariado local (999 permutações); pares ordenados pelo I bivariado.</w:t>
      </w:r>
    </w:p>
    <w:p w14:paraId="783C12BE" w14:textId="77777777" w:rsidR="00E57E15" w:rsidRDefault="000A4263">
      <w:pPr>
        <w:spacing w:before="60" w:after="300"/>
      </w:pPr>
      <w:r>
        <w:rPr>
          <w:sz w:val="20"/>
          <w:szCs w:val="20"/>
        </w:rPr>
        <w:t>Fonte: elaboração própria a partir de IBGE (2025) e RAIS/MTE (2025).</w:t>
      </w:r>
    </w:p>
    <w:p w14:paraId="33A7F00C" w14:textId="77777777" w:rsidR="00E57E15" w:rsidRDefault="000A4263">
      <w:pPr>
        <w:spacing w:line="360" w:lineRule="auto"/>
        <w:ind w:firstLine="708"/>
        <w:jc w:val="both"/>
      </w:pPr>
      <w:r>
        <w:t>O núcleo robusto confirma — e depura — as duas assinaturas econômica</w:t>
      </w:r>
      <w:r>
        <w:t xml:space="preserve">s do relatório preliminar. De um lado, o complexo apícola-extrativo-pecuário do </w:t>
      </w:r>
      <w:proofErr w:type="gramStart"/>
      <w:r>
        <w:t>norte</w:t>
      </w:r>
      <w:proofErr w:type="gramEnd"/>
      <w:r>
        <w:t xml:space="preserve">: mel de abelha, galináceos, caprinos, ovinos e babaçu </w:t>
      </w:r>
      <w:proofErr w:type="spellStart"/>
      <w:r>
        <w:t>co-localizados</w:t>
      </w:r>
      <w:proofErr w:type="spellEnd"/>
      <w:r>
        <w:t xml:space="preserve"> entre si e com o comércio de consumo, na mancha que vai da Região Metropolitana de Teresina aos Cocai</w:t>
      </w:r>
      <w:r>
        <w:t>s. De outro, o complexo de grãos do sudoeste: soja, milho, arroz e seus elos de serviços — preparação de terreno, manutenção de máquinas agrícolas, comércio atacadista de insumos e produção — na fronteira do Cerrado. Pares presentes na versão preliminar qu</w:t>
      </w:r>
      <w:r>
        <w:t>e dependiam de coincidências de presença rara, sem intensidade correspondente, não resistem aos filtros e saem do núcleo.</w:t>
      </w:r>
    </w:p>
    <w:p w14:paraId="4CB0BAED" w14:textId="77777777" w:rsidR="00E57E15" w:rsidRDefault="000A4263">
      <w:pPr>
        <w:spacing w:line="360" w:lineRule="auto"/>
        <w:ind w:firstLine="708"/>
        <w:jc w:val="both"/>
      </w:pPr>
      <w:r>
        <w:t>A Figura 2 mapeia a frequência com que cada município participa de núcleos Alto-Alto dos 340 pares robustos, oferecendo uma síntese te</w:t>
      </w:r>
      <w:r>
        <w:t xml:space="preserve">rritorial da </w:t>
      </w:r>
      <w:proofErr w:type="spellStart"/>
      <w:r>
        <w:t>co-localização</w:t>
      </w:r>
      <w:proofErr w:type="spellEnd"/>
      <w:r>
        <w:t>.</w:t>
      </w:r>
    </w:p>
    <w:p w14:paraId="32FFE346" w14:textId="77777777" w:rsidR="00E57E15" w:rsidRDefault="000A4263">
      <w:pPr>
        <w:keepNext/>
        <w:keepLines/>
        <w:spacing w:before="240" w:after="60"/>
      </w:pPr>
      <w:r>
        <w:rPr>
          <w:sz w:val="22"/>
          <w:szCs w:val="22"/>
        </w:rPr>
        <w:lastRenderedPageBreak/>
        <w:t>Figura 2 – Número de pares robustos com núcleo Alto-Alto no município – Piauí – 2025</w:t>
      </w:r>
    </w:p>
    <w:p w14:paraId="1DBED1B8" w14:textId="77777777" w:rsidR="00E57E15" w:rsidRDefault="000A4263">
      <w:pPr>
        <w:jc w:val="center"/>
      </w:pPr>
      <w:r>
        <w:rPr>
          <w:noProof/>
        </w:rPr>
        <w:drawing>
          <wp:inline distT="0" distB="0" distL="0" distR="0" wp14:anchorId="3DD6B6A6" wp14:editId="7129E3C2">
            <wp:extent cx="5715000" cy="66198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38CA" w14:textId="77777777" w:rsidR="00E57E15" w:rsidRDefault="000A4263">
      <w:pPr>
        <w:spacing w:after="60"/>
        <w:jc w:val="both"/>
      </w:pPr>
      <w:r>
        <w:rPr>
          <w:sz w:val="20"/>
          <w:szCs w:val="20"/>
        </w:rPr>
        <w:t>Nota: contorno em destaque nos oito municípios de maior contagem.</w:t>
      </w:r>
    </w:p>
    <w:p w14:paraId="1E0F7906" w14:textId="77777777" w:rsidR="00E57E15" w:rsidRDefault="000A4263">
      <w:pPr>
        <w:spacing w:before="60" w:after="300"/>
      </w:pPr>
      <w:r>
        <w:rPr>
          <w:sz w:val="20"/>
          <w:szCs w:val="20"/>
        </w:rPr>
        <w:t>Fonte: elaboração própria a partir de IBGE (2025) e RAIS/MTE (2025).</w:t>
      </w:r>
    </w:p>
    <w:p w14:paraId="52A29446" w14:textId="77777777" w:rsidR="00E57E15" w:rsidRDefault="000A4263">
      <w:pPr>
        <w:spacing w:line="360" w:lineRule="auto"/>
        <w:ind w:firstLine="708"/>
        <w:jc w:val="both"/>
      </w:pPr>
      <w:r>
        <w:t xml:space="preserve">A concentração é eloquente: Teresina (147 pares), União (145), Altos (139) e José de Freitas (136) formam o quadrilátero de </w:t>
      </w:r>
      <w:proofErr w:type="spellStart"/>
      <w:r>
        <w:t>co-localização</w:t>
      </w:r>
      <w:proofErr w:type="spellEnd"/>
      <w:r>
        <w:t xml:space="preserve"> mais denso do estado, seguidos por Batalha, Deme</w:t>
      </w:r>
      <w:r>
        <w:t>rval Lobão e Barras. A leitura de política é direta: nesses municípios, as potencialidades classificadas não apenas existem — elas se reforçam mutuamente no território, configurando o ambiente mais propício a intervenções de adensamento produtivo com efeit</w:t>
      </w:r>
      <w:r>
        <w:t>os de transbordamento.</w:t>
      </w:r>
    </w:p>
    <w:p w14:paraId="421F2B01" w14:textId="77777777" w:rsidR="00E57E15" w:rsidRDefault="000A4263">
      <w:pPr>
        <w:pStyle w:val="Ttulo1"/>
        <w:spacing w:before="360" w:after="240" w:line="360" w:lineRule="auto"/>
      </w:pPr>
      <w:bookmarkStart w:id="9" w:name="_Toc236901708"/>
      <w:r>
        <w:rPr>
          <w:b/>
          <w:bCs/>
          <w:caps/>
          <w:color w:val="000000"/>
          <w:sz w:val="24"/>
          <w:szCs w:val="24"/>
        </w:rPr>
        <w:lastRenderedPageBreak/>
        <w:t>7 CONSIDERAÇÕES FINAIS</w:t>
      </w:r>
      <w:bookmarkEnd w:id="9"/>
    </w:p>
    <w:p w14:paraId="40C19C95" w14:textId="77777777" w:rsidR="00E57E15" w:rsidRDefault="000A4263">
      <w:pPr>
        <w:spacing w:line="360" w:lineRule="auto"/>
        <w:ind w:firstLine="708"/>
        <w:jc w:val="both"/>
      </w:pPr>
      <w:r>
        <w:t xml:space="preserve">Quatro conclusões resumem o relatório. Primeira: o agrupamento espacial das potencialidades T1/T2 é real, forte e majoritariamente robusto — 54 das 120 subclasses elegíveis agrupam-se de forma significativa, e dois terços dos núcleos sobrevivem à correção </w:t>
      </w:r>
      <w:r>
        <w:t xml:space="preserve">de comparações múltiplas. Segunda: dois </w:t>
      </w:r>
      <w:proofErr w:type="spellStart"/>
      <w:r>
        <w:t>macro-hotspots</w:t>
      </w:r>
      <w:proofErr w:type="spellEnd"/>
      <w:r>
        <w:t xml:space="preserve"> organizam a geografia das potencialidades — o eixo norte (Teresina/Cocais), denso e diversificado, e a fronteira de grãos do sudoeste, especializada e coerente. Terceira: a </w:t>
      </w:r>
      <w:proofErr w:type="spellStart"/>
      <w:r>
        <w:t>co-localização</w:t>
      </w:r>
      <w:proofErr w:type="spellEnd"/>
      <w:r>
        <w:t xml:space="preserve"> setorial é ec</w:t>
      </w:r>
      <w:r>
        <w:t>onomicamente interpretável e, no núcleo robusto de 340 pares, estatisticamente exigente — complexo apícola-extrativo-pecuário ao norte, complexo de grãos ao sul. Quarta: a sensibilidade à matriz de vizinhança permanece o principal qualificador dos resultad</w:t>
      </w:r>
      <w:r>
        <w:t>os; a incorporação de matrizes de infraestrutura real (rodovias e tempos de viagem) converte essa limitação em medida, e restringe a ressalva residual a fluxos efetivos de origem–destino.</w:t>
      </w:r>
    </w:p>
    <w:p w14:paraId="5EA0C416" w14:textId="77777777" w:rsidR="00E57E15" w:rsidRDefault="000A4263">
      <w:pPr>
        <w:spacing w:line="360" w:lineRule="auto"/>
        <w:ind w:firstLine="708"/>
        <w:jc w:val="both"/>
      </w:pPr>
      <w:r>
        <w:t>Como agenda, três desdobramentos são naturais: replicar o núcleo rob</w:t>
      </w:r>
      <w:r>
        <w:t>usto no pipeline shift-</w:t>
      </w:r>
      <w:proofErr w:type="spellStart"/>
      <w:r>
        <w:t>share</w:t>
      </w:r>
      <w:proofErr w:type="spellEnd"/>
      <w:r>
        <w:t xml:space="preserve"> (CE+RIE), cuja robustez já foi verificada em paralelo; construir um cenário prospectivo de conectividade com a ferrovia Transnordestina; e validar os pares do núcleo robusto com evidência qualitativa de campo junto aos territór</w:t>
      </w:r>
      <w:r>
        <w:t>ios de desenvolvimento.</w:t>
      </w:r>
    </w:p>
    <w:p w14:paraId="588F7687" w14:textId="77777777" w:rsidR="00E57E15" w:rsidRDefault="000A4263">
      <w:pPr>
        <w:pStyle w:val="Ttulo1"/>
        <w:spacing w:before="360" w:after="240" w:line="360" w:lineRule="auto"/>
      </w:pPr>
      <w:bookmarkStart w:id="10" w:name="_Toc236901709"/>
      <w:r>
        <w:rPr>
          <w:b/>
          <w:bCs/>
          <w:caps/>
          <w:color w:val="000000"/>
          <w:sz w:val="24"/>
          <w:szCs w:val="24"/>
        </w:rPr>
        <w:t>REFERÊNCIAS</w:t>
      </w:r>
      <w:bookmarkEnd w:id="10"/>
    </w:p>
    <w:p w14:paraId="12C30086" w14:textId="77777777" w:rsidR="00E57E15" w:rsidRDefault="000A4263">
      <w:pPr>
        <w:spacing w:after="240"/>
      </w:pPr>
      <w:r>
        <w:t xml:space="preserve">ANSELIN, L. Local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— LISA.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, v. 27, n. 2, p. 93–115, 1995.</w:t>
      </w:r>
    </w:p>
    <w:p w14:paraId="5DF7C23C" w14:textId="77777777" w:rsidR="00E57E15" w:rsidRDefault="000A4263">
      <w:pPr>
        <w:spacing w:after="240"/>
      </w:pPr>
      <w:r>
        <w:t xml:space="preserve">BENJAMINI, Y.; HOCHBERG, Y.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false </w:t>
      </w:r>
      <w:proofErr w:type="spellStart"/>
      <w:r>
        <w:t>discovery</w:t>
      </w:r>
      <w:proofErr w:type="spellEnd"/>
      <w:r>
        <w:t xml:space="preserve"> rate: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approach </w:t>
      </w:r>
      <w:proofErr w:type="spellStart"/>
      <w:r>
        <w:t>to</w:t>
      </w:r>
      <w:proofErr w:type="spellEnd"/>
      <w:r>
        <w:t xml:space="preserve"> </w:t>
      </w:r>
      <w:proofErr w:type="spellStart"/>
      <w:r>
        <w:t>mult</w:t>
      </w:r>
      <w:r>
        <w:t>iple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Royal </w:t>
      </w:r>
      <w:proofErr w:type="spellStart"/>
      <w:r>
        <w:t>Statistical</w:t>
      </w:r>
      <w:proofErr w:type="spellEnd"/>
      <w:r>
        <w:t xml:space="preserve"> Society: Series B, v. 57, n. 1, p. 289–300, 1995.</w:t>
      </w:r>
    </w:p>
    <w:p w14:paraId="04E3626C" w14:textId="77777777" w:rsidR="00E57E15" w:rsidRDefault="000A4263">
      <w:pPr>
        <w:spacing w:after="240"/>
      </w:pPr>
      <w:r>
        <w:t xml:space="preserve">CASTRO, M. C. de; SINGER, B. H.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false </w:t>
      </w:r>
      <w:proofErr w:type="spellStart"/>
      <w:r>
        <w:t>discovery</w:t>
      </w:r>
      <w:proofErr w:type="spellEnd"/>
      <w:r>
        <w:t xml:space="preserve"> rate: a new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in local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spat</w:t>
      </w:r>
      <w:r>
        <w:t>ial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.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, v. 38, n. 2, p. 180–208, 2006.</w:t>
      </w:r>
    </w:p>
    <w:p w14:paraId="22438EEB" w14:textId="77777777" w:rsidR="00E57E15" w:rsidRDefault="000A4263">
      <w:pPr>
        <w:spacing w:after="240"/>
      </w:pPr>
      <w:r>
        <w:t>INSTITUTO BRASILEIRO DE GEOGRAFIA E ESTATÍSTICA. Malha Municipal Digital 2025. Rio de Janeiro: IBGE, 2025.</w:t>
      </w:r>
    </w:p>
    <w:p w14:paraId="14CEA45E" w14:textId="77777777" w:rsidR="00E57E15" w:rsidRDefault="000A4263">
      <w:pPr>
        <w:spacing w:after="240"/>
      </w:pPr>
      <w:r>
        <w:t xml:space="preserve">INSTITUTO BRASILEIRO DE GEOGRAFIA E ESTATÍSTICA. Produção Agrícola Municipal; </w:t>
      </w:r>
      <w:r>
        <w:t>Pesquisa da Pecuária Municipal; Produção da Extração Vegetal e da Silvicultura. Rio de Janeiro: IBGE, 2025.</w:t>
      </w:r>
    </w:p>
    <w:p w14:paraId="56845934" w14:textId="77777777" w:rsidR="00E57E15" w:rsidRDefault="000A4263">
      <w:pPr>
        <w:spacing w:after="240"/>
      </w:pPr>
      <w:r>
        <w:t>MINISTÉRIO DO TRABALHO E EMPREGO. Relação Anual de Informações Sociais (RAIS). Brasília: MTE, 2025.</w:t>
      </w:r>
    </w:p>
    <w:p w14:paraId="2E5EFC6E" w14:textId="77777777" w:rsidR="00E57E15" w:rsidRDefault="000A4263">
      <w:pPr>
        <w:spacing w:after="240"/>
      </w:pPr>
      <w:r>
        <w:lastRenderedPageBreak/>
        <w:t xml:space="preserve">OPENROUTESERVICE. Matrix API. Heidelberg: </w:t>
      </w:r>
      <w:proofErr w:type="spellStart"/>
      <w:r>
        <w:t>HeiGIT</w:t>
      </w:r>
      <w:proofErr w:type="spellEnd"/>
      <w:r>
        <w:t>, Universidade de Heidelberg, 2026. Disponível em: https://openrouteservice.org. Acesso em: ago. 2026.</w:t>
      </w:r>
    </w:p>
    <w:p w14:paraId="0D06C7F4" w14:textId="77777777" w:rsidR="00E57E15" w:rsidRDefault="000A4263">
      <w:pPr>
        <w:spacing w:after="240"/>
      </w:pPr>
      <w:r>
        <w:t xml:space="preserve">REY, S. J.; ANSELIN, L. </w:t>
      </w:r>
      <w:proofErr w:type="spellStart"/>
      <w:r>
        <w:t>PySAL</w:t>
      </w:r>
      <w:proofErr w:type="spellEnd"/>
      <w:r>
        <w:t xml:space="preserve">: a Python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Review </w:t>
      </w:r>
      <w:proofErr w:type="spellStart"/>
      <w:r>
        <w:t>of</w:t>
      </w:r>
      <w:proofErr w:type="spellEnd"/>
      <w:r>
        <w:t xml:space="preserve"> Regional </w:t>
      </w:r>
      <w:proofErr w:type="spellStart"/>
      <w:r>
        <w:t>Studies</w:t>
      </w:r>
      <w:proofErr w:type="spellEnd"/>
      <w:r>
        <w:t>, v. 37, n. 1, p. 5–27, 2007.</w:t>
      </w:r>
    </w:p>
    <w:sectPr w:rsidR="00E57E15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E1E3B"/>
    <w:multiLevelType w:val="hybridMultilevel"/>
    <w:tmpl w:val="FFB088E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15"/>
    <w:rsid w:val="000A4263"/>
    <w:rsid w:val="006953C4"/>
    <w:rsid w:val="00E5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77C57"/>
  <w15:docId w15:val="{6E7023E1-8418-4E5E-88A1-17785B69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953C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953C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2937</Words>
  <Characters>15862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Girola Macedo Barbosa</cp:lastModifiedBy>
  <cp:revision>2</cp:revision>
  <dcterms:created xsi:type="dcterms:W3CDTF">2026-08-06T11:42:00Z</dcterms:created>
  <dcterms:modified xsi:type="dcterms:W3CDTF">2026-08-06T14:50:00Z</dcterms:modified>
</cp:coreProperties>
</file>