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2a0239baac823af74e20fbafb146692d66c0b3f"/>
    <w:p>
      <w:pPr>
        <w:pStyle w:val="Heading1"/>
      </w:pPr>
      <w:r>
        <w:t xml:space="preserve">MAPA DE POTENCIALIDADES ECONÔMICAS DO PIAUÍ</w:t>
      </w:r>
    </w:p>
    <w:p>
      <w:pPr>
        <w:pStyle w:val="FirstParagraph"/>
      </w:pPr>
      <w:r>
        <w:rPr>
          <w:b/>
          <w:bCs/>
        </w:rPr>
        <w:t xml:space="preserve">Nota metodológica: identificação de aglomerações (</w:t>
      </w:r>
      <w:r>
        <w:rPr>
          <w:b/>
          <w:bCs/>
          <w:i/>
          <w:iCs/>
        </w:rPr>
        <w:t xml:space="preserve">clusters</w:t>
      </w:r>
      <w:r>
        <w:rPr>
          <w:b/>
          <w:bCs/>
        </w:rPr>
        <w:t xml:space="preserve">) espaciais de potencialidades e análises de robustez</w:t>
      </w:r>
    </w:p>
    <w:p>
      <w:r>
        <w:pict>
          <v:rect style="width:0;height:1.5pt" o:hralign="center" o:hrstd="t" o:hr="t"/>
        </w:pict>
      </w:r>
    </w:p>
    <w:bookmarkStart w:id="9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Esta nota descreve o arcabouço teórico, as definições operacionais e as formulações matemáticas empregadas na identificação de aglomerações (</w:t>
      </w:r>
      <w:r>
        <w:rPr>
          <w:i/>
          <w:iCs/>
        </w:rPr>
        <w:t xml:space="preserve">clusters</w:t>
      </w:r>
      <w:r>
        <w:t xml:space="preserve">) espaciais de potencialidades econômicas nos 224 municípios do Piauí. A intensidade da potencialidade de cada par município–subclasse é mensurada por componentes da decomposição estrutural-diferencial (</w:t>
      </w:r>
      <w:r>
        <w:rPr>
          <w:i/>
          <w:iCs/>
        </w:rPr>
        <w:t xml:space="preserve">shift-share</w:t>
      </w:r>
      <w:r>
        <w:t xml:space="preserve">), no recorte tipológico T1+T2 de Montanía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(2024). A dimensão espacial é tratada por Análise Exploratória de Dados Espaciais (AEDE): I de Moran global, Indicadores Locais de Associação Espacial (LISA) e sua extensão bivariada, com inferência por permutações condicionais. Esta versão amplia a nota anterior com (i) a especificação da transformação sinalizada da variável CE + RIE; (ii) a validação da rotina vetorizada do Moran bivariado contra a implementação de referência; (iii) uma análise de robustez do padrão espacial a cinco especificações da matriz de vizinhança — contiguidade</w:t>
      </w:r>
      <w:r>
        <w:t xml:space="preserve"> </w:t>
      </w:r>
      <w:r>
        <w:rPr>
          <w:i/>
          <w:iCs/>
        </w:rPr>
        <w:t xml:space="preserve">Queen</w:t>
      </w:r>
      <w:r>
        <w:t xml:space="preserve">, k vizinhos mais próximos, distância inversa, rede rodoviária real (Dijkstra) e tempo de viagem (OpenRouteService); e (iv) o controle de comparações múltiplas pela Taxa de Falsas Descobertas (FDR) de Benjamini–Hochberg.</w:t>
      </w:r>
    </w:p>
    <w:p>
      <w:pPr>
        <w:pStyle w:val="BodyText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Autocorrelação espacial. LISA. I de Moran. Matriz de pesos espaciais. Taxa de falsas descobertas. Piauí.</w:t>
      </w:r>
    </w:p>
    <w:p>
      <w:r>
        <w:pict>
          <v:rect style="width:0;height:1.5pt" o:hralign="center" o:hrstd="t" o:hr="t"/>
        </w:pict>
      </w:r>
    </w:p>
    <w:bookmarkEnd w:id="9"/>
    <w:bookmarkStart w:id="10" w:name="introdução"/>
    <w:p>
      <w:pPr>
        <w:pStyle w:val="Heading2"/>
      </w:pPr>
      <w:r>
        <w:t xml:space="preserve">1 INTRODUÇÃO</w:t>
      </w:r>
    </w:p>
    <w:p>
      <w:pPr>
        <w:pStyle w:val="FirstParagraph"/>
      </w:pPr>
      <w:r>
        <w:t xml:space="preserve">A identificação de potencialidades econômicas regionais raramente pode prescindir da dimensão espacial. Atividades produtivas não se distribuem aleatoriamente no território: cadeias produtivas, dotações de recursos naturais, infraestrutura logística e transbordamentos de conhecimento (</w:t>
      </w:r>
      <w:r>
        <w:rPr>
          <w:i/>
          <w:iCs/>
        </w:rPr>
        <w:t xml:space="preserve">spillovers</w:t>
      </w:r>
      <w:r>
        <w:t xml:space="preserve">) produzem padrões de concentração geográfica. Dessa constatação decorre a necessidade de instrumentos capazes de distinguir, estatisticamente, um agrupamento espacial genuíno de um arranjo compatível com a aleatoriedade.</w:t>
      </w:r>
    </w:p>
    <w:p>
      <w:pPr>
        <w:pStyle w:val="BodyText"/>
      </w:pPr>
      <w:r>
        <w:t xml:space="preserve">O presente documento detalha os procedimentos adotados para a construção dos mapas de</w:t>
      </w:r>
      <w:r>
        <w:t xml:space="preserve"> </w:t>
      </w:r>
      <w:r>
        <w:rPr>
          <w:i/>
          <w:iCs/>
        </w:rPr>
        <w:t xml:space="preserve">clusters</w:t>
      </w:r>
      <w:r>
        <w:t xml:space="preserve"> </w:t>
      </w:r>
      <w:r>
        <w:t xml:space="preserve">espaciais que integram o painel de potencialidades e, adicionalmente, as análises de robustez conduzidas para qualificar a leitura desses resultados. O objetivo não é descrever o</w:t>
      </w:r>
      <w:r>
        <w:t xml:space="preserve"> </w:t>
      </w:r>
      <w:r>
        <w:rPr>
          <w:i/>
          <w:iCs/>
        </w:rPr>
        <w:t xml:space="preserve">software</w:t>
      </w:r>
      <w:r>
        <w:t xml:space="preserve">, mas explicitar as decisões teóricas e formais que sustentam os achados, de modo a permitir sua replicação e crítica. Em relação à versão anterior desta nota, acrescentam-se três blocos metodológicos: o tratamento formal de variáveis com valores negativos (seção 3.4), a bateria de robustez à especificação da matriz de vizinhança (seção 8) e o controle de multiplicidade por FDR (seção 9).</w:t>
      </w:r>
    </w:p>
    <w:p>
      <w:r>
        <w:pict>
          <v:rect style="width:0;height:1.5pt" o:hralign="center" o:hrstd="t" o:hr="t"/>
        </w:pict>
      </w:r>
    </w:p>
    <w:bookmarkEnd w:id="10"/>
    <w:bookmarkStart w:id="13" w:name="fundamentação-teórica"/>
    <w:p>
      <w:pPr>
        <w:pStyle w:val="Heading2"/>
      </w:pPr>
      <w:r>
        <w:t xml:space="preserve">2 FUNDAMENTAÇÃO TEÓRICA</w:t>
      </w:r>
    </w:p>
    <w:bookmarkStart w:id="11" w:name="X328d29b387d94453fa193e24c5ca37b32818ad4"/>
    <w:p>
      <w:pPr>
        <w:pStyle w:val="Heading3"/>
      </w:pPr>
      <w:r>
        <w:t xml:space="preserve">2.1 Dependência espacial e a Primeira Lei da Geografia</w:t>
      </w:r>
    </w:p>
    <w:p>
      <w:pPr>
        <w:pStyle w:val="FirstParagraph"/>
      </w:pPr>
      <w:r>
        <w:t xml:space="preserve">O ponto de partida é a formulação de Tobler (1970, p. 236), segundo a qual tudo está relacionado a tudo o mais, mas coisas próximas estão mais relacionadas do que coisas distantes. Essa proposição tem consequências estatísticas severas: viola o pressuposto de independência das observações que sustenta grande parte da inferência clássica. Anselin (1988) distingue dois efeitos espaciais: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dependência espacial</w:t>
      </w:r>
      <w:r>
        <w:t xml:space="preserve"> </w:t>
      </w:r>
      <w:r>
        <w:t xml:space="preserve">(ou autocorrelação espacial): o valor de uma variável em uma unidade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é sistematicamente associado ao valor da mesma variável nas unidades vizinhas de</w:t>
      </w:r>
      <w:r>
        <w:t xml:space="preserve"> </w:t>
      </w:r>
      <w:r>
        <w:rPr>
          <w:i/>
          <w:iCs/>
        </w:rPr>
        <w:t xml:space="preserve">i</w:t>
      </w:r>
      <w:r>
        <w:t xml:space="preserve">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heterogeneidade espacial</w:t>
      </w:r>
      <w:r>
        <w:t xml:space="preserve">: instabilidade dos parâmetros e das formas funcionais ao longo do espaço, de modo que relações estimadas globalmente não valem uniformemente em todas as sub-regiões.</w:t>
      </w:r>
    </w:p>
    <w:p>
      <w:pPr>
        <w:pStyle w:val="FirstParagraph"/>
      </w:pPr>
      <w:r>
        <w:t xml:space="preserve">A análise de</w:t>
      </w:r>
      <w:r>
        <w:t xml:space="preserve"> </w:t>
      </w:r>
      <w:r>
        <w:rPr>
          <w:i/>
          <w:iCs/>
        </w:rPr>
        <w:t xml:space="preserve">clusters</w:t>
      </w:r>
      <w:r>
        <w:t xml:space="preserve"> </w:t>
      </w:r>
      <w:r>
        <w:t xml:space="preserve">aqui empregada explora o primeiro efeito, tratando o segundo como motivação para o uso de estatísticas</w:t>
      </w:r>
      <w:r>
        <w:t xml:space="preserve"> </w:t>
      </w:r>
      <w:r>
        <w:rPr>
          <w:i/>
          <w:iCs/>
        </w:rPr>
        <w:t xml:space="preserve">locais</w:t>
      </w:r>
      <w:r>
        <w:t xml:space="preserve"> </w:t>
      </w:r>
      <w:r>
        <w:t xml:space="preserve">em vez de exclusivamente globais.</w:t>
      </w:r>
    </w:p>
    <w:bookmarkEnd w:id="11"/>
    <w:bookmarkStart w:id="12" w:name="do-global-ao-local"/>
    <w:p>
      <w:pPr>
        <w:pStyle w:val="Heading3"/>
      </w:pPr>
      <w:r>
        <w:t xml:space="preserve">2.2 Do global ao local</w:t>
      </w:r>
    </w:p>
    <w:p>
      <w:pPr>
        <w:pStyle w:val="FirstParagraph"/>
      </w:pPr>
      <w:r>
        <w:t xml:space="preserve">Estatísticas globais, como o I de Moran (MORAN, 1950; CLIFF; ORD, 1973), respondem a uma única pergunta:</w:t>
      </w:r>
      <w:r>
        <w:t xml:space="preserve"> </w:t>
      </w:r>
      <w:r>
        <w:rPr>
          <w:i/>
          <w:iCs/>
        </w:rPr>
        <w:t xml:space="preserve">existe</w:t>
      </w:r>
      <w:r>
        <w:t xml:space="preserve"> </w:t>
      </w:r>
      <w:r>
        <w:t xml:space="preserve">autocorrelação espacial no conjunto do território? Elas não informam</w:t>
      </w:r>
      <w:r>
        <w:t xml:space="preserve"> </w:t>
      </w:r>
      <w:r>
        <w:rPr>
          <w:i/>
          <w:iCs/>
        </w:rPr>
        <w:t xml:space="preserve">onde</w:t>
      </w:r>
      <w:r>
        <w:t xml:space="preserve"> </w:t>
      </w:r>
      <w:r>
        <w:t xml:space="preserve">ela ocorre. Como a média global pode mascarar padrões locais divergentes — inclusive compensações entre aglomerações positivas e negativas —, Anselin (1995) propôs a classe dos Indicadores Locais de Associação Espacial (LISA), que decompõem a estatística global em contribuições municipais individuais e permitem inferência específica para cada unidade. É essa decomposição que fundamenta os mapas de</w:t>
      </w:r>
      <w:r>
        <w:t xml:space="preserve"> </w:t>
      </w:r>
      <w:r>
        <w:rPr>
          <w:i/>
          <w:iCs/>
        </w:rPr>
        <w:t xml:space="preserve">clusters</w:t>
      </w:r>
      <w:r>
        <w:t xml:space="preserve"> </w:t>
      </w:r>
      <w:r>
        <w:t xml:space="preserve">do painel.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base-de-dados-e-variáveis"/>
    <w:p>
      <w:pPr>
        <w:pStyle w:val="Heading2"/>
      </w:pPr>
      <w:r>
        <w:t xml:space="preserve">3 BASE DE DADOS E VARIÁVEIS</w:t>
      </w:r>
    </w:p>
    <w:bookmarkStart w:id="14" w:name="unidades-de-análise-e-malha-territorial"/>
    <w:p>
      <w:pPr>
        <w:pStyle w:val="Heading3"/>
      </w:pPr>
      <w:r>
        <w:t xml:space="preserve">3.1 Unidades de análise e malha territorial</w:t>
      </w:r>
    </w:p>
    <w:p>
      <w:pPr>
        <w:pStyle w:val="FirstParagraph"/>
      </w:pPr>
      <w:r>
        <w:t xml:space="preserve">A unidade de análise é o município. Adotou-se a Malha Municipal Digital do Brasil — recorte 2025 (IBGE, 2025), restrita ao Piauí, contemplando os 224 municípios do estado, com sistema de referência SIRGAS 2000 (EPSG:4674), padrão oficial do IBGE. Registra-se, por sua relevância operacional, que espelhos não oficiais da malha apresentaram-se incompletos, omitindo o município de Nazária; o uso da malha oficial é, portanto, condição necessária à integridade do conjunto de vizinhanças. O pareamento entre a base econômica e a malha foi realizado pelo código IBGE do município, com normalização de nomes apenas como verificação secundária.</w:t>
      </w:r>
    </w:p>
    <w:bookmarkEnd w:id="14"/>
    <w:bookmarkStart w:id="15" w:name="X26209156fe5dd15119507735362a46d48a5a298"/>
    <w:p>
      <w:pPr>
        <w:pStyle w:val="Heading3"/>
      </w:pPr>
      <w:r>
        <w:t xml:space="preserve">3.2 A variável de intensidade: componentes da decomposição</w:t>
      </w:r>
      <w:r>
        <w:t xml:space="preserve"> </w:t>
      </w:r>
      <w:r>
        <w:rPr>
          <w:i/>
          <w:iCs/>
        </w:rPr>
        <w:t xml:space="preserve">shift-share</w:t>
      </w:r>
    </w:p>
    <w:p>
      <w:pPr>
        <w:pStyle w:val="FirstParagraph"/>
      </w:pPr>
      <w:r>
        <w:t xml:space="preserve">O painel opera dois</w:t>
      </w:r>
      <w:r>
        <w:t xml:space="preserve"> </w:t>
      </w:r>
      <w:r>
        <w:rPr>
          <w:i/>
          <w:iCs/>
        </w:rPr>
        <w:t xml:space="preserve">pipelines</w:t>
      </w:r>
      <w:r>
        <w:t xml:space="preserve"> </w:t>
      </w:r>
      <w:r>
        <w:t xml:space="preserve">paralelos. No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de estoques, a intensidade é o estoque produtivo consolidado do par município–subclasse (variável</w:t>
      </w:r>
      <w:r>
        <w:t xml:space="preserve"> </w:t>
      </w:r>
      <w:r>
        <w:rPr>
          <w:rStyle w:val="VerbatimChar"/>
        </w:rPr>
        <w:t xml:space="preserve">Estoque_mun_ano_final</w:t>
      </w:r>
      <w:r>
        <w:t xml:space="preserve">), oriundo das pesquisas PAM, PPM e PEVS do IBGE e da RAIS do MTE. No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rPr>
          <w:i/>
          <w:iCs/>
        </w:rPr>
        <w:t xml:space="preserve">shift-share</w:t>
      </w:r>
      <w:r>
        <w:t xml:space="preserve">, a intensidade deriva da decomposição estrutural-diferencial, cuja formulação clássica remonta a Dunn (1960), com a reinterpretação de Esteban-Marquillas (1972) e a sistematização brasileira de Haddad (1989). Seguindo a tipologia de Montanía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(2024), o crescimento do estoque de uma atividade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no município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é decomposto em efeitos intrínsecos, dos quais interessam aqui o efeito competitivo (</w:t>
      </w:r>
      <w:r>
        <w:rPr>
          <w:b/>
          <w:bCs/>
        </w:rPr>
        <w:t xml:space="preserve">CE</w:t>
      </w:r>
      <w:r>
        <w:t xml:space="preserve">), que mede a vantagem do município na atividade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frente ao desempenho nacional dessa atividade, e o efeito de reestruturação intraeconômica (</w:t>
      </w:r>
      <w:r>
        <w:rPr>
          <w:b/>
          <w:bCs/>
        </w:rPr>
        <w:t xml:space="preserve">RIE</w:t>
      </w:r>
      <w:r>
        <w:t xml:space="preserve">), que mede o peso e a dinâmica da atividade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dentro da economia do próprio município. A variável de intensidade do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rPr>
          <w:i/>
          <w:iCs/>
        </w:rPr>
        <w:t xml:space="preserve">shift-share</w:t>
      </w:r>
      <w:r>
        <w:t xml:space="preserve"> </w:t>
      </w:r>
      <w:r>
        <w:t xml:space="preserve">é a soma dos dois: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k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C</m:t>
          </m:r>
          <m:sSubSup>
            <m:e>
              <m:r>
                <m:t>E</m:t>
              </m:r>
            </m:e>
            <m:sub>
              <m:r>
                <m:t>i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+</m:t>
          </m:r>
          <m:r>
            <m:t>R</m:t>
          </m:r>
          <m:r>
            <m:t>I</m:t>
          </m:r>
          <m:sSubSup>
            <m:e>
              <m:r>
                <m:t>E</m:t>
              </m:r>
            </m:e>
            <m:sub>
              <m:r>
                <m:t>i</m:t>
              </m:r>
            </m:sub>
            <m:sup>
              <m:r>
                <m:t>k</m:t>
              </m:r>
            </m:sup>
          </m:sSubSup>
        </m:oMath>
      </m:oMathPara>
    </w:p>
    <w:p>
      <w:pPr>
        <w:pStyle w:val="FirstParagraph"/>
      </w:pPr>
      <w:r>
        <w:t xml:space="preserve">A soma expressa uma</w:t>
      </w:r>
      <w:r>
        <w:t xml:space="preserve"> </w:t>
      </w:r>
      <w:r>
        <w:rPr>
          <w:b/>
          <w:bCs/>
        </w:rPr>
        <w:t xml:space="preserve">potencialidade efetiva</w:t>
      </w:r>
      <w:r>
        <w:t xml:space="preserve"> </w:t>
      </w:r>
      <w:r>
        <w:t xml:space="preserve">— competitividade da atividade combinada à sua relevância estrutural no município —, e não uma vantagem relativa descolada de massa econômica. Exclui-se deliberadamente o efeito de reestruturação sistêmica (RSE), que descreve a economia municipal como um todo, e não a atividade específica. Todo o mapa físico de potencialidades restringe-se ao recorte tipológico T1+T2 (setores com vantagem competitiva).</w:t>
      </w:r>
    </w:p>
    <w:bookmarkEnd w:id="15"/>
    <w:bookmarkStart w:id="16" w:name="deduplicação"/>
    <w:p>
      <w:pPr>
        <w:pStyle w:val="Heading3"/>
      </w:pPr>
      <w:r>
        <w:t xml:space="preserve">3.3 Deduplicação</w:t>
      </w:r>
    </w:p>
    <w:p>
      <w:pPr>
        <w:pStyle w:val="FirstParagraph"/>
      </w:pPr>
      <w:r>
        <w:t xml:space="preserve">Como um mesmo par município–subclasse pode aparecer em mais de uma janela temporal de comparação (comparações com anos iniciais de 2013, 2018 e 2022), adotou-se a regra: preserva-se a observação com o</w:t>
      </w:r>
      <w:r>
        <w:t xml:space="preserve"> </w:t>
      </w:r>
      <w:r>
        <w:rPr>
          <w:b/>
          <w:bCs/>
        </w:rPr>
        <w:t xml:space="preserve">maior valor da variável de intensidade</w:t>
      </w:r>
      <w:r>
        <w:t xml:space="preserve"> </w:t>
      </w:r>
      <w:r>
        <w:t xml:space="preserve">(Estoque no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de estoques; CE + RIE no</w:t>
      </w:r>
      <w:r>
        <w:t xml:space="preserve"> </w:t>
      </w:r>
      <w:r>
        <w:rPr>
          <w:i/>
          <w:iCs/>
        </w:rPr>
        <w:t xml:space="preserve">shift-share</w:t>
      </w:r>
      <w:r>
        <w:t xml:space="preserve">), e não a observação mais recente. A opção é coerente com o objetivo do estudo — mapear</w:t>
      </w:r>
      <w:r>
        <w:t xml:space="preserve"> </w:t>
      </w:r>
      <w:r>
        <w:rPr>
          <w:i/>
          <w:iCs/>
        </w:rPr>
        <w:t xml:space="preserve">potencialidades</w:t>
      </w:r>
      <w:r>
        <w:t xml:space="preserve">, isto é, o melhor desempenho demonstrado pela atividade ao longo do período, e não sua situação conjuntural mais recente.</w:t>
      </w:r>
    </w:p>
    <w:bookmarkEnd w:id="16"/>
    <w:bookmarkStart w:id="17" w:name="X5529b7525bd7c6967f41edd6bf5c726e28c18a7"/>
    <w:p>
      <w:pPr>
        <w:pStyle w:val="Heading3"/>
      </w:pPr>
      <w:r>
        <w:t xml:space="preserve">3.4 Transformações das variáveis de intensidade</w:t>
      </w:r>
    </w:p>
    <w:p>
      <w:pPr>
        <w:pStyle w:val="FirstParagraph"/>
      </w:pPr>
      <w:r>
        <w:t xml:space="preserve">Distribuições de estoque e de componentes de</w:t>
      </w:r>
      <w:r>
        <w:t xml:space="preserve"> </w:t>
      </w:r>
      <w:r>
        <w:rPr>
          <w:i/>
          <w:iCs/>
        </w:rPr>
        <w:t xml:space="preserve">shift-share</w:t>
      </w:r>
      <w:r>
        <w:t xml:space="preserve"> </w:t>
      </w:r>
      <w:r>
        <w:t xml:space="preserve">são fortemente assimétricas à direita. Como o I de Moran é baseado em produtos cruzados de desvios padronizados, é sensível a</w:t>
      </w:r>
      <w:r>
        <w:t xml:space="preserve"> </w:t>
      </w:r>
      <w:r>
        <w:rPr>
          <w:i/>
          <w:iCs/>
        </w:rPr>
        <w:t xml:space="preserve">outliers</w:t>
      </w:r>
      <w:r>
        <w:t xml:space="preserve"> </w:t>
      </w:r>
      <w:r>
        <w:t xml:space="preserve">extremos, que podem dominar o somatório. As transformações diferem conforme o suporte da variável.</w:t>
      </w:r>
    </w:p>
    <w:p>
      <w:pPr>
        <w:pStyle w:val="BodyText"/>
      </w:pPr>
      <w:r>
        <w:t xml:space="preserve">Para o estoque, variável estritamente não negativa, aplica-se a transformação</w:t>
      </w:r>
      <w:r>
        <w:t xml:space="preserve"> </w:t>
      </w:r>
      <w:r>
        <w:rPr>
          <w:i/>
          <w:iCs/>
        </w:rPr>
        <w:t xml:space="preserve">log1p</w:t>
      </w:r>
      <w:r>
        <w:t xml:space="preserve">, que preserva o zero (municípios sem a atividade permanecem em zero), comprime a cauda superior e dispensa o deslocamento arbitrário exigido pelo logaritmo simples: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variável CE + RIE, por sua vez, assume valores negativos em cerca de 62% das observações — o que inviabiliza o</w:t>
      </w:r>
      <w:r>
        <w:t xml:space="preserve"> </w:t>
      </w:r>
      <w:r>
        <w:rPr>
          <w:i/>
          <w:iCs/>
        </w:rPr>
        <w:t xml:space="preserve">log1p</w:t>
      </w:r>
      <w:r>
        <w:t xml:space="preserve"> </w:t>
      </w:r>
      <w:r>
        <w:t xml:space="preserve">direto. Emprega-se, então, a</w:t>
      </w:r>
      <w:r>
        <w:t xml:space="preserve"> </w:t>
      </w:r>
      <w:r>
        <w:rPr>
          <w:b/>
          <w:bCs/>
        </w:rPr>
        <w:t xml:space="preserve">transformação logarítmica sinalizada</w:t>
      </w:r>
      <w:r>
        <w:t xml:space="preserve">, que preserva o sinal econômico da variação (crescimento</w:t>
      </w:r>
      <w:r>
        <w:t xml:space="preserve"> </w:t>
      </w:r>
      <w:r>
        <w:rPr>
          <w:i/>
          <w:iCs/>
        </w:rPr>
        <w:t xml:space="preserve">vs.</w:t>
      </w:r>
      <w:r>
        <w:t xml:space="preserve"> </w:t>
      </w:r>
      <w:r>
        <w:t xml:space="preserve">retração) e comprime magnitudes de forma simétrica em torno de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sinal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função é ímpar, contínua e monótona: mantém a ordenação econômica das observações, atenua as caudas em ambos os lados e fixa o zero em zero. Toda a análise subsequente opera sobre a variável padronizada (escore-z):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num>
            <m:den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as-matrizes-de-pesos-espaciais"/>
    <w:p>
      <w:pPr>
        <w:pStyle w:val="Heading2"/>
      </w:pPr>
      <w:r>
        <w:t xml:space="preserve">4 AS MATRIZES DE PESOS ESPACIAIS</w:t>
      </w:r>
    </w:p>
    <w:bookmarkStart w:id="19" w:name="definição"/>
    <w:p>
      <w:pPr>
        <w:pStyle w:val="Heading3"/>
      </w:pPr>
      <w:r>
        <w:t xml:space="preserve">4.1 Definição</w:t>
      </w:r>
    </w:p>
    <w:p>
      <w:pPr>
        <w:pStyle w:val="FirstParagraph"/>
      </w:pPr>
      <w:r>
        <w:t xml:space="preserve">Toda estatística de autocorrelação espacial exige uma definição prévia e explícita de vizinhança, formalizada na matriz</w:t>
      </w:r>
      <w:r>
        <w:t xml:space="preserve"> </w:t>
      </w:r>
      <w:r>
        <w:rPr>
          <w:b/>
          <w:bCs/>
        </w:rPr>
        <w:t xml:space="preserve">W</w:t>
      </w:r>
      <w:r>
        <w:t xml:space="preserve">, de dimensão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×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(</w:t>
      </w:r>
      <w:r>
        <w:rPr>
          <w:i/>
          <w:iCs/>
        </w:rPr>
        <w:t xml:space="preserve">n</w:t>
      </w:r>
      <w:r>
        <w:t xml:space="preserve"> </w:t>
      </w:r>
      <w:r>
        <w:t xml:space="preserve">= 224), cujo elemento genérico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expressa a intensidade da conexão entre as unidades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j</w:t>
      </w:r>
      <w:r>
        <w:t xml:space="preserve">, com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por convenção. O defasado espacial (</w:t>
      </w:r>
      <w:r>
        <w:rPr>
          <w:i/>
          <w:iCs/>
        </w:rPr>
        <w:t xml:space="preserve">spatial lag</w:t>
      </w:r>
      <w:r>
        <w:t xml:space="preserve">) de uma variável</w:t>
      </w:r>
      <w:r>
        <w:t xml:space="preserve"> </w:t>
      </w:r>
      <w:r>
        <w:rPr>
          <w:i/>
          <w:iCs/>
        </w:rPr>
        <w:t xml:space="preserve">z</w:t>
      </w:r>
      <w:r>
        <w:t xml:space="preserve"> </w:t>
      </w:r>
      <w:r>
        <w:t xml:space="preserve">na unidade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é a combinação ponderada dos valores dos vizinhos: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"/>
            </m:rPr>
            <m:t>W</m:t>
          </m:r>
          <m:r>
            <m:rPr>
              <m:sty m:val="b"/>
            </m:rPr>
            <m:t>z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Todas as matrizes descritas a seguir são padronizadas por linha, de modo que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para todo</w:t>
      </w:r>
      <w:r>
        <w:t xml:space="preserve"> </w:t>
      </w:r>
      <w:r>
        <w:rPr>
          <w:i/>
          <w:iCs/>
        </w:rPr>
        <w:t xml:space="preserve">i</w:t>
      </w:r>
      <w:r>
        <w:t xml:space="preserve">; o defasado espacial passa a ser interpretável como a média (ponderada) dos valores dos vizinhos, conferindo comparabilidade entre municípios com números distintos de vizinhos — atributo essencial em um estado de forte heterogeneidade no formato e na área dos polígonos.</w:t>
      </w:r>
    </w:p>
    <w:bookmarkEnd w:id="19"/>
    <w:bookmarkStart w:id="20" w:name="X8a7e52e488850e2dc13dc4dbc21f638c55b2cce"/>
    <w:p>
      <w:pPr>
        <w:pStyle w:val="Heading3"/>
      </w:pPr>
      <w:r>
        <w:t xml:space="preserve">4.2 Contiguidade</w:t>
      </w:r>
      <w:r>
        <w:t xml:space="preserve"> </w:t>
      </w:r>
      <w:r>
        <w:rPr>
          <w:i/>
          <w:iCs/>
        </w:rPr>
        <w:t xml:space="preserve">Queen</w:t>
      </w:r>
      <w:r>
        <w:t xml:space="preserve"> </w:t>
      </w:r>
      <w:r>
        <w:t xml:space="preserve">(especificação de referência)</w:t>
      </w:r>
    </w:p>
    <w:p>
      <w:pPr>
        <w:pStyle w:val="FirstParagraph"/>
      </w:pPr>
      <w:r>
        <w:t xml:space="preserve">A especificação de referência é a contiguidade</w:t>
      </w:r>
      <w:r>
        <w:t xml:space="preserve"> </w:t>
      </w:r>
      <w:r>
        <w:rPr>
          <w:i/>
          <w:iCs/>
        </w:rPr>
        <w:t xml:space="preserve">Queen</w:t>
      </w:r>
      <w:r>
        <w:t xml:space="preserve"> </w:t>
      </w:r>
      <w:r>
        <w:t xml:space="preserve">(rainha), pela qual dois municípios são vizinhos se compartilham</w:t>
      </w:r>
      <w:r>
        <w:t xml:space="preserve"> </w:t>
      </w:r>
      <w:r>
        <w:rPr>
          <w:b/>
          <w:bCs/>
        </w:rPr>
        <w:t xml:space="preserve">qualquer</w:t>
      </w:r>
      <w:r>
        <w:t xml:space="preserve"> </w:t>
      </w:r>
      <w:r>
        <w:t xml:space="preserve">ponto de fronteira — um segmento de aresta ou um único vértice: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se </m:t>
                    </m:r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∩</m:t>
                    </m:r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≠</m:t>
                    </m:r>
                    <m:r>
                      <m:rPr>
                        <m:sty m:val="p"/>
                      </m:rPr>
                      <m:t>⌀</m:t>
                    </m:r>
                    <m:r>
                      <m:rPr>
                        <m:nor/>
                        <m:sty m:val="p"/>
                      </m:rPr>
                      <m:t> e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caso contrário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 escolha da contiguidade</w:t>
      </w:r>
      <w:r>
        <w:t xml:space="preserve"> </w:t>
      </w:r>
      <w:r>
        <w:rPr>
          <w:i/>
          <w:iCs/>
        </w:rPr>
        <w:t xml:space="preserve">Queen</w:t>
      </w:r>
      <w:r>
        <w:t xml:space="preserve"> </w:t>
      </w:r>
      <w:r>
        <w:t xml:space="preserve">(em detrimento da</w:t>
      </w:r>
      <w:r>
        <w:t xml:space="preserve"> </w:t>
      </w:r>
      <w:r>
        <w:rPr>
          <w:i/>
          <w:iCs/>
        </w:rPr>
        <w:t xml:space="preserve">Rook</w:t>
      </w:r>
      <w:r>
        <w:t xml:space="preserve">, que exige aresta comum) é a convenção usual em malhas municipais irregulares, nas quais imprecisões de digitalização podem transformar arestas curtas em vértices, gerando exclusões arbitrárias de vizinhança (ANSELIN; SYABRI; KHO, 2006). A vizinhança média sob</w:t>
      </w:r>
      <w:r>
        <w:t xml:space="preserve"> </w:t>
      </w:r>
      <w:r>
        <w:rPr>
          <w:i/>
          <w:iCs/>
        </w:rPr>
        <w:t xml:space="preserve">Queen</w:t>
      </w:r>
      <w:r>
        <w:t xml:space="preserve"> </w:t>
      </w:r>
      <w:r>
        <w:t xml:space="preserve">é de 5,4 municípios.</w:t>
      </w:r>
    </w:p>
    <w:bookmarkEnd w:id="20"/>
    <w:bookmarkStart w:id="21" w:name="padronização-por-linha"/>
    <w:p>
      <w:pPr>
        <w:pStyle w:val="Heading3"/>
      </w:pPr>
      <w:r>
        <w:t xml:space="preserve">4.3 Padronização por linha</w:t>
      </w:r>
    </w:p>
    <w:p>
      <w:pPr>
        <w:pStyle w:val="FirstParagraph"/>
      </w:pPr>
      <w:r>
        <w:t xml:space="preserve">A matriz binária (ou de pesos brutos) é normalizada por linha: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bSup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nary>
            </m:den>
          </m:f>
        </m:oMath>
      </m:oMathPara>
    </w:p>
    <w:bookmarkEnd w:id="21"/>
    <w:bookmarkStart w:id="22" w:name="X52b47fd3f912477074cd1c9a7a2656f38160864"/>
    <w:p>
      <w:pPr>
        <w:pStyle w:val="Heading3"/>
      </w:pPr>
      <w:r>
        <w:t xml:space="preserve">4.4 Especificações geométricas alternativas (KNN e distância inversa)</w:t>
      </w:r>
    </w:p>
    <w:p>
      <w:pPr>
        <w:pStyle w:val="FirstParagraph"/>
      </w:pPr>
      <w:r>
        <w:t xml:space="preserve">A definição de vizinhança não é neutra. Para dimensionar essa sensibilidade, construíram-se duas matrizes geométricas alternativas, mantidos inalterados os demais parâmetros. A primeira é a de</w:t>
      </w:r>
      <w:r>
        <w:t xml:space="preserve"> </w:t>
      </w:r>
      <w:r>
        <w:rPr>
          <w:b/>
          <w:bCs/>
        </w:rPr>
        <w:t xml:space="preserve">k vizinhos mais próximos</w:t>
      </w:r>
      <w:r>
        <w:t xml:space="preserve"> </w:t>
      </w:r>
      <w:r>
        <w:t xml:space="preserve">(k = 5), calculada sobre os centroides municipais em projeção métrica (SIRGAS 2000 / Brazil Polyconic, EPSG:5880), na qual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se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está entre os cinco municípios mais próximos de</w:t>
      </w:r>
      <w:r>
        <w:t xml:space="preserve"> </w:t>
      </w:r>
      <w:r>
        <w:rPr>
          <w:i/>
          <w:iCs/>
        </w:rPr>
        <w:t xml:space="preserve">i</w:t>
      </w:r>
      <w:r>
        <w:t xml:space="preserve">, e 0 caso contrário. Por construção, a relação de vizinhança KNN não é simétrica antes da padronização. A segunda é a de</w:t>
      </w:r>
      <w:r>
        <w:t xml:space="preserve"> </w:t>
      </w:r>
      <w:r>
        <w:rPr>
          <w:b/>
          <w:bCs/>
        </w:rPr>
        <w:t xml:space="preserve">distância inversa</w:t>
      </w:r>
      <w:r>
        <w:t xml:space="preserve">, com peso proporcional ao inverso da distância euclidiana entre centroides: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se 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caso contrário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 banda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foi fixada em 76,5 km, o menor limiar que assegura ao menos um vizinho a cada município (grafo conexo, sem municípios-ilha), resultando em vizinhança média de 17,3 municípios — mais de três vezes a da contiguidade</w:t>
      </w:r>
      <w:r>
        <w:t xml:space="preserve"> </w:t>
      </w:r>
      <w:r>
        <w:rPr>
          <w:i/>
          <w:iCs/>
        </w:rPr>
        <w:t xml:space="preserve">Queen</w:t>
      </w:r>
      <w:r>
        <w:t xml:space="preserve">. Vizinhanças mais densas suavizam o defasado espacial e diluem aglomerados pequenos, o que antecipa uma concordância menor com a linha de base.</w:t>
      </w:r>
    </w:p>
    <w:bookmarkEnd w:id="22"/>
    <w:bookmarkStart w:id="23" w:name="X915f3b095979ebb306768a278257e7b896295ec"/>
    <w:p>
      <w:pPr>
        <w:pStyle w:val="Heading3"/>
      </w:pPr>
      <w:r>
        <w:t xml:space="preserve">4.5 Matriz de vizinhança rodoviária (rede real, Dijkstra)</w:t>
      </w:r>
    </w:p>
    <w:p>
      <w:pPr>
        <w:pStyle w:val="FirstParagraph"/>
      </w:pPr>
      <w:r>
        <w:t xml:space="preserve">As três matrizes anteriores são geométricas: pressupõem que a interação econômica se dá por adjacência ou por proximidade em linha reta. Para converter essa hipótese em medida empírica de acessibilidade, construiu-se uma matriz de vizinhança sobre a malha rodoviária real do estado. A malha foi montada a partir dos arquivos de rodovias estaduais e federais do Piauí, excluídos os trechos federais com situação</w:t>
      </w:r>
      <w:r>
        <w:t xml:space="preserve"> </w:t>
      </w:r>
      <w:r>
        <w:t xml:space="preserve">“Planejada”</w:t>
      </w:r>
      <w:r>
        <w:t xml:space="preserve"> </w:t>
      </w:r>
      <w:r>
        <w:t xml:space="preserve">(não construídos) e mantidos os pavimentados e em leito natural — 733 trechos e 13,9 mil km. A rede foi nodada nas interseções, densificada a cada 2 km e convertida em grafo ponderado (54.605 nós; 62.560 arestas, ponderadas pelo comprimento do segmento); 99,8% dos nós pertencem ao componente conexo gigante, adotado como rede de referência. Cada sede municipal foi conectada ao nó mais próximo por uma</w:t>
      </w:r>
      <w:r>
        <w:t xml:space="preserve"> </w:t>
      </w:r>
      <w:r>
        <w:t xml:space="preserve">“perna de acesso”</w:t>
      </w:r>
      <w:r>
        <w:t xml:space="preserve"> </w:t>
      </w:r>
      <w:r>
        <w:t xml:space="preserve">euclidiana (média de 5,4 km), registrando-se que onze sedes distam mais de 20 km de rodovia mapeada — informação relevante para a agenda de conectividade.</w:t>
      </w:r>
    </w:p>
    <w:p>
      <w:pPr>
        <w:pStyle w:val="BodyText"/>
      </w:pPr>
      <w:r>
        <w:t xml:space="preserve">A distância rodoviária entre duas sedes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é o caminho de custo mínimo no grafo, calculado pelo algoritmo de Dijkstra (DIJKSTRA, 1959):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rede</m:t>
              </m:r>
            </m:sub>
          </m:sSub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π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π</m:t>
              </m:r>
            </m:sub>
            <m:sup>
              <m:r>
                <m:t>​</m:t>
              </m:r>
            </m:sup>
            <m:e>
              <m:r>
                <m:t>ℓ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é o conjunto de caminhos entre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é o comprimento da aresta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. A matriz W-rede usa pesos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rede</m:t>
            </m:r>
          </m:sub>
        </m:sSub>
      </m:oMath>
      <w:r>
        <w:t xml:space="preserve"> </w:t>
      </w:r>
      <w:r>
        <w:t xml:space="preserve">sobre a banda mínima que garante ao menos um vizinho a cada município (107,9 km de distância rodoviária), com padronização por linha (vizinhança média de 12,8). A razão mediana entre distância rodoviária e euclidiana (circuidade) é de 1,40, com correlação de 0,972 entre as duas métricas: no Piauí, a topologia viária acompanha em larga medida a geografia. As divergências localizadas — municípios de alta circuidade ou acesso precário — são justamente os casos em que</w:t>
      </w:r>
      <w:r>
        <w:t xml:space="preserve"> </w:t>
      </w:r>
      <w:r>
        <w:rPr>
          <w:i/>
          <w:iCs/>
        </w:rPr>
        <w:t xml:space="preserve">Queen</w:t>
      </w:r>
      <w:r>
        <w:t xml:space="preserve"> </w:t>
      </w:r>
      <w:r>
        <w:t xml:space="preserve">e a distância euclidiana superestimam a vizinhança efetiva.</w:t>
      </w:r>
    </w:p>
    <w:bookmarkEnd w:id="23"/>
    <w:bookmarkStart w:id="24" w:name="X227abe897b9d6d2b8a06f465354ff281c6a394a"/>
    <w:p>
      <w:pPr>
        <w:pStyle w:val="Heading3"/>
      </w:pPr>
      <w:r>
        <w:t xml:space="preserve">4.6 Matriz de tempo de viagem (OpenRouteService)</w:t>
      </w:r>
    </w:p>
    <w:p>
      <w:pPr>
        <w:pStyle w:val="FirstParagraph"/>
      </w:pPr>
      <w:r>
        <w:t xml:space="preserve">Como quinta especificação, construiu-se uma matriz de tempos de viagem entre as sedes a partir da</w:t>
      </w:r>
      <w:r>
        <w:t xml:space="preserve"> </w:t>
      </w:r>
      <w:r>
        <w:rPr>
          <w:i/>
          <w:iCs/>
        </w:rPr>
        <w:t xml:space="preserve">Matrix API</w:t>
      </w:r>
      <w:r>
        <w:t xml:space="preserve"> </w:t>
      </w:r>
      <w:r>
        <w:t xml:space="preserve">do OpenRouteService (perfil</w:t>
      </w:r>
      <w:r>
        <w:t xml:space="preserve"> </w:t>
      </w:r>
      <w:r>
        <w:rPr>
          <w:i/>
          <w:iCs/>
        </w:rPr>
        <w:t xml:space="preserve">driving-car</w:t>
      </w:r>
      <w:r>
        <w:t xml:space="preserve">, base OpenStreetMap), extraída localmente pelo pesquisador. A matriz retornou tempos válidos para 24.090 dos 24.976 pares. Quatro municípios (Dom Inocêncio, Socorro do Piauí, Valença do Piauí e Passagem Franca do Piauí) tiveram as sedes ancoradas em trechos não roteáveis do OSM e foram imputados pela relação tempo–distância ajustada nos pares válidos sobre a malha rodoviária oficial: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  <m:r>
            <m:t>193</m:t>
          </m:r>
          <m:r>
            <m:rPr>
              <m:sty m:val="p"/>
            </m:rPr>
            <m:t>+</m:t>
          </m:r>
          <m:r>
            <m:t>46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rede</m:t>
              </m:r>
            </m:sub>
          </m:sSub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segundos</m:t>
          </m:r>
          <m:r>
            <m:rPr>
              <m:sty m:val="p"/>
            </m:rPr>
            <m:t>;</m:t>
          </m:r>
          <m:r>
            <m:t> </m:t>
          </m:r>
          <m:r>
            <m:t>d</m:t>
          </m:r>
          <m:r>
            <m:rPr>
              <m:nor/>
              <m:sty m:val="p"/>
            </m:rPr>
            <m:t> em km</m:t>
          </m:r>
          <m:r>
            <m:rPr>
              <m:sty m:val="p"/>
            </m:rPr>
            <m:t>;</m:t>
          </m:r>
          <m:r>
            <m:t> 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933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regressão implica velocidade de percurso de aproximadamente 78 km/h. Diagnósticos de validação cruzada: correlação de 0,968 entre as distâncias ORS/OSM e as distâncias da malha oficial DNIT/DER (validação mútua das fontes), circuidade mediana de 1,38 e assimetria direcional desprezível (0,1%), o que permitiu simetrizar a matriz. A W-tempo usa pesos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sobre a banda mínima conexa de 133 minutos (vizinhança média de 21,2), padronizada por linha. Ressalva: os tempos do OSM são modelados a partir de atributos viários, não de tráfego observado.</w:t>
      </w:r>
    </w:p>
    <w:p>
      <w:pPr>
        <w:pStyle w:val="BodyText"/>
      </w:pPr>
      <w:r>
        <w:rPr>
          <w:b/>
          <w:bCs/>
        </w:rPr>
        <w:t xml:space="preserve">Quadro 1 — Síntese das cinco especificações da matriz de pesos espaciais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Especificação</w:t>
            </w:r>
          </w:p>
        </w:tc>
        <w:tc>
          <w:tcPr/>
          <w:p>
            <w:pPr>
              <w:pStyle w:val="Compact"/>
            </w:pPr>
            <w:r>
              <w:t xml:space="preserve">Critério de vizinhança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Peso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Vizinhos (média)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Queen</w:t>
            </w:r>
            <w:r>
              <w:t xml:space="preserve"> </w:t>
            </w:r>
            <w:r>
              <w:t xml:space="preserve">(referência)</w:t>
            </w:r>
          </w:p>
        </w:tc>
        <w:tc>
          <w:tcPr/>
          <w:p>
            <w:pPr>
              <w:pStyle w:val="Compact"/>
            </w:pPr>
            <w:r>
              <w:t xml:space="preserve">Fronteira compartilhada (aresta ou vértice)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KNN-5</w:t>
            </w:r>
          </w:p>
        </w:tc>
        <w:tc>
          <w:tcPr/>
          <w:p>
            <w:pPr>
              <w:pStyle w:val="Compact"/>
            </w:pPr>
            <w:r>
              <w:t xml:space="preserve">5 centroides mais próximos (EPSG:5880)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Distância inversa</w:t>
            </w:r>
          </w:p>
        </w:tc>
        <w:tc>
          <w:tcPr/>
          <w:p>
            <w:pPr>
              <w:pStyle w:val="Compact"/>
            </w:pPr>
            <w:r>
              <w:t xml:space="preserve">Euclidiana ≤ 76,5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 rodoviária</w:t>
            </w:r>
          </w:p>
        </w:tc>
        <w:tc>
          <w:tcPr/>
          <w:p>
            <w:pPr>
              <w:pStyle w:val="Compact"/>
            </w:pPr>
            <w:r>
              <w:t xml:space="preserve">Dijkstra na malha real ≤ 107,9 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de viagem</w:t>
            </w:r>
          </w:p>
        </w:tc>
        <w:tc>
          <w:tcPr/>
          <w:p>
            <w:pPr>
              <w:pStyle w:val="Compact"/>
            </w:pPr>
            <w:r>
              <w:t xml:space="preserve">ORS/OSM ≤ 133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21,2</w:t>
            </w:r>
          </w:p>
        </w:tc>
      </w:tr>
    </w:tbl>
    <w:p>
      <w:pPr>
        <w:pStyle w:val="BodyText"/>
      </w:pPr>
      <w:r>
        <w:t xml:space="preserve">Fonte: elaboração própria. Todas as matrizes são padronizadas por linha; nenhuma produz municípios-ilha.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autocorrelação-espacial-global"/>
    <w:p>
      <w:pPr>
        <w:pStyle w:val="Heading2"/>
      </w:pPr>
      <w:r>
        <w:t xml:space="preserve">5 AUTOCORRELAÇÃO ESPACIAL GLOBAL</w:t>
      </w:r>
    </w:p>
    <w:bookmarkStart w:id="26" w:name="o-i-de-moran"/>
    <w:p>
      <w:pPr>
        <w:pStyle w:val="Heading3"/>
      </w:pPr>
      <w:r>
        <w:t xml:space="preserve">5.1 O I de Moran</w:t>
      </w:r>
    </w:p>
    <w:p>
      <w:pPr>
        <w:pStyle w:val="FirstParagraph"/>
      </w:pPr>
      <w:r>
        <w:t xml:space="preserve">Para cada subclasse produtiva, calcula-se o I de Moran global: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n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</m:oMath>
      </m:oMathPara>
    </w:p>
    <w:p>
      <w:pPr>
        <w:pStyle w:val="FirstParagraph"/>
      </w:pPr>
      <w:r>
        <w:t xml:space="preserve">Com</w:t>
      </w:r>
      <w:r>
        <w:t xml:space="preserve"> </w:t>
      </w:r>
      <w:r>
        <w:rPr>
          <w:b/>
          <w:bCs/>
        </w:rPr>
        <w:t xml:space="preserve">W</w:t>
      </w:r>
      <w:r>
        <w:t xml:space="preserve"> </w:t>
      </w:r>
      <w:r>
        <w:t xml:space="preserve">padronizada por linha,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 a expressão reduz-se à forma matricial compacta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"/>
              </m:rPr>
              <m:t>W</m:t>
            </m:r>
            <m:r>
              <m:rPr>
                <m:sty m:val="b"/>
              </m:rPr>
              <m:t>z</m:t>
            </m:r>
          </m:num>
          <m:den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"/>
              </m:rPr>
              <m:t>z</m:t>
            </m:r>
          </m:den>
        </m:f>
      </m:oMath>
      <w:r>
        <w:t xml:space="preserve">. Sob a hipótese nula de aleatoriedade espacial, o valor esperado é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≈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0045</m:t>
        </m:r>
      </m:oMath>
      <w:r>
        <w:t xml:space="preserve"> </w:t>
      </w:r>
      <w:r>
        <w:t xml:space="preserve">para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224. Valores de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significativamente</w:t>
      </w:r>
      <w:r>
        <w:t xml:space="preserve"> </w:t>
      </w:r>
      <w:r>
        <w:rPr>
          <w:b/>
          <w:bCs/>
        </w:rPr>
        <w:t xml:space="preserve">superiores</w:t>
      </w:r>
      <w:r>
        <w:t xml:space="preserve"> </w:t>
      </w:r>
      <w:r>
        <w:t xml:space="preserve">a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indicam autocorrelação</w:t>
      </w:r>
      <w:r>
        <w:t xml:space="preserve"> </w:t>
      </w:r>
      <w:r>
        <w:rPr>
          <w:b/>
          <w:bCs/>
        </w:rPr>
        <w:t xml:space="preserve">positiva</w:t>
      </w:r>
      <w:r>
        <w:t xml:space="preserve"> </w:t>
      </w:r>
      <w:r>
        <w:t xml:space="preserve">(agrupamento); valores</w:t>
      </w:r>
      <w:r>
        <w:t xml:space="preserve"> </w:t>
      </w:r>
      <w:r>
        <w:rPr>
          <w:b/>
          <w:bCs/>
        </w:rPr>
        <w:t xml:space="preserve">inferiores</w:t>
      </w:r>
      <w:r>
        <w:t xml:space="preserve"> </w:t>
      </w:r>
      <w:r>
        <w:t xml:space="preserve">indicam autocorrelação</w:t>
      </w:r>
      <w:r>
        <w:t xml:space="preserve"> </w:t>
      </w:r>
      <w:r>
        <w:rPr>
          <w:b/>
          <w:bCs/>
        </w:rPr>
        <w:t xml:space="preserve">negativa</w:t>
      </w:r>
      <w:r>
        <w:t xml:space="preserve"> </w:t>
      </w:r>
      <w:r>
        <w:t xml:space="preserve">(padrão de xadrez, dispersão).</w:t>
      </w:r>
    </w:p>
    <w:bookmarkEnd w:id="26"/>
    <w:bookmarkStart w:id="27" w:name="o-diagrama-de-dispersão-de-moran"/>
    <w:p>
      <w:pPr>
        <w:pStyle w:val="Heading3"/>
      </w:pPr>
      <w:r>
        <w:t xml:space="preserve">5.2 O diagrama de dispersão de Moran</w:t>
      </w:r>
    </w:p>
    <w:p>
      <w:pPr>
        <w:pStyle w:val="FirstParagraph"/>
      </w:pPr>
      <w:r>
        <w:t xml:space="preserve">Sob padronização por linha, o I de Moran é o coeficiente angular da regressão de</w:t>
      </w:r>
      <w:r>
        <w:t xml:space="preserve"> </w:t>
      </w:r>
      <w:r>
        <w:rPr>
          <w:b/>
          <w:bCs/>
        </w:rPr>
        <w:t xml:space="preserve">Wz</w:t>
      </w:r>
      <w:r>
        <w:t xml:space="preserve"> </w:t>
      </w:r>
      <w:r>
        <w:t xml:space="preserve">sobre</w:t>
      </w:r>
      <w:r>
        <w:t xml:space="preserve"> </w:t>
      </w:r>
      <w:r>
        <w:rPr>
          <w:b/>
          <w:bCs/>
        </w:rPr>
        <w:t xml:space="preserve">z</w:t>
      </w:r>
      <w:r>
        <w:t xml:space="preserve">. O diagrama de dispersão correspondente, com</w:t>
      </w:r>
      <w:r>
        <w:t xml:space="preserve"> </w:t>
      </w:r>
      <w:r>
        <w:rPr>
          <w:b/>
          <w:bCs/>
        </w:rPr>
        <w:t xml:space="preserve">z</w:t>
      </w:r>
      <w:r>
        <w:t xml:space="preserve"> </w:t>
      </w:r>
      <w:r>
        <w:t xml:space="preserve">no eixo horizontal e</w:t>
      </w:r>
      <w:r>
        <w:t xml:space="preserve"> </w:t>
      </w:r>
      <w:r>
        <w:rPr>
          <w:b/>
          <w:bCs/>
        </w:rPr>
        <w:t xml:space="preserve">Wz</w:t>
      </w:r>
      <w:r>
        <w:t xml:space="preserve"> </w:t>
      </w:r>
      <w:r>
        <w:t xml:space="preserve">no vertical, particiona o espaço em quatro quadrantes que dão nome às tipologias de</w:t>
      </w:r>
      <w:r>
        <w:t xml:space="preserve"> </w:t>
      </w:r>
      <w:r>
        <w:rPr>
          <w:i/>
          <w:iCs/>
        </w:rPr>
        <w:t xml:space="preserve">cluster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Quadro 2 — Quadrantes do diagrama de dispersão de Moran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885"/>
        <w:gridCol w:w="1885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Quadrante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W</m:t>
              </m:r>
              <m:r>
                <m:rPr>
                  <m:sty m:val="b"/>
                </m:rPr>
                <m:t>z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Rótulo</w:t>
            </w:r>
          </w:p>
        </w:tc>
        <w:tc>
          <w:tcPr/>
          <w:p>
            <w:pPr>
              <w:pStyle w:val="Compac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t xml:space="preserve">Alto-Alto (AA)</w:t>
            </w:r>
          </w:p>
        </w:tc>
        <w:tc>
          <w:tcPr/>
          <w:p>
            <w:pPr>
              <w:pStyle w:val="Compact"/>
            </w:pPr>
            <w:r>
              <w:t xml:space="preserve">Município forte cercado de fortes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t xml:space="preserve">Baixo-Alto (BA)</w:t>
            </w:r>
          </w:p>
        </w:tc>
        <w:tc>
          <w:tcPr/>
          <w:p>
            <w:pPr>
              <w:pStyle w:val="Compact"/>
            </w:pPr>
            <w:r>
              <w:t xml:space="preserve">Fraco cercado de fortes (</w:t>
            </w:r>
            <w:r>
              <w:rPr>
                <w:i/>
                <w:iCs/>
              </w:rPr>
              <w:t xml:space="preserve">outlier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</w:t>
            </w:r>
          </w:p>
        </w:tc>
        <w:tc>
          <w:tcPr/>
          <w:p>
            <w:pPr>
              <w:pStyle w:val="Compact"/>
            </w:pPr>
            <w:r>
              <w:t xml:space="preserve">Baixo-Baixo (BB)</w:t>
            </w:r>
          </w:p>
        </w:tc>
        <w:tc>
          <w:tcPr/>
          <w:p>
            <w:pPr>
              <w:pStyle w:val="Compact"/>
            </w:pPr>
            <w:r>
              <w:t xml:space="preserve">Fraco cercado de fracos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</w:t>
            </w:r>
          </w:p>
        </w:tc>
        <w:tc>
          <w:tcPr/>
          <w:p>
            <w:pPr>
              <w:pStyle w:val="Compact"/>
            </w:pPr>
            <w:r>
              <w:t xml:space="preserve">Alto-Baixo (AB)</w:t>
            </w:r>
          </w:p>
        </w:tc>
        <w:tc>
          <w:tcPr/>
          <w:p>
            <w:pPr>
              <w:pStyle w:val="Compact"/>
            </w:pPr>
            <w:r>
              <w:t xml:space="preserve">Forte cercado de fracos (</w:t>
            </w:r>
            <w:r>
              <w:rPr>
                <w:i/>
                <w:iCs/>
              </w:rPr>
              <w:t xml:space="preserve">outlier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Fonte: elaboração própria, a partir de Anselin (1995). AA e BB indicam associação positiva; BA e AB,</w:t>
      </w:r>
      <w:r>
        <w:t xml:space="preserve"> </w:t>
      </w:r>
      <w:r>
        <w:rPr>
          <w:i/>
          <w:iCs/>
        </w:rPr>
        <w:t xml:space="preserve">outliers</w:t>
      </w:r>
      <w:r>
        <w:t xml:space="preserve"> </w:t>
      </w:r>
      <w:r>
        <w:t xml:space="preserve">espaciais.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d3fe215375d3a8362a488022af3257e197ac1b2"/>
    <w:p>
      <w:pPr>
        <w:pStyle w:val="Heading2"/>
      </w:pPr>
      <w:r>
        <w:t xml:space="preserve">6 INDICADORES LOCAIS DE ASSOCIAÇÃO ESPACIAL (LISA)</w:t>
      </w:r>
    </w:p>
    <w:bookmarkStart w:id="29" w:name="o-i-de-moran-local"/>
    <w:p>
      <w:pPr>
        <w:pStyle w:val="Heading3"/>
      </w:pPr>
      <w:r>
        <w:t xml:space="preserve">6.1 O I de Moran local</w:t>
      </w:r>
    </w:p>
    <w:p>
      <w:pPr>
        <w:pStyle w:val="FirstParagraph"/>
      </w:pPr>
      <w:r>
        <w:t xml:space="preserve">Anselin (1995) define, para cada município</w:t>
      </w:r>
      <w:r>
        <w:t xml:space="preserve"> </w:t>
      </w:r>
      <w:r>
        <w:rPr>
          <w:i/>
          <w:iCs/>
        </w:rPr>
        <w:t xml:space="preserve">i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"/>
            </m:rPr>
            <m:t>W</m:t>
          </m:r>
          <m:r>
            <m:rPr>
              <m:sty m:val="b"/>
            </m:rPr>
            <m:t>z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 indicador satisfaz a propriedade de decomposição que caracteriza a classe LISA: a soma dos indicadores locais é proporcional ao global,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I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 O sinal de</w:t>
      </w:r>
      <w:r>
        <w:t xml:space="preserve"> </w:t>
      </w:r>
      <m:oMath>
        <m:sSub>
          <m:e>
            <m:r>
              <m:t>I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identifica o tipo de associação (positiva nos quadrantes AA/BB; negativa em AB/BA), e o quadrante específico é determinado pelos sinais de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 de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"/>
          </m:rPr>
          <m:t>W</m:t>
        </m:r>
        <m:r>
          <m:rPr>
            <m:sty m:val="b"/>
          </m:rPr>
          <m:t>z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9"/>
    <w:bookmarkStart w:id="30" w:name="inferência-por-permutações-condicionais"/>
    <w:p>
      <w:pPr>
        <w:pStyle w:val="Heading3"/>
      </w:pPr>
      <w:r>
        <w:t xml:space="preserve">6.2 Inferência por permutações condicionais</w:t>
      </w:r>
    </w:p>
    <w:p>
      <w:pPr>
        <w:pStyle w:val="FirstParagraph"/>
      </w:pPr>
      <w:r>
        <w:t xml:space="preserve">A distribuição amostral de</w:t>
      </w:r>
      <w:r>
        <w:t xml:space="preserve"> </w:t>
      </w:r>
      <m:oMath>
        <m:sSub>
          <m:e>
            <m:r>
              <m:t>I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sob a hipótese nula não é conhecida de forma fechada confiável para amostras finitas e distribuições assimétricas. Adota-se a</w:t>
      </w:r>
      <w:r>
        <w:t xml:space="preserve"> </w:t>
      </w:r>
      <w:r>
        <w:rPr>
          <w:b/>
          <w:bCs/>
        </w:rPr>
        <w:t xml:space="preserve">aleatorização condicional</w:t>
      </w:r>
      <w:r>
        <w:t xml:space="preserve">: fixa-se o valor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observado no município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e permutam-se aleatoriamente os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− 1 valores restantes entre as demais unidades, recalculando-se</w:t>
      </w:r>
      <w:r>
        <w:t xml:space="preserve"> </w:t>
      </w:r>
      <m:oMath>
        <m:sSub>
          <m:e>
            <m:r>
              <m:t>I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 cada permutação. Repetindo-se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vezes, obtém-se uma distribuição de referência empírica, e o pseudo-valor-p é: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em que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é o número de estatísticas simuladas tão ou mais extremas que a observada. Na produção dos mapas e nas estatísticas de concordância adotou-se</w:t>
      </w:r>
      <w:r>
        <w:t xml:space="preserve"> </w:t>
      </w:r>
      <w:r>
        <w:rPr>
          <w:b/>
          <w:bCs/>
        </w:rPr>
        <w:t xml:space="preserve">M = 999 permutações</w:t>
      </w:r>
      <w:r>
        <w:t xml:space="preserve"> </w:t>
      </w:r>
      <w:r>
        <w:t xml:space="preserve">e semente aleatória fixada em</w:t>
      </w:r>
      <w:r>
        <w:t xml:space="preserve"> </w:t>
      </w:r>
      <w:r>
        <w:rPr>
          <w:b/>
          <w:bCs/>
        </w:rPr>
        <w:t xml:space="preserve">42</w:t>
      </w:r>
      <w:r>
        <w:t xml:space="preserve">, garantindo reprodutibilidade exata; o menor pseudo-valor-p alcançável é 1/1000 = 0,001.</w:t>
      </w:r>
    </w:p>
    <w:bookmarkEnd w:id="30"/>
    <w:bookmarkStart w:id="31" w:name="Xa0f8dfcc1f08438c90cbea471114eecc628944c"/>
    <w:p>
      <w:pPr>
        <w:pStyle w:val="Heading3"/>
      </w:pPr>
      <w:r>
        <w:t xml:space="preserve">6.3 Critérios de significância e de elegibilidade</w:t>
      </w:r>
    </w:p>
    <w:p>
      <w:pPr>
        <w:pStyle w:val="FirstParagraph"/>
      </w:pPr>
      <w:r>
        <w:t xml:space="preserve">Considerou-se significativo o</w:t>
      </w:r>
      <w:r>
        <w:t xml:space="preserve"> </w:t>
      </w:r>
      <w:r>
        <w:rPr>
          <w:i/>
          <w:iCs/>
        </w:rPr>
        <w:t xml:space="preserve">cluster</w:t>
      </w:r>
      <w:r>
        <w:t xml:space="preserve"> </w:t>
      </w:r>
      <w:r>
        <w:t xml:space="preserve">local com</w:t>
      </w:r>
      <w:r>
        <w:t xml:space="preserve"> </w:t>
      </w:r>
      <w:r>
        <w:rPr>
          <w:b/>
          <w:bCs/>
        </w:rPr>
        <w:t xml:space="preserve">p &lt; 0,05</w:t>
      </w:r>
      <w:r>
        <w:t xml:space="preserve">; municípios não significativos são representados como tal nos mapas, independentemente do quadrante. A estatística LISA perde sentido quando a variável é quase integralmente nula; por isso, somente subclasses presentes em</w:t>
      </w:r>
      <w:r>
        <w:t xml:space="preserve"> </w:t>
      </w:r>
      <w:r>
        <w:rPr>
          <w:b/>
          <w:bCs/>
        </w:rPr>
        <w:t xml:space="preserve">pelo menos 10 municípios</w:t>
      </w:r>
      <w:r>
        <w:t xml:space="preserve"> </w:t>
      </w:r>
      <w:r>
        <w:t xml:space="preserve">foram submetidas à avaliação univariada. Abaixo desse limiar, a variância é dominada pelo padrão de ausência, e os quadrantes tornam-se artefatos da esparsidade. O tratamento formal do risco de falsos positivos decorrente da aplicação do teste aos 224 municípios é objeto da seção 9.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associação-espacial-bivariada"/>
    <w:p>
      <w:pPr>
        <w:pStyle w:val="Heading2"/>
      </w:pPr>
      <w:r>
        <w:t xml:space="preserve">7 ASSOCIAÇÃO ESPACIAL BIVARIADA</w:t>
      </w:r>
    </w:p>
    <w:bookmarkStart w:id="33" w:name="motivação-e-formulação"/>
    <w:p>
      <w:pPr>
        <w:pStyle w:val="Heading3"/>
      </w:pPr>
      <w:r>
        <w:t xml:space="preserve">7.1 Motivação e formulação</w:t>
      </w:r>
    </w:p>
    <w:p>
      <w:pPr>
        <w:pStyle w:val="FirstParagraph"/>
      </w:pPr>
      <w:r>
        <w:t xml:space="preserve">O interesse analítico não se esgota em saber</w:t>
      </w:r>
      <w:r>
        <w:t xml:space="preserve"> </w:t>
      </w:r>
      <w:r>
        <w:rPr>
          <w:i/>
          <w:iCs/>
        </w:rPr>
        <w:t xml:space="preserve">onde</w:t>
      </w:r>
      <w:r>
        <w:t xml:space="preserve"> </w:t>
      </w:r>
      <w:r>
        <w:t xml:space="preserve">uma subclasse se aglomera; interessa saber</w:t>
      </w:r>
      <w:r>
        <w:t xml:space="preserve"> </w:t>
      </w:r>
      <w:r>
        <w:rPr>
          <w:i/>
          <w:iCs/>
        </w:rPr>
        <w:t xml:space="preserve">quais atividades se atraem espacialmente</w:t>
      </w:r>
      <w:r>
        <w:t xml:space="preserve"> </w:t>
      </w:r>
      <w:r>
        <w:t xml:space="preserve">— se a presença intensa de uma subclasse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em um município está associada à presença intensa de outra subclasse</w:t>
      </w:r>
      <w:r>
        <w:t xml:space="preserve"> </w:t>
      </w:r>
      <w:r>
        <w:rPr>
          <w:i/>
          <w:iCs/>
        </w:rPr>
        <w:t xml:space="preserve">l</w:t>
      </w:r>
      <w:r>
        <w:t xml:space="preserve"> </w:t>
      </w:r>
      <w:r>
        <w:t xml:space="preserve">em seus</w:t>
      </w:r>
      <w:r>
        <w:t xml:space="preserve"> </w:t>
      </w:r>
      <w:r>
        <w:rPr>
          <w:b/>
          <w:bCs/>
        </w:rPr>
        <w:t xml:space="preserve">vizinhos</w:t>
      </w:r>
      <w:r>
        <w:t xml:space="preserve">. Essa é a assinatura estatística de complementaridades produtivas e de economias de aglomeração de escopo regional. O I de Moran local bivariado (ANSELIN; SYABRI; SMIRNOV, 2002) é definido como: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I</m:t>
              </m:r>
            </m:e>
            <m:sub>
              <m:r>
                <m:t>i</m:t>
              </m:r>
            </m:sub>
            <m:sup>
              <m:r>
                <m:t>k</m:t>
              </m:r>
              <m:r>
                <m:t>l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sSubSup>
            <m:e>
              <m:r>
                <m:t>z</m:t>
              </m:r>
            </m:e>
            <m:sub>
              <m:r>
                <m:t>i</m:t>
              </m:r>
            </m:sub>
            <m:sup>
              <m:r>
                <m:t>k</m:t>
              </m:r>
            </m:sup>
          </m:sSubSu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Sup>
            <m:e>
              <m:r>
                <m:t>z</m:t>
              </m:r>
            </m:e>
            <m:sub>
              <m:r>
                <m:t>j</m:t>
              </m:r>
            </m:sub>
            <m:sup>
              <m:r>
                <m:t>l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sSubSup>
            <m:e>
              <m:r>
                <m:t>z</m:t>
              </m:r>
            </m:e>
            <m:sub>
              <m:r>
                <m:t>i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"/>
            </m:rPr>
            <m:t>W</m:t>
          </m:r>
          <m:sSup>
            <m:e>
              <m:r>
                <m:rPr>
                  <m:sty m:val="b"/>
                </m:rPr>
                <m:t>z</m:t>
              </m:r>
            </m:e>
            <m:sup>
              <m:r>
                <m:t>l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e sua contrapartida global,</w:t>
      </w:r>
      <w:r>
        <w:t xml:space="preserve"> </w:t>
      </w:r>
      <m:oMath>
        <m:sSup>
          <m:e>
            <m:r>
              <m:t>I</m:t>
            </m:r>
          </m:e>
          <m:sup>
            <m:r>
              <m:t>k</m:t>
            </m:r>
            <m:r>
              <m:t>l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t>k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"/>
              </m:rPr>
              <m:t>W</m:t>
            </m:r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t>l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t>k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z</m:t>
                </m:r>
              </m:e>
              <m:sup>
                <m:r>
                  <m:t>k</m:t>
                </m:r>
              </m:sup>
            </m:sSup>
          </m:den>
        </m:f>
      </m:oMath>
      <w:r>
        <w:t xml:space="preserve">, em que</w:t>
      </w:r>
      <w:r>
        <w:t xml:space="preserve"> </w:t>
      </w:r>
      <m:oMath>
        <m:sSup>
          <m:e>
            <m:r>
              <m:rPr>
                <m:sty m:val="b"/>
              </m:rPr>
              <m:t>z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</w:t>
      </w:r>
      <w:r>
        <w:t xml:space="preserve"> </w:t>
      </w:r>
      <m:oMath>
        <m:sSup>
          <m:e>
            <m:r>
              <m:rPr>
                <m:sty m:val="b"/>
              </m:rPr>
              <m:t>z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são os vetores padronizados (transformados) das subclasses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l</w:t>
      </w:r>
      <w:r>
        <w:t xml:space="preserve">. Duas observações são essenciais à interpretação: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 medida não é simétrica</w:t>
      </w:r>
      <w:r>
        <w:t xml:space="preserve">: em geral</w:t>
      </w:r>
      <w:r>
        <w:t xml:space="preserve"> </w:t>
      </w:r>
      <m:oMath>
        <m:sSup>
          <m:e>
            <m:r>
              <m:t>I</m:t>
            </m:r>
          </m:e>
          <m:sup>
            <m:r>
              <m:t>k</m:t>
            </m:r>
            <m:r>
              <m:t>l</m:t>
            </m:r>
          </m:sup>
        </m:sSup>
        <m:r>
          <m:rPr>
            <m:sty m:val="p"/>
          </m:rPr>
          <m:t>≠</m:t>
        </m:r>
        <m:sSup>
          <m:e>
            <m:r>
              <m:t>I</m:t>
            </m:r>
          </m:e>
          <m:sup>
            <m:r>
              <m:t>l</m:t>
            </m:r>
            <m:r>
              <m:t>k</m:t>
            </m:r>
          </m:sup>
        </m:sSup>
      </m:oMath>
      <w:r>
        <w:t xml:space="preserve">. A leitura é sempre</w:t>
      </w:r>
      <w:r>
        <w:t xml:space="preserve"> </w:t>
      </w:r>
      <w:r>
        <w:t xml:space="preserve">“subclasse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no município</w:t>
      </w:r>
      <w:r>
        <w:t xml:space="preserve"> </w:t>
      </w:r>
      <w:r>
        <w:rPr>
          <w:i/>
          <w:iCs/>
        </w:rPr>
        <w:t xml:space="preserve">versus</w:t>
      </w:r>
      <w:r>
        <w:t xml:space="preserve"> </w:t>
      </w:r>
      <w:r>
        <w:t xml:space="preserve">subclasse</w:t>
      </w:r>
      <w:r>
        <w:t xml:space="preserve"> </w:t>
      </w:r>
      <w:r>
        <w:rPr>
          <w:i/>
          <w:iCs/>
        </w:rPr>
        <w:t xml:space="preserve">l</w:t>
      </w:r>
      <w:r>
        <w:t xml:space="preserve"> </w:t>
      </w:r>
      <w:r>
        <w:t xml:space="preserve">nos vizinhos”</w:t>
      </w:r>
      <w:r>
        <w:t xml:space="preserve">; a ordenação do par importa (os</w:t>
      </w:r>
      <w:r>
        <w:t xml:space="preserve"> </w:t>
      </w:r>
      <w:r>
        <w:rPr>
          <w:i/>
          <w:iCs/>
        </w:rPr>
        <w:t xml:space="preserve">tooltips</w:t>
      </w:r>
      <w:r>
        <w:t xml:space="preserve"> </w:t>
      </w:r>
      <w:r>
        <w:t xml:space="preserve">e textos do painel nomeiam ambas as variáveis e explicitam a direção do quadrante);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 medida não é uma correlação espacializada de Pearson</w:t>
      </w:r>
      <w:r>
        <w:t xml:space="preserve">: ela capta exclusivamente a componente cruzada e defasada, ignorando a correlação</w:t>
      </w:r>
      <w:r>
        <w:t xml:space="preserve"> </w:t>
      </w:r>
      <w:r>
        <w:rPr>
          <w:i/>
          <w:iCs/>
        </w:rPr>
        <w:t xml:space="preserve">in situ</w:t>
      </w:r>
      <w:r>
        <w:t xml:space="preserve"> </w:t>
      </w:r>
      <w:r>
        <w:t xml:space="preserve">entre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l</w:t>
      </w:r>
      <w:r>
        <w:t xml:space="preserve"> </w:t>
      </w:r>
      <w:r>
        <w:t xml:space="preserve">no mesmo município. Lee (2001) discute essa limitação; como o objetivo aqui é identificar transbordamentos de vizinhança, e não coexistência intramunicipal, a formulação de Anselin é a adequada.</w:t>
      </w:r>
    </w:p>
    <w:bookmarkEnd w:id="33"/>
    <w:bookmarkStart w:id="34" w:name="X6a882fb38451ea85c98f48d461a495e729d9391"/>
    <w:p>
      <w:pPr>
        <w:pStyle w:val="Heading3"/>
      </w:pPr>
      <w:r>
        <w:t xml:space="preserve">7.2 Esquema de permutação e validação da rotina vetorizada</w:t>
      </w:r>
    </w:p>
    <w:p>
      <w:pPr>
        <w:pStyle w:val="FirstParagraph"/>
      </w:pPr>
      <w:r>
        <w:t xml:space="preserve">A inferência bivariada replica o esquema de permutação condicional da implementação de referência (</w:t>
      </w:r>
      <w:r>
        <w:rPr>
          <w:rStyle w:val="VerbatimChar"/>
        </w:rPr>
        <w:t xml:space="preserve">esda.Moran_BV</w:t>
      </w:r>
      <w:r>
        <w:t xml:space="preserve">): a variável focal</w:t>
      </w:r>
      <w:r>
        <w:t xml:space="preserve"> </w:t>
      </w:r>
      <m:oMath>
        <m:sSup>
          <m:e>
            <m:r>
              <m:rPr>
                <m:sty m:val="b"/>
              </m:rPr>
              <m:t>z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é mantida fixa e a parceira</w:t>
      </w:r>
      <w:r>
        <w:t xml:space="preserve"> </w:t>
      </w:r>
      <m:oMath>
        <m:sSup>
          <m:e>
            <m:r>
              <m:rPr>
                <m:sty m:val="b"/>
              </m:rPr>
              <m:t>z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é permutada, com 999 permutações e semente 42. Dada a escala do problema (dezenas de milhares de pares ordenados), a rotina foi vetorizada para desempenho. Para assegurar que a otimização não introduziu viés, a implementação vetorizada foi</w:t>
      </w:r>
      <w:r>
        <w:t xml:space="preserve"> </w:t>
      </w:r>
      <w:r>
        <w:rPr>
          <w:b/>
          <w:bCs/>
        </w:rPr>
        <w:t xml:space="preserve">validada contra o pacote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esda</w:t>
      </w:r>
      <w:r>
        <w:t xml:space="preserve">: a divergência máxima do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observado ficou na ordem de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 </w:t>
      </w:r>
      <w:r>
        <w:t xml:space="preserve">(precisão de máquina) e as diferenças de pseudo-valor-p mostraram-se compatíveis com o ruído de Monte Carlo. Essa verificação é registrada por transparência, em coerência com o princípio de usar pacotes consagrados como referência e documentar explicitamente qualquer vetorização própria.</w:t>
      </w:r>
    </w:p>
    <w:bookmarkEnd w:id="34"/>
    <w:bookmarkStart w:id="35" w:name="quadrantes-e-critérios-operacionais"/>
    <w:p>
      <w:pPr>
        <w:pStyle w:val="Heading3"/>
      </w:pPr>
      <w:r>
        <w:t xml:space="preserve">7.3 Quadrantes e critérios operacionais</w:t>
      </w:r>
    </w:p>
    <w:p>
      <w:pPr>
        <w:pStyle w:val="FirstParagraph"/>
      </w:pPr>
      <w:r>
        <w:t xml:space="preserve">A classificação em quadrantes é análoga à do caso univariado, combinando o valor de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no município com o valor médio de</w:t>
      </w:r>
      <w:r>
        <w:t xml:space="preserve"> </w:t>
      </w:r>
      <w:r>
        <w:rPr>
          <w:i/>
          <w:iCs/>
        </w:rPr>
        <w:t xml:space="preserve">l</w:t>
      </w:r>
      <w:r>
        <w:t xml:space="preserve"> </w:t>
      </w:r>
      <w:r>
        <w:t xml:space="preserve">nos vizinhos: os</w:t>
      </w:r>
      <w:r>
        <w:t xml:space="preserve"> </w:t>
      </w:r>
      <w:r>
        <w:rPr>
          <w:i/>
          <w:iCs/>
        </w:rPr>
        <w:t xml:space="preserve">clusters</w:t>
      </w:r>
      <w:r>
        <w:t xml:space="preserve"> </w:t>
      </w:r>
      <w:r>
        <w:t xml:space="preserve">Alto-Alto bivariados indicam</w:t>
      </w:r>
      <w:r>
        <w:t xml:space="preserve"> </w:t>
      </w:r>
      <w:r>
        <w:rPr>
          <w:b/>
          <w:bCs/>
        </w:rPr>
        <w:t xml:space="preserve">complementaridade espacial positiva</w:t>
      </w:r>
      <w:r>
        <w:t xml:space="preserve"> </w:t>
      </w:r>
      <w:r>
        <w:t xml:space="preserve">e constituem o principal insumo para a leitura de arranjos produtivos potenciais. A inferência é idêntica à univariada (999 permutações, semente 42, p &lt; 0,05), e exigiu-se um mínimo de</w:t>
      </w:r>
      <w:r>
        <w:t xml:space="preserve"> </w:t>
      </w:r>
      <w:r>
        <w:rPr>
          <w:b/>
          <w:bCs/>
        </w:rPr>
        <w:t xml:space="preserve">5 municípios com copresença</w:t>
      </w:r>
      <w:r>
        <w:t xml:space="preserve"> </w:t>
      </w:r>
      <w:r>
        <w:t xml:space="preserve">das duas subclasses do par para sua avaliação. No universo elegível, isso totaliza 92.020 pares ordenados (focal, parceira).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02558ab2afe2ca45658cb36e06b2f838d7db91d"/>
    <w:p>
      <w:pPr>
        <w:pStyle w:val="Heading2"/>
      </w:pPr>
      <w:r>
        <w:t xml:space="preserve">8 ROBUSTEZ À ESPECIFICAÇÃO DA MATRIZ DE VIZINHANÇA</w:t>
      </w:r>
    </w:p>
    <w:bookmarkStart w:id="37" w:name="motivação-e-métrica-de-concordância"/>
    <w:p>
      <w:pPr>
        <w:pStyle w:val="Heading3"/>
      </w:pPr>
      <w:r>
        <w:t xml:space="preserve">8.1 Motivação e métrica de concordância</w:t>
      </w:r>
    </w:p>
    <w:p>
      <w:pPr>
        <w:pStyle w:val="FirstParagraph"/>
      </w:pPr>
      <w:r>
        <w:t xml:space="preserve">Por ser a definição de vizinhança uma decisão do analista, a estabilidade dos aglomerados frente a especificações alternativas de</w:t>
      </w:r>
      <w:r>
        <w:t xml:space="preserve"> </w:t>
      </w:r>
      <w:r>
        <w:rPr>
          <w:b/>
          <w:bCs/>
        </w:rPr>
        <w:t xml:space="preserve">W</w:t>
      </w:r>
      <w:r>
        <w:t xml:space="preserve"> </w:t>
      </w:r>
      <w:r>
        <w:t xml:space="preserve">é condição de credibilidade. Recalcularam-se os indicadores locais e o Moran bivariado global sob as quatro matrizes alternativas descritas nas seções 4.4 a 4.6 (KNN-5, distância inversa, rede rodoviária e tempo de viagem), mantidos inalterados os demais parâmetros (999 permutações condicionais, semente 42, p &lt; 0,05). A concordância é medida sobre as observações significativas sob a linha de base</w:t>
      </w:r>
      <w:r>
        <w:t xml:space="preserve"> </w:t>
      </w:r>
      <w:r>
        <w:rPr>
          <w:i/>
          <w:iCs/>
        </w:rPr>
        <w:t xml:space="preserve">Queen</w:t>
      </w:r>
      <w:r>
        <w:t xml:space="preserve">, adotando-se como critério de manutenção: no univariado, o mesmo quadrante e a significância sob a matriz alternativa; no bivariado global, a mesma significância e o mesmo sinal de</w:t>
      </w:r>
      <w:r>
        <w:t xml:space="preserve"> </w:t>
      </w:r>
      <w:r>
        <w:rPr>
          <w:i/>
          <w:iCs/>
        </w:rPr>
        <w:t xml:space="preserve">I</w:t>
      </w:r>
      <w:r>
        <w:t xml:space="preserve">.</w:t>
      </w:r>
    </w:p>
    <w:p>
      <w:pPr>
        <w:pStyle w:val="BodyText"/>
      </w:pPr>
      <w:r>
        <w:t xml:space="preserve">Formalmente, para o conjunto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das observações significativas sob</w:t>
      </w:r>
      <w:r>
        <w:t xml:space="preserve"> </w:t>
      </w:r>
      <w:r>
        <w:rPr>
          <w:i/>
          <w:iCs/>
        </w:rPr>
        <w:t xml:space="preserve">Queen</w:t>
      </w:r>
      <w:r>
        <w:t xml:space="preserve">, a taxa de manutenção sob a matriz alternativa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é: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m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{</m:t>
              </m:r>
              <m:r>
                <m:t> </m:t>
              </m:r>
              <m:r>
                <m:t>o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nor/>
                      <m:sty m:val="p"/>
                    </m:rPr>
                    <m:t>classe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classe</m:t>
                  </m:r>
                </m:e>
                <m:sub>
                  <m:r>
                    <m:rPr>
                      <m:nor/>
                      <m:sty m:val="p"/>
                    </m:rPr>
                    <m:t>Queen</m:t>
                  </m:r>
                </m:sub>
              </m:sSub>
              <m:r>
                <m:rPr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núcleo robusto</w:t>
      </w:r>
      <w:r>
        <w:t xml:space="preserve"> </w:t>
      </w:r>
      <w:r>
        <w:t xml:space="preserve">é definido como a interseção das observações mantidas simultaneamente sob todas as matrizes alternativas consideradas — o critério mais exigente disponível para leitura confirmatória.</w:t>
      </w:r>
    </w:p>
    <w:bookmarkEnd w:id="37"/>
    <w:bookmarkStart w:id="38" w:name="resultados-sob-cinco-especificações"/>
    <w:p>
      <w:pPr>
        <w:pStyle w:val="Heading3"/>
      </w:pPr>
      <w:r>
        <w:t xml:space="preserve">8.2 Resultados sob cinco especificações</w:t>
      </w:r>
    </w:p>
    <w:p>
      <w:pPr>
        <w:pStyle w:val="FirstParagraph"/>
      </w:pPr>
      <w:r>
        <w:t xml:space="preserve">A Tabela 1 consolida as taxas de manutenção do recorte T1+T2 sob as quatro matrizes alternativas e sob a interseção das quatro. A leitura confirma dois pontos. Primeiro, a matriz rodoviária comporta-se de forma muito próxima à distância inversa euclidiana (por exemplo, 46,1% contra 45,5% no univariado de estoques), coerente com a correlação de 0,972 entre as métricas; ela não é redundante, porém, pois converte a hipótese de adjacência em medida empírica de acessibilidade. Segundo, a matriz de tempo é a mais exigente das quatro no univariado, coerente com sua vizinhança mais densa e com o fato de penalizar trechos lentos que a distância pura não captura.</w:t>
      </w:r>
    </w:p>
    <w:p>
      <w:pPr>
        <w:pStyle w:val="BodyText"/>
      </w:pPr>
      <w:r>
        <w:rPr>
          <w:b/>
          <w:bCs/>
        </w:rPr>
        <w:t xml:space="preserve">Tabela 1 — Manutenção das observações significativas sob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Queen</w:t>
      </w:r>
      <w:r>
        <w:rPr>
          <w:b/>
          <w:bCs/>
        </w:rPr>
        <w:t xml:space="preserve">, por especificação de W (recorte T1+T2)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200"/>
        <w:gridCol w:w="1200"/>
        <w:gridCol w:w="1200"/>
        <w:gridCol w:w="1200"/>
        <w:gridCol w:w="120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Pipeline / análise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Sig.</w:t>
            </w:r>
            <w:r>
              <w:t xml:space="preserve"> </w:t>
            </w:r>
            <w:r>
              <w:rPr>
                <w:i/>
                <w:iCs/>
              </w:rPr>
              <w:t xml:space="preserve">Queen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KNN-5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Dist. inversa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Rede rodov.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alt.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Estoque — univariado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57,7%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Estoque — bivariado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49,8%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 + RIE — univariado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67,4%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 + RIE — bivariado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10,1%</w:t>
            </w:r>
          </w:p>
        </w:tc>
      </w:tr>
    </w:tbl>
    <w:p>
      <w:pPr>
        <w:pStyle w:val="BodyText"/>
      </w:pPr>
      <w:r>
        <w:t xml:space="preserve">Fonte: elaboração própria.</w:t>
      </w:r>
      <w:r>
        <w:t xml:space="preserve"> </w:t>
      </w:r>
      <w:r>
        <w:t xml:space="preserve">“4 alt.”</w:t>
      </w:r>
      <w:r>
        <w:t xml:space="preserve"> </w:t>
      </w:r>
      <w:r>
        <w:t xml:space="preserve">= observações mantidas simultaneamente sob KNN-5, distância inversa, rede rodoviária e tempo de viagem. Concordância medida com 999 permutações e semente 42.</w:t>
      </w:r>
    </w:p>
    <w:p>
      <w:pPr>
        <w:pStyle w:val="BodyText"/>
      </w:pPr>
      <w:r>
        <w:t xml:space="preserve">A concordância global média por mapa (incluindo municípios não significativos) situa-se entre 76% e 89%, o que mostra que a divergência se concentra nas bordas dos aglomerados — onde a topologia de vizinhança mais importa. A leitura recomendada é, portanto,</w:t>
      </w:r>
      <w:r>
        <w:t xml:space="preserve"> </w:t>
      </w:r>
      <w:r>
        <w:rPr>
          <w:b/>
          <w:bCs/>
        </w:rPr>
        <w:t xml:space="preserve">estratificada</w:t>
      </w:r>
      <w:r>
        <w:t xml:space="preserve">: um núcleo robusto, invariante à especificação de</w:t>
      </w:r>
      <w:r>
        <w:t xml:space="preserve"> </w:t>
      </w:r>
      <w:r>
        <w:rPr>
          <w:b/>
          <w:bCs/>
        </w:rPr>
        <w:t xml:space="preserve">W</w:t>
      </w:r>
      <w:r>
        <w:t xml:space="preserve">, e uma camada sensível à topologia adotada, cuja interpretação exige cautela adicional. Com a incorporação do tempo de viagem, a ressalva estrutural fica restrita a fluxos efetivos de bens e pessoas e a vínculos funcionais não físicos, cuja modelagem demandaria dados de origem–destino.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controle-de-comparações-múltiplas-fdr"/>
    <w:p>
      <w:pPr>
        <w:pStyle w:val="Heading2"/>
      </w:pPr>
      <w:r>
        <w:t xml:space="preserve">9 CONTROLE DE COMPARAÇÕES MÚLTIPLAS (FDR)</w:t>
      </w:r>
    </w:p>
    <w:bookmarkStart w:id="40" w:name="o-problema-da-multiplicidade"/>
    <w:p>
      <w:pPr>
        <w:pStyle w:val="Heading3"/>
      </w:pPr>
      <w:r>
        <w:t xml:space="preserve">9.1 O problema da multiplicidade</w:t>
      </w:r>
    </w:p>
    <w:p>
      <w:pPr>
        <w:pStyle w:val="FirstParagraph"/>
      </w:pPr>
      <w:r>
        <w:t xml:space="preserve">Como cada mapa LISA aplica 224 testes locais e o universo bivariado avalia 92.020 pares, o número esperado de falsos positivos ao nível nominal de 5% não é desprezível mesmo na ausência completa de estrutura espacial: no universo bivariado, seriam esperados cerca de 4.601 pares espuriamente significativos. Impõe-se, pois, uma correção para multiplicidade.</w:t>
      </w:r>
    </w:p>
    <w:bookmarkEnd w:id="40"/>
    <w:bookmarkStart w:id="41" w:name="o-procedimento-de-benjaminihochberg"/>
    <w:p>
      <w:pPr>
        <w:pStyle w:val="Heading3"/>
      </w:pPr>
      <w:r>
        <w:t xml:space="preserve">9.2 O procedimento de Benjamini–Hochberg</w:t>
      </w:r>
    </w:p>
    <w:p>
      <w:pPr>
        <w:pStyle w:val="FirstParagraph"/>
      </w:pPr>
      <w:r>
        <w:t xml:space="preserve">Adotou-se o controle da</w:t>
      </w:r>
      <w:r>
        <w:t xml:space="preserve"> </w:t>
      </w:r>
      <w:r>
        <w:rPr>
          <w:b/>
          <w:bCs/>
        </w:rPr>
        <w:t xml:space="preserve">Taxa de Falsas Descobertas</w:t>
      </w:r>
      <w:r>
        <w:t xml:space="preserve"> </w:t>
      </w:r>
      <w:r>
        <w:t xml:space="preserve">(FDR) — a proporção esperada de falsos positivos entre as descobertas — pelo procedimento de Benjamini e Hochberg (1995), aplicado a estatísticas locais de associação espacial conforme Castro e Singer (2006) e Anselin (2019). Ordenados os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pseudo-valores-p em ordem crescente,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…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 determina-se o maior índice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que satisfaz: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t> </m:t>
          </m:r>
          <m:r>
            <m:rPr>
              <m:sty m:val="p"/>
            </m:rPr>
            <m:t>≤</m:t>
          </m:r>
          <m:r>
            <m:t> 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m</m:t>
              </m:r>
            </m:den>
          </m:f>
          <m:r>
            <m:t> </m:t>
          </m:r>
          <m:r>
            <m:t>α</m:t>
          </m:r>
        </m:oMath>
      </m:oMathPara>
    </w:p>
    <w:p>
      <w:pPr>
        <w:pStyle w:val="FirstParagraph"/>
      </w:pPr>
      <w:r>
        <w:t xml:space="preserve">e rejeitam-se todas as hipóteses nulas associadas a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 Adotou-se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. O procedimento é uniformemente mais potente que a correção de Bonferroni (que controla a probabilidade de</w:t>
      </w:r>
      <w:r>
        <w:t xml:space="preserve"> </w:t>
      </w:r>
      <w:r>
        <w:rPr>
          <w:i/>
          <w:iCs/>
        </w:rPr>
        <w:t xml:space="preserve">qualquer</w:t>
      </w:r>
      <w:r>
        <w:t xml:space="preserve"> </w:t>
      </w:r>
      <w:r>
        <w:t xml:space="preserve">falso positivo,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), sendo adequado ao caráter exploratório da AEDE.</w:t>
      </w:r>
    </w:p>
    <w:bookmarkEnd w:id="41"/>
    <w:bookmarkStart w:id="42" w:name="X09c9432f111309faeebfad07a88472dc7f9dec3"/>
    <w:p>
      <w:pPr>
        <w:pStyle w:val="Heading3"/>
      </w:pPr>
      <w:r>
        <w:t xml:space="preserve">9.3 Resolução de permutações exigida pelo FDR</w:t>
      </w:r>
    </w:p>
    <w:p>
      <w:pPr>
        <w:pStyle w:val="FirstParagraph"/>
      </w:pPr>
      <w:r>
        <w:t xml:space="preserve">Há um aspecto operacional relevante: com 999 permutações, o menor pseudo-valor-p alcançável é 0,001, insuficiente para a resolução exigida pelos limiares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</m:num>
          <m:den>
            <m:r>
              <m:t>m</m:t>
            </m:r>
          </m:den>
        </m:f>
        <m:r>
          <m:t>α</m:t>
        </m:r>
      </m:oMath>
      <w:r>
        <w:t xml:space="preserve"> </w:t>
      </w:r>
      <w:r>
        <w:t xml:space="preserve">nas caudas do procedimento de Benjamini–Hochberg. Por isso, os pseudo-valores-p destinados à correção foram</w:t>
      </w:r>
      <w:r>
        <w:t xml:space="preserve"> </w:t>
      </w:r>
      <w:r>
        <w:rPr>
          <w:b/>
          <w:bCs/>
        </w:rPr>
        <w:t xml:space="preserve">recalculados com 9.999 permutações</w:t>
      </w:r>
      <w:r>
        <w:t xml:space="preserve"> </w:t>
      </w:r>
      <w:r>
        <w:t xml:space="preserve">(menor p alcançável: 0,0001). Trata-se de decisão puramente numérica, sem alteração conceitual do teste.</w:t>
      </w:r>
    </w:p>
    <w:bookmarkEnd w:id="42"/>
    <w:bookmarkStart w:id="43" w:name="resultados"/>
    <w:p>
      <w:pPr>
        <w:pStyle w:val="Heading3"/>
      </w:pPr>
      <w:r>
        <w:t xml:space="preserve">9.4 Resultados</w:t>
      </w:r>
    </w:p>
    <w:p>
      <w:pPr>
        <w:pStyle w:val="FirstParagraph"/>
      </w:pPr>
      <w:r>
        <w:t xml:space="preserve">Aplicada em duas escalas — dentro de cada mapa LISA e através do universo de pares —, a correção produz efeitos fortemente assimétricos entre</w:t>
      </w:r>
      <w:r>
        <w:t xml:space="preserve"> </w:t>
      </w:r>
      <w:r>
        <w:rPr>
          <w:i/>
          <w:iCs/>
        </w:rPr>
        <w:t xml:space="preserve">pipelines</w:t>
      </w:r>
      <w:r>
        <w:t xml:space="preserve">, resumidos na Tabela 2.</w:t>
      </w:r>
    </w:p>
    <w:p>
      <w:pPr>
        <w:pStyle w:val="BodyText"/>
      </w:pPr>
      <w:r>
        <w:rPr>
          <w:b/>
          <w:bCs/>
        </w:rPr>
        <w:t xml:space="preserve">Tabela 2 — Sobrevivência à correção FDR de Benjamini–Hochberg (T1+T2,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Queen</w:t>
      </w:r>
      <w:r>
        <w:rPr>
          <w:b/>
          <w:bCs/>
        </w:rPr>
        <w:t xml:space="preserve">, 9.999 permutações)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Análise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Sig. nominais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Sobreviventes ao FDR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LISA univariado — Estoque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66,7%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LISA univariado — CE + RIE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75,6%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Moran bivariado global — Estoque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1.792 (937 com I &gt; 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Moran bivariado global — CE + RIE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552 (238 com I &gt; 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26,6%</w:t>
            </w:r>
          </w:p>
        </w:tc>
      </w:tr>
    </w:tbl>
    <w:p>
      <w:pPr>
        <w:pStyle w:val="BodyText"/>
      </w:pPr>
      <w:r>
        <w:t xml:space="preserve">Fonte: elaboração própria. Corte FDR do universo bivariado de estoques: p ≤ 0,00766. O recorte tipológico T1+T2 eleva substancialmente a sobrevivência em relação ao universo não classificado (10,3% e 4,2% nos casos correspondentes).</w:t>
      </w:r>
    </w:p>
    <w:p>
      <w:pPr>
        <w:pStyle w:val="BodyText"/>
      </w:pPr>
      <w:r>
        <w:t xml:space="preserve">A leitura conjunta das seções 8 e 9 converge: os resultados do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de estoques são majoritariamente robustos tanto à especificação de</w:t>
      </w:r>
      <w:r>
        <w:t xml:space="preserve"> </w:t>
      </w:r>
      <w:r>
        <w:rPr>
          <w:b/>
          <w:bCs/>
        </w:rPr>
        <w:t xml:space="preserve">W</w:t>
      </w:r>
      <w:r>
        <w:t xml:space="preserve"> </w:t>
      </w:r>
      <w:r>
        <w:t xml:space="preserve">quanto à multiplicidade, ao passo que os do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rPr>
          <w:i/>
          <w:iCs/>
        </w:rPr>
        <w:t xml:space="preserve">shift-share</w:t>
      </w:r>
      <w:r>
        <w:t xml:space="preserve"> </w:t>
      </w:r>
      <w:r>
        <w:t xml:space="preserve">— e sobretudo a camada bivariada — comportam-se como evidência exploratória de primeira triagem. A assimetria é esperada, pois CE + RIE mede componentes de variação (mais voláteis e sujeitos a ruído de janela temporal) sobre suporte municipal mais esparso, enquanto o estoque mede níveis acumulados. Recomenda-se que o painel sinalize, para cada aglomerado e cada par, sua pertença ou não ao núcleo robusto (invariante a</w:t>
      </w:r>
      <w:r>
        <w:t xml:space="preserve"> </w:t>
      </w:r>
      <w:r>
        <w:rPr>
          <w:b/>
          <w:bCs/>
        </w:rPr>
        <w:t xml:space="preserve">W</w:t>
      </w:r>
      <w:r>
        <w:t xml:space="preserve"> </w:t>
      </w:r>
      <w:r>
        <w:t xml:space="preserve">e sobrevivente ao FDR), preservando o restante como material de exploração.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arâmetros-consolidados"/>
    <w:p>
      <w:pPr>
        <w:pStyle w:val="Heading2"/>
      </w:pPr>
      <w:r>
        <w:t xml:space="preserve">10 PARÂMETROS CONSOLIDADOS</w:t>
      </w:r>
    </w:p>
    <w:p>
      <w:pPr>
        <w:pStyle w:val="FirstParagraph"/>
      </w:pPr>
      <w:r>
        <w:rPr>
          <w:b/>
          <w:bCs/>
        </w:rPr>
        <w:t xml:space="preserve">Quadro 3 — Parâmetros consolidados do pipeline espacial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Valor adotado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Unidades espaciais</w:t>
            </w:r>
          </w:p>
        </w:tc>
        <w:tc>
          <w:tcPr/>
          <w:p>
            <w:pPr>
              <w:pStyle w:val="Compact"/>
            </w:pPr>
            <w:r>
              <w:t xml:space="preserve">224 municípios do Piauí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Malha territorial</w:t>
            </w:r>
          </w:p>
        </w:tc>
        <w:tc>
          <w:tcPr/>
          <w:p>
            <w:pPr>
              <w:pStyle w:val="Compact"/>
            </w:pPr>
            <w:r>
              <w:t xml:space="preserve">IBGE, Malha Municipal Digital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referência</w:t>
            </w:r>
          </w:p>
        </w:tc>
        <w:tc>
          <w:tcPr/>
          <w:p>
            <w:pPr>
              <w:pStyle w:val="Compact"/>
            </w:pPr>
            <w:r>
              <w:t xml:space="preserve">SIRGAS 2000 (EPSG:4674); projeção métrica EPSG:5880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Variáveis de intensidade</w:t>
            </w:r>
          </w:p>
        </w:tc>
        <w:tc>
          <w:tcPr/>
          <w:p>
            <w:pPr>
              <w:pStyle w:val="Compact"/>
            </w:pPr>
            <w:r>
              <w:t xml:space="preserve">Estoque (</w:t>
            </w:r>
            <w:r>
              <w:rPr>
                <w:i/>
                <w:iCs/>
              </w:rPr>
              <w:t xml:space="preserve">pipeline</w:t>
            </w:r>
            <w:r>
              <w:t xml:space="preserve"> </w:t>
            </w:r>
            <w:r>
              <w:t xml:space="preserve">de estoques); CE + RIE (</w:t>
            </w:r>
            <w:r>
              <w:rPr>
                <w:i/>
                <w:iCs/>
              </w:rPr>
              <w:t xml:space="preserve">pipeline shift-share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Deduplicação</w:t>
            </w:r>
          </w:p>
        </w:tc>
        <w:tc>
          <w:tcPr/>
          <w:p>
            <w:pPr>
              <w:pStyle w:val="Compact"/>
            </w:pPr>
            <w:r>
              <w:t xml:space="preserve">Máximo da intensidade entre janelas (2013, 2018, 2022)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Transformação — estoque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log1p</w:t>
            </w:r>
            <w:r>
              <w:t xml:space="preserve">, seguida de padronização (escore-z)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Transformação — CE + RIE</w:t>
            </w:r>
          </w:p>
        </w:tc>
        <w:tc>
          <w:tcPr/>
          <w:p>
            <w:pPr>
              <w:pStyle w:val="Compact"/>
            </w:pPr>
            <w:r>
              <w:t xml:space="preserve">log sinalizado,</w:t>
            </w:r>
            <w:r>
              <w:t xml:space="preserve"> </w:t>
            </w:r>
            <m:oMath>
              <m:r>
                <m:rPr>
                  <m:sty m:val="p"/>
                </m:rPr>
                <m:t>sinal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oMath>
            <w:r>
              <w:t xml:space="preserve">, seguido de escore-z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Matrizes de pesos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Queen</w:t>
            </w:r>
            <w:r>
              <w:t xml:space="preserve"> </w:t>
            </w:r>
            <w:r>
              <w:t xml:space="preserve">(referência); KNN-5; distância inversa; rede rodoviária; tempo (ORS)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Padronização de W</w:t>
            </w:r>
          </w:p>
        </w:tc>
        <w:tc>
          <w:tcPr/>
          <w:p>
            <w:pPr>
              <w:pStyle w:val="Compact"/>
            </w:pPr>
            <w:r>
              <w:t xml:space="preserve">Por linha, em todas as matrizes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Permutações</w:t>
            </w:r>
          </w:p>
        </w:tc>
        <w:tc>
          <w:tcPr/>
          <w:p>
            <w:pPr>
              <w:pStyle w:val="Compact"/>
            </w:pPr>
            <w:r>
              <w:t xml:space="preserve">999 (mapas e concordância); 9.999 (FDR)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Semente aleatória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Significância nominal</w:t>
            </w:r>
          </w:p>
        </w:tc>
        <w:tc>
          <w:tcPr/>
          <w:p>
            <w:pPr>
              <w:pStyle w:val="Compact"/>
            </w:pPr>
            <w:r>
              <w:t xml:space="preserve">p &lt; 0,05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Correção de multiplicidade</w:t>
            </w:r>
          </w:p>
        </w:tc>
        <w:tc>
          <w:tcPr/>
          <w:p>
            <w:pPr>
              <w:pStyle w:val="Compact"/>
            </w:pPr>
            <w:r>
              <w:t xml:space="preserve">FDR de Benjamini–Hochberg,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Mínimo — LISA univariado</w:t>
            </w:r>
          </w:p>
        </w:tc>
        <w:tc>
          <w:tcPr/>
          <w:p>
            <w:pPr>
              <w:pStyle w:val="Compact"/>
            </w:pPr>
            <w:r>
              <w:t xml:space="preserve">10 municípios com presença da subclasse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Mínimo — LISA bivariado</w:t>
            </w:r>
          </w:p>
        </w:tc>
        <w:tc>
          <w:tcPr/>
          <w:p>
            <w:pPr>
              <w:pStyle w:val="Compact"/>
            </w:pPr>
            <w:r>
              <w:t xml:space="preserve">5 municípios com copresença do par</w:t>
            </w:r>
          </w:p>
        </w:tc>
      </w:tr>
    </w:tbl>
    <w:p>
      <w:pPr>
        <w:pStyle w:val="BodyText"/>
      </w:pPr>
      <w:r>
        <w:t xml:space="preserve">Fonte: elaboração própria.</w:t>
      </w:r>
    </w:p>
    <w:p>
      <w:r>
        <w:pict>
          <v:rect style="width:0;height:1.5pt" o:hralign="center" o:hrstd="t" o:hr="t"/>
        </w:pict>
      </w:r>
    </w:p>
    <w:bookmarkEnd w:id="45"/>
    <w:bookmarkStart w:id="46" w:name="limitações"/>
    <w:p>
      <w:pPr>
        <w:pStyle w:val="Heading2"/>
      </w:pPr>
      <w:r>
        <w:t xml:space="preserve">11 LIMITAÇÕES</w:t>
      </w:r>
    </w:p>
    <w:p>
      <w:pPr>
        <w:pStyle w:val="FirstParagraph"/>
      </w:pPr>
      <w:r>
        <w:rPr>
          <w:b/>
          <w:bCs/>
        </w:rPr>
        <w:t xml:space="preserve">Problema da Unidade de Área Modificável (MAUP).</w:t>
      </w:r>
      <w:r>
        <w:t xml:space="preserve"> </w:t>
      </w:r>
      <w:r>
        <w:t xml:space="preserve">Os resultados são condicionados ao recorte municipal; agregações alternativas (microrregiões, territórios de desenvolvimento) poderiam produzir padrões distintos (OPENSHAW, 1984).</w:t>
      </w:r>
    </w:p>
    <w:p>
      <w:pPr>
        <w:pStyle w:val="BodyText"/>
      </w:pPr>
      <w:r>
        <w:rPr>
          <w:b/>
          <w:bCs/>
        </w:rPr>
        <w:t xml:space="preserve">Sensibilidade à especificação de W.</w:t>
      </w:r>
      <w:r>
        <w:t xml:space="preserve"> </w:t>
      </w:r>
      <w:r>
        <w:t xml:space="preserve">Conforme a seção 8, os aglomerados devem ser lidos em dois estratos: um núcleo robusto, invariante à especificação, e uma camada sensível à topologia de vizinhança. Para além das matrizes geométricas, testaram-se uma matriz rodoviária real e uma de tempo de viagem; os resultados sob a rodoviária aproximam-se dos da distância inversa (correlação de 0,972 entre as métricas; circuidade mediana de 1,40), indicando que, no Piauí, a topologia viária acompanha em larga medida a geografia — com exceções em municípios de acesso precário (onze sedes distam mais de 20 km de rodovia mapeada). Permanecem fora do escopo os fluxos efetivos de bens e pessoas e os vínculos funcionais não físicos, cuja modelagem demandaria dados de origem–destino.</w:t>
      </w:r>
    </w:p>
    <w:p>
      <w:pPr>
        <w:pStyle w:val="BodyText"/>
      </w:pPr>
      <w:r>
        <w:rPr>
          <w:b/>
          <w:bCs/>
        </w:rPr>
        <w:t xml:space="preserve">Comparações múltiplas.</w:t>
      </w:r>
      <w:r>
        <w:t xml:space="preserve"> </w:t>
      </w:r>
      <w:r>
        <w:t xml:space="preserve">Conforme a seção 9, o volume de testes torna o controle de multiplicidade indispensável. Os aglomerados e pares que sobrevivem ao FDR constituem o subconjunto sobre o qual a evidência é mais defensável; os demais devem ser tratados como hipóteses a validar com dados e desenhos complementares. Nenhum par bivariado satisfaz o critério de Bonferroni na resolução de permutação adotada.</w:t>
      </w:r>
    </w:p>
    <w:p>
      <w:pPr>
        <w:pStyle w:val="BodyText"/>
      </w:pPr>
      <w:r>
        <w:rPr>
          <w:b/>
          <w:bCs/>
        </w:rPr>
        <w:t xml:space="preserve">Natureza dos dados de origem.</w:t>
      </w:r>
      <w:r>
        <w:t xml:space="preserve"> </w:t>
      </w:r>
      <w:r>
        <w:t xml:space="preserve">As fontes primárias (PAM, PPM e PEVS do IBGE; RAIS do MTE) têm coberturas, unidades de medida e regimes de sigilo distintos; a comparabilidade entre subclasses de fontes diferentes exige cautela — em especial entre atividades agropecuárias (volume ou valor da produção) e atividades formais urbanas (vínculos de emprego).</w:t>
      </w:r>
    </w:p>
    <w:p>
      <w:pPr>
        <w:pStyle w:val="BodyText"/>
      </w:pPr>
      <w:r>
        <w:rPr>
          <w:b/>
          <w:bCs/>
        </w:rPr>
        <w:t xml:space="preserve">Ausência ≠ zero.</w:t>
      </w:r>
      <w:r>
        <w:t xml:space="preserve"> </w:t>
      </w:r>
      <w:r>
        <w:t xml:space="preserve">O tratamento de subclasses não observadas como valor zero confunde, potencialmente, ausência real de atividade com ausência de registro (por sigilo ou informalidade), o que tende a subestimar a presença de atividades em municípios de pequeno porte.</w:t>
      </w:r>
    </w:p>
    <w:p>
      <w:pPr>
        <w:pStyle w:val="BodyText"/>
      </w:pPr>
      <w:r>
        <w:rPr>
          <w:b/>
          <w:bCs/>
        </w:rPr>
        <w:t xml:space="preserve">Tráfego não observado.</w:t>
      </w:r>
      <w:r>
        <w:t xml:space="preserve"> </w:t>
      </w:r>
      <w:r>
        <w:t xml:space="preserve">Os tempos de viagem do OpenRouteService são modelados a partir de atributos viários do OpenStreetMap, não de tráfego real; quatro municípios tiveram tempos imputados por regressão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933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46"/>
    <w:bookmarkStart w:id="47" w:name="referências"/>
    <w:p>
      <w:pPr>
        <w:pStyle w:val="Heading2"/>
      </w:pPr>
      <w:r>
        <w:t xml:space="preserve">REFERÊNCIAS</w:t>
      </w:r>
    </w:p>
    <w:p>
      <w:pPr>
        <w:pStyle w:val="FirstParagraph"/>
      </w:pPr>
      <w:r>
        <w:t xml:space="preserve">ANSELIN, Luc.</w:t>
      </w:r>
      <w:r>
        <w:t xml:space="preserve"> </w:t>
      </w:r>
      <w:r>
        <w:rPr>
          <w:b/>
          <w:bCs/>
        </w:rPr>
        <w:t xml:space="preserve">Spatial econometrics</w:t>
      </w:r>
      <w:r>
        <w:t xml:space="preserve">: methods and models. Dordrecht: Kluwer Academic Publishers, 1988.</w:t>
      </w:r>
    </w:p>
    <w:p>
      <w:pPr>
        <w:pStyle w:val="BodyText"/>
      </w:pPr>
      <w:r>
        <w:t xml:space="preserve">ANSELIN, Luc. Local indicators of spatial association — LISA.</w:t>
      </w:r>
      <w:r>
        <w:t xml:space="preserve"> </w:t>
      </w:r>
      <w:r>
        <w:rPr>
          <w:b/>
          <w:bCs/>
        </w:rPr>
        <w:t xml:space="preserve">Geographical Analysis</w:t>
      </w:r>
      <w:r>
        <w:t xml:space="preserve">, Columbus, v. 27, n. 2, p. 93-115, 1995.</w:t>
      </w:r>
    </w:p>
    <w:p>
      <w:pPr>
        <w:pStyle w:val="BodyText"/>
      </w:pPr>
      <w:r>
        <w:t xml:space="preserve">ANSELIN, Luc. A local indicator of multivariate spatial association: extending Geary’s c. </w:t>
      </w:r>
      <w:r>
        <w:rPr>
          <w:b/>
          <w:bCs/>
        </w:rPr>
        <w:t xml:space="preserve">Geographical Analysis</w:t>
      </w:r>
      <w:r>
        <w:t xml:space="preserve">, Columbus, v. 51, n. 2, p. 133-150, 2019.</w:t>
      </w:r>
    </w:p>
    <w:p>
      <w:pPr>
        <w:pStyle w:val="BodyText"/>
      </w:pPr>
      <w:r>
        <w:t xml:space="preserve">ANSELIN, Luc; SYABRI, Ibnu; KHO, Youngihn. GeoDa: an introduction to spatial data analysis.</w:t>
      </w:r>
      <w:r>
        <w:t xml:space="preserve"> </w:t>
      </w:r>
      <w:r>
        <w:rPr>
          <w:b/>
          <w:bCs/>
        </w:rPr>
        <w:t xml:space="preserve">Geographical Analysis</w:t>
      </w:r>
      <w:r>
        <w:t xml:space="preserve">, Columbus, v. 38, n. 1, p. 5-22, 2006.</w:t>
      </w:r>
    </w:p>
    <w:p>
      <w:pPr>
        <w:pStyle w:val="BodyText"/>
      </w:pPr>
      <w:r>
        <w:t xml:space="preserve">ANSELIN, Luc; SYABRI, Ibnu; SMIRNOV, Oleg. Visualizing multivariate spatial correlation with dynamically linked windows. In: ANSELIN, L.; REY, S. (org.).</w:t>
      </w:r>
      <w:r>
        <w:t xml:space="preserve"> </w:t>
      </w:r>
      <w:r>
        <w:rPr>
          <w:b/>
          <w:bCs/>
        </w:rPr>
        <w:t xml:space="preserve">New tools for spatial data analysis</w:t>
      </w:r>
      <w:r>
        <w:t xml:space="preserve">. Santa Barbara: CSISS, University of California, 2002.</w:t>
      </w:r>
    </w:p>
    <w:p>
      <w:pPr>
        <w:pStyle w:val="BodyText"/>
      </w:pPr>
      <w:r>
        <w:t xml:space="preserve">BENJAMINI, Yoav; HOCHBERG, Yosef. Controlling the false discovery rate: a practical and powerful approach to multiple testing.</w:t>
      </w:r>
      <w:r>
        <w:t xml:space="preserve"> </w:t>
      </w:r>
      <w:r>
        <w:rPr>
          <w:b/>
          <w:bCs/>
        </w:rPr>
        <w:t xml:space="preserve">Journal of the Royal Statistical Society</w:t>
      </w:r>
      <w:r>
        <w:t xml:space="preserve">: Series B (Methodological), Londres, v. 57, n. 1, p. 289-300, 1995.</w:t>
      </w:r>
    </w:p>
    <w:p>
      <w:pPr>
        <w:pStyle w:val="BodyText"/>
      </w:pPr>
      <w:r>
        <w:t xml:space="preserve">CASTRO, Marcia C.; SINGER, Burton H. Controlling the false discovery rate: a new application to account for multiple and dependent tests in local statistics of spatial association.</w:t>
      </w:r>
      <w:r>
        <w:t xml:space="preserve"> </w:t>
      </w:r>
      <w:r>
        <w:rPr>
          <w:b/>
          <w:bCs/>
        </w:rPr>
        <w:t xml:space="preserve">Geographical Analysis</w:t>
      </w:r>
      <w:r>
        <w:t xml:space="preserve">, Columbus, v. 38, n. 2, p. 180-208, 2006.</w:t>
      </w:r>
    </w:p>
    <w:p>
      <w:pPr>
        <w:pStyle w:val="BodyText"/>
      </w:pPr>
      <w:r>
        <w:t xml:space="preserve">CLIFF, Andrew D.; ORD, J. Keith.</w:t>
      </w:r>
      <w:r>
        <w:t xml:space="preserve"> </w:t>
      </w:r>
      <w:r>
        <w:rPr>
          <w:b/>
          <w:bCs/>
        </w:rPr>
        <w:t xml:space="preserve">Spatial autocorrelation</w:t>
      </w:r>
      <w:r>
        <w:t xml:space="preserve">. Londres: Pion, 1973.</w:t>
      </w:r>
    </w:p>
    <w:p>
      <w:pPr>
        <w:pStyle w:val="BodyText"/>
      </w:pPr>
      <w:r>
        <w:t xml:space="preserve">DIJKSTRA, Edsger W. A note on two problems in connexion with graphs.</w:t>
      </w:r>
      <w:r>
        <w:t xml:space="preserve"> </w:t>
      </w:r>
      <w:r>
        <w:rPr>
          <w:b/>
          <w:bCs/>
        </w:rPr>
        <w:t xml:space="preserve">Numerische Mathematik</w:t>
      </w:r>
      <w:r>
        <w:t xml:space="preserve">, v. 1, n. 1, p. 269-271, 1959.</w:t>
      </w:r>
    </w:p>
    <w:p>
      <w:pPr>
        <w:pStyle w:val="BodyText"/>
      </w:pPr>
      <w:r>
        <w:t xml:space="preserve">DUNN, Edgar S. A statistical and analytical technique for regional analysis.</w:t>
      </w:r>
      <w:r>
        <w:t xml:space="preserve"> </w:t>
      </w:r>
      <w:r>
        <w:rPr>
          <w:b/>
          <w:bCs/>
        </w:rPr>
        <w:t xml:space="preserve">Papers of the Regional Science Association</w:t>
      </w:r>
      <w:r>
        <w:t xml:space="preserve">, v. 6, n. 1, p. 97-112, 1960.</w:t>
      </w:r>
    </w:p>
    <w:p>
      <w:pPr>
        <w:pStyle w:val="BodyText"/>
      </w:pPr>
      <w:r>
        <w:t xml:space="preserve">ESTEBAN-MARQUILLAS, José M. A reinterpretation of shift-share analysis.</w:t>
      </w:r>
      <w:r>
        <w:t xml:space="preserve"> </w:t>
      </w:r>
      <w:r>
        <w:rPr>
          <w:b/>
          <w:bCs/>
        </w:rPr>
        <w:t xml:space="preserve">Regional and Urban Economics</w:t>
      </w:r>
      <w:r>
        <w:t xml:space="preserve">, v. 2, n. 3, p. 249-255, 1972.</w:t>
      </w:r>
    </w:p>
    <w:p>
      <w:pPr>
        <w:pStyle w:val="BodyText"/>
      </w:pPr>
      <w:r>
        <w:t xml:space="preserve">HADDAD, Paulo Roberto (org.).</w:t>
      </w:r>
      <w:r>
        <w:t xml:space="preserve"> </w:t>
      </w:r>
      <w:r>
        <w:rPr>
          <w:b/>
          <w:bCs/>
        </w:rPr>
        <w:t xml:space="preserve">Economia regional</w:t>
      </w:r>
      <w:r>
        <w:t xml:space="preserve">: teorias e métodos de análise. Fortaleza: BNB/ETENE, 1989.</w:t>
      </w:r>
    </w:p>
    <w:p>
      <w:pPr>
        <w:pStyle w:val="BodyText"/>
      </w:pPr>
      <w:r>
        <w:t xml:space="preserve">INSTITUTO BRASILEIRO DE GEOGRAFIA E ESTATÍSTICA (IBGE).</w:t>
      </w:r>
      <w:r>
        <w:t xml:space="preserve"> </w:t>
      </w:r>
      <w:r>
        <w:rPr>
          <w:b/>
          <w:bCs/>
        </w:rPr>
        <w:t xml:space="preserve">Malha municipal digital do Brasil</w:t>
      </w:r>
      <w:r>
        <w:t xml:space="preserve">: 2025. Rio de Janeiro: IBGE, 2025.</w:t>
      </w:r>
    </w:p>
    <w:p>
      <w:pPr>
        <w:pStyle w:val="BodyText"/>
      </w:pPr>
      <w:r>
        <w:t xml:space="preserve">LEE, Sang-Il. Developing a bivariate spatial association measure: an integration of Pearson’s r and Moran’s I.</w:t>
      </w:r>
      <w:r>
        <w:t xml:space="preserve"> </w:t>
      </w:r>
      <w:r>
        <w:rPr>
          <w:b/>
          <w:bCs/>
        </w:rPr>
        <w:t xml:space="preserve">Journal of Geographical Systems</w:t>
      </w:r>
      <w:r>
        <w:t xml:space="preserve">, v. 3, n. 4, p. 369-385, 2001.</w:t>
      </w:r>
    </w:p>
    <w:p>
      <w:pPr>
        <w:pStyle w:val="BodyText"/>
      </w:pPr>
      <w:r>
        <w:t xml:space="preserve">MORAN, Patrick A. P. Notes on continuous stochastic phenomena.</w:t>
      </w:r>
      <w:r>
        <w:t xml:space="preserve"> </w:t>
      </w:r>
      <w:r>
        <w:rPr>
          <w:b/>
          <w:bCs/>
        </w:rPr>
        <w:t xml:space="preserve">Biometrika</w:t>
      </w:r>
      <w:r>
        <w:t xml:space="preserve">, Oxford, v. 37, n. 1-2, p. 17-23, 1950.</w:t>
      </w:r>
    </w:p>
    <w:p>
      <w:pPr>
        <w:pStyle w:val="BodyText"/>
      </w:pPr>
      <w:r>
        <w:t xml:space="preserve">OPENSHAW, Stan.</w:t>
      </w:r>
      <w:r>
        <w:t xml:space="preserve"> </w:t>
      </w:r>
      <w:r>
        <w:rPr>
          <w:b/>
          <w:bCs/>
        </w:rPr>
        <w:t xml:space="preserve">The modifiable areal unit problem</w:t>
      </w:r>
      <w:r>
        <w:t xml:space="preserve">. Norwich: Geo Books, 1984. (Concepts and Techniques in Modern Geography, 38).</w:t>
      </w:r>
    </w:p>
    <w:p>
      <w:pPr>
        <w:pStyle w:val="BodyText"/>
      </w:pPr>
      <w:r>
        <w:t xml:space="preserve">REY, Sergio J.; ANSELIN, Luc. PySAL: a Python library of spatial analytical methods.</w:t>
      </w:r>
      <w:r>
        <w:t xml:space="preserve"> </w:t>
      </w:r>
      <w:r>
        <w:rPr>
          <w:b/>
          <w:bCs/>
        </w:rPr>
        <w:t xml:space="preserve">The Review of Regional Studies</w:t>
      </w:r>
      <w:r>
        <w:t xml:space="preserve">, v. 37, n. 1, p. 5-27, 2007.</w:t>
      </w:r>
    </w:p>
    <w:p>
      <w:pPr>
        <w:pStyle w:val="BodyText"/>
      </w:pPr>
      <w:r>
        <w:t xml:space="preserve">TOBLER, Waldo R. A computer movie simulating urban growth in the Detroit region.</w:t>
      </w:r>
      <w:r>
        <w:t xml:space="preserve"> </w:t>
      </w:r>
      <w:r>
        <w:rPr>
          <w:b/>
          <w:bCs/>
        </w:rPr>
        <w:t xml:space="preserve">Economic Geography</w:t>
      </w:r>
      <w:r>
        <w:t xml:space="preserve">, v. 46, p. 234-240, 1970.</w:t>
      </w:r>
    </w:p>
    <w:p>
      <w:pPr>
        <w:pStyle w:val="BodyText"/>
      </w:pPr>
      <w:r>
        <w:t xml:space="preserve">MONTANÍA, Claudia V.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[Título do trabalho]. [Periódico], [v.], [n.], [p.], 2024.</w:t>
      </w:r>
      <w:r>
        <w:t xml:space="preserve"> </w:t>
      </w:r>
      <w:r>
        <w:rPr>
          <w:i/>
          <w:iCs/>
        </w:rPr>
        <w:t xml:space="preserve">(referência a completar conforme a fonte primária adotada no projeto)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2026-08-10T13:07:56Z</dcterms:created>
  <dcterms:modified xsi:type="dcterms:W3CDTF">2026-08-10T13:07:56Z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