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1408dc8294a36e43293e2f5bb9a6d28abfe8a6"/>
    <w:p>
      <w:pPr>
        <w:pStyle w:val="Heading1"/>
      </w:pPr>
      <w:r>
        <w:t xml:space="preserve">NOTA METODOLÓGICA: A EVOLUÇÃO DOS MÉTODOS DE ANÁLISE</w:t>
      </w:r>
      <w:r>
        <w:t xml:space="preserve"> </w:t>
      </w:r>
      <w:r>
        <w:rPr>
          <w:i/>
          <w:iCs/>
        </w:rPr>
        <w:t xml:space="preserve">SHIFT-SHARE</w:t>
      </w:r>
      <w:r>
        <w:t xml:space="preserve"> </w:t>
      </w:r>
      <w:r>
        <w:t xml:space="preserve">(SSA)</w:t>
      </w:r>
    </w:p>
    <w:p>
      <w:pPr>
        <w:pStyle w:val="FirstParagraph"/>
      </w:pPr>
      <w:r>
        <w:rPr>
          <w:b/>
          <w:bCs/>
        </w:rPr>
        <w:t xml:space="preserve">Resumo</w:t>
      </w:r>
      <w:r>
        <w:t xml:space="preserve"> </w:t>
      </w:r>
      <w:r>
        <w:t xml:space="preserve">— Este documento descreve, formaliza e ilustra numericamente a evolução metodológica da análise</w:t>
      </w:r>
      <w:r>
        <w:t xml:space="preserve"> </w:t>
      </w:r>
      <w:r>
        <w:rPr>
          <w:i/>
          <w:iCs/>
        </w:rPr>
        <w:t xml:space="preserve">shift-share</w:t>
      </w:r>
      <w:r>
        <w:t xml:space="preserve"> </w:t>
      </w:r>
      <w:r>
        <w:t xml:space="preserve">(SSA), da decomposição clássica de Dunn (1960) às reformulações homotéticas (Esteban-Marquillas, 1972; Arcelus, 1984), à forma dinâmica (Barff-Knight, 1988), às formalizações inferenciais (Berzeg, 1978, 1984) e à extensão espacial (Nazara-Hewings, 2004). Cada etapa é apresentada segundo o ciclo justificar–formalizar–interpretar e ilustrada com um exemplo numérico único, construído com dados sintéticos para cinco regiões e três setores, de modo que o leitor acompanhe como cada fórmula se deriva da anterior e o que cada nova camada de decomposição corrige. O documento não relata resultados de uma aplicação empírica real — define e sustenta teoricamente as escolhas de método.</w:t>
      </w:r>
      <w:r>
        <w:t xml:space="preserve"> </w:t>
      </w:r>
      <w:r>
        <w:rPr>
          <w:b/>
          <w:bCs/>
        </w:rPr>
        <w:t xml:space="preserve">Palavras-chave:</w:t>
      </w:r>
      <w:r>
        <w:t xml:space="preserve"> </w:t>
      </w:r>
      <w:r>
        <w:rPr>
          <w:i/>
          <w:iCs/>
        </w:rPr>
        <w:t xml:space="preserve">Shift-share analysis</w:t>
      </w:r>
      <w:r>
        <w:t xml:space="preserve">. Decomposição de crescimento regional. Efeito competitivo. Efeito alocação.</w:t>
      </w:r>
      <w:r>
        <w:t xml:space="preserve"> </w:t>
      </w:r>
      <w:r>
        <w:rPr>
          <w:i/>
          <w:iCs/>
        </w:rPr>
        <w:t xml:space="preserve">Shift-share</w:t>
      </w:r>
      <w:r>
        <w:t xml:space="preserve"> </w:t>
      </w:r>
      <w:r>
        <w:t xml:space="preserve">espacial.</w:t>
      </w:r>
    </w:p>
    <w:bookmarkStart w:id="9" w:name="introdução"/>
    <w:p>
      <w:pPr>
        <w:pStyle w:val="Heading2"/>
      </w:pPr>
      <w:r>
        <w:t xml:space="preserve">1 INTRODUÇÃO</w:t>
      </w:r>
    </w:p>
    <w:p>
      <w:pPr>
        <w:pStyle w:val="FirstParagraph"/>
      </w:pPr>
      <w:r>
        <w:t xml:space="preserve">A análise</w:t>
      </w:r>
      <w:r>
        <w:t xml:space="preserve"> </w:t>
      </w:r>
      <w:r>
        <w:rPr>
          <w:i/>
          <w:iCs/>
        </w:rPr>
        <w:t xml:space="preserve">shift-share</w:t>
      </w:r>
      <w:r>
        <w:t xml:space="preserve"> </w:t>
      </w:r>
      <w:r>
        <w:t xml:space="preserve">(SSA) é, desde sua formulação original, uma identidade contábil que reparte a variação do emprego regional em componentes atribuíveis ao crescimento nacional, à composição setorial da região e a um resíduo dito</w:t>
      </w:r>
      <w:r>
        <w:t xml:space="preserve"> </w:t>
      </w:r>
      <w:r>
        <w:t xml:space="preserve">“competitivo”</w:t>
      </w:r>
      <w:r>
        <w:t xml:space="preserve">. Como observam Loveridge e Selting (1998),</w:t>
      </w:r>
      <w:r>
        <w:t xml:space="preserve"> </w:t>
      </w:r>
      <w:r>
        <w:t xml:space="preserve">“SSA é apenas uma identidade contábil praticável: nunca pretendeu ser uma teoria”</w:t>
      </w:r>
      <w:r>
        <w:t xml:space="preserve"> </w:t>
      </w:r>
      <w:r>
        <w:t xml:space="preserve">— afirmação que orienta toda a leitura deste documento. Se a SSA não é um modelo causal, o valor de cada variante está em quão bem ela isola, do resíduo, os efeitos que não deveriam nele estar: a estrutura setorial da região, o viés de ponderação temporal, a ausência de significância estatística e, mais recentemente, a dependência espacial entre regiões vizinhas.</w:t>
      </w:r>
    </w:p>
    <w:p>
      <w:pPr>
        <w:pStyle w:val="BodyText"/>
      </w:pPr>
      <w:r>
        <w:t xml:space="preserve">Este documento cobre a fundamentação teórica de cada camada de reformulação, a formalização matemática associada e a tradução de cada fórmula para um exemplo numérico único e recorrente. Ele não cobre a implementação computacional das rotinas (tratada em código separado), nem pretende ser uma revisão exaustiva da literatura — para isso, ver o levantamento bibliográfico que fundamenta esta nota. O objetivo aqui é estritamente pedagógico-metodológico: mostrar, com números,</w:t>
      </w:r>
      <w:r>
        <w:t xml:space="preserve"> </w:t>
      </w:r>
      <w:r>
        <w:rPr>
          <w:i/>
          <w:iCs/>
        </w:rPr>
        <w:t xml:space="preserve">por que</w:t>
      </w:r>
      <w:r>
        <w:t xml:space="preserve"> </w:t>
      </w:r>
      <w:r>
        <w:t xml:space="preserve">cada variante surgiu e</w:t>
      </w:r>
      <w:r>
        <w:t xml:space="preserve"> </w:t>
      </w:r>
      <w:r>
        <w:rPr>
          <w:i/>
          <w:iCs/>
        </w:rPr>
        <w:t xml:space="preserve">o que</w:t>
      </w:r>
      <w:r>
        <w:t xml:space="preserve"> </w:t>
      </w:r>
      <w:r>
        <w:t xml:space="preserve">ela corrige na anterior.</w:t>
      </w:r>
    </w:p>
    <w:bookmarkEnd w:id="9"/>
    <w:bookmarkStart w:id="12" w:name="fundamentação-teórica"/>
    <w:p>
      <w:pPr>
        <w:pStyle w:val="Heading2"/>
      </w:pPr>
      <w:r>
        <w:t xml:space="preserve">2 FUNDAMENTAÇÃO TEÓRICA</w:t>
      </w:r>
    </w:p>
    <w:bookmarkStart w:id="10" w:name="Xccdf8183e6d25105129e5da35c8a2a56a591a0b"/>
    <w:p>
      <w:pPr>
        <w:pStyle w:val="Heading3"/>
      </w:pPr>
      <w:r>
        <w:t xml:space="preserve">2.1 A identidade contábil e seu defeito central</w:t>
      </w:r>
    </w:p>
    <w:p>
      <w:pPr>
        <w:pStyle w:val="FirstParagraph"/>
      </w:pPr>
      <w:r>
        <w:t xml:space="preserve">A forma canônica da SSA foi sistematizada por Perloff, Dunn, Lampard e Muth (1960) e, em sua formulação de referência, por Dunn (1960), com popularização por Fuchs (1959, 1962). A decomposição clássica reparte a variação de emprego de uma região</w:t>
      </w:r>
      <w:r>
        <w:t xml:space="preserve"> </w:t>
      </w:r>
      <w:r>
        <w:rPr>
          <w:i/>
          <w:iCs/>
        </w:rPr>
        <w:t xml:space="preserve">r</w:t>
      </w:r>
      <w:r>
        <w:t xml:space="preserve"> </w:t>
      </w:r>
      <w:r>
        <w:t xml:space="preserve">no setor</w:t>
      </w:r>
      <w:r>
        <w:t xml:space="preserve"> </w:t>
      </w:r>
      <w:r>
        <w:rPr>
          <w:i/>
          <w:iCs/>
        </w:rPr>
        <w:t xml:space="preserve">i</w:t>
      </w:r>
      <w:r>
        <w:t xml:space="preserve"> </w:t>
      </w:r>
      <w:r>
        <w:t xml:space="preserve">em três parcelas aditivas: o efeito de crescimento nacional, o efeito de composição setorial (</w:t>
      </w:r>
      <w:r>
        <w:rPr>
          <w:i/>
          <w:iCs/>
        </w:rPr>
        <w:t xml:space="preserve">industry mix</w:t>
      </w:r>
      <w:r>
        <w:t xml:space="preserve">) e o efeito competitivo ou diferencial regional. O defeito central, identificado já por Rosenfeld (1959) e Houston (1967) e formalizado por Esteban-Marquillas (1972), é que o efeito competitivo clássico é ponderado pelo nível de emprego observado da região no setor — de modo que duas regiões com taxas de crescimento idênticas, mas estruturas setoriais distintas, recebem efeitos competitivos diferentes. O componente que deveria medir</w:t>
      </w:r>
      <w:r>
        <w:t xml:space="preserve"> </w:t>
      </w:r>
      <w:r>
        <w:t xml:space="preserve">“vantagem competitiva pura”</w:t>
      </w:r>
      <w:r>
        <w:t xml:space="preserve"> </w:t>
      </w:r>
      <w:r>
        <w:t xml:space="preserve">está, portanto, contaminado por estrutura produtiva. Essa contaminação motiva diretamente a Seção 6 (Esteban-Marquillas) e a Seção 7 (Arcelus) adiante.</w:t>
      </w:r>
    </w:p>
    <w:bookmarkEnd w:id="10"/>
    <w:bookmarkStart w:id="11" w:name="as-três-ondas-de-reformulação"/>
    <w:p>
      <w:pPr>
        <w:pStyle w:val="Heading3"/>
      </w:pPr>
      <w:r>
        <w:t xml:space="preserve">2.2 As três ondas de reformulação</w:t>
      </w:r>
    </w:p>
    <w:p>
      <w:pPr>
        <w:pStyle w:val="FirstParagraph"/>
      </w:pPr>
      <w:r>
        <w:t xml:space="preserve">A literatura pós-1960 pode ser lida em três ondas, cada uma corrigindo uma falha diferente da identidade clássica. A primeira onda é homotética/alocativa (Esteban-Marquillas, 1972; Herzog e Olsen, 1977; Arcelus, 1984; Haynes e Machunda, 1987) e ataca a contaminação estrutural do efeito competitivo. A segunda onda é temporal/dinâmica (Fuchs, 1959; Stilwell, 1969; Barff e Knight, 1988) e ataca o viés de escolha do ano de ponderação e a distorção de crescimento composto em decomposições estáticas de ponto a ponto. A terceira onda é inferencial (Berzeg, 1978, 1984; Patterson, 1991; Knudsen, 2000) e ataca a impossibilidade de testar estatisticamente uma identidade determinística. A extensão espacial de Nazara e Hewings (2004), tratada na Seção 11, é posterior às três e ataca um pressuposto implícito em todas elas: o de que regiões vizinhas não interagem. Entre a onda inferencial e a espacial, a Seção 10 aprofunda a própria onda inferencial: Knudsen (2000) mostra que a formalização estatística da SSA não precisa se limitar ao modelo linear de Berzeg, podendo ser derivada da teoria da informação pelo princípio de mínima informação discriminante, o que leva a um modelo log-linear estimado por máxima verossimilhança como um modelo linear generalizado de Poisson. As seções 4 a 11 seguem exatamente essa ordem histórica e lógica.</w:t>
      </w:r>
    </w:p>
    <w:bookmarkEnd w:id="11"/>
    <w:bookmarkEnd w:id="12"/>
    <w:bookmarkStart w:id="13" w:name="base-de-dados-do-exemplo-ilustrativo"/>
    <w:p>
      <w:pPr>
        <w:pStyle w:val="Heading2"/>
      </w:pPr>
      <w:r>
        <w:t xml:space="preserve">3 BASE DE DADOS DO EXEMPLO ILUSTRATIVO</w:t>
      </w:r>
    </w:p>
    <w:p>
      <w:pPr>
        <w:pStyle w:val="FirstParagraph"/>
      </w:pPr>
      <w:r>
        <w:t xml:space="preserve">Para tornar cada fórmula tangível, este documento usa</w:t>
      </w:r>
      <w:r>
        <w:t xml:space="preserve"> </w:t>
      </w:r>
      <w:r>
        <w:rPr>
          <w:b/>
          <w:bCs/>
        </w:rPr>
        <w:t xml:space="preserve">um único conjunto de dados sintéticos</w:t>
      </w:r>
      <w:r>
        <w:t xml:space="preserve">, reaproveitado em todas as seções seguintes, com</w:t>
      </w:r>
      <w:r>
        <w:t xml:space="preserve"> </w:t>
      </w:r>
      <w:r>
        <w:rPr>
          <w:i/>
          <w:iCs/>
        </w:rPr>
        <w:t xml:space="preserve">R</w:t>
      </w:r>
      <w:r>
        <w:t xml:space="preserve"> </w:t>
      </w:r>
      <w:r>
        <w:t xml:space="preserve">= 5 regiões (unidades federativas do Nordeste brasileiro, escolhidas por terem fronteiras terrestres reais entre si — relevante para a Seção 11) e</w:t>
      </w:r>
      <w:r>
        <w:t xml:space="preserve"> </w:t>
      </w:r>
      <w:r>
        <w:rPr>
          <w:i/>
          <w:iCs/>
        </w:rPr>
        <w:t xml:space="preserve">N</w:t>
      </w:r>
      <w:r>
        <w:t xml:space="preserve"> </w:t>
      </w:r>
      <w:r>
        <w:t xml:space="preserve">= 3 setores agregados. As regiões são Piauí (PI), Ceará (CE), Maranhão (MA), Bahia (BA) e Pernambuco (PE); os setores são Agropecuária (AGR), Indústria (IND) e Serviços (SER). Os valores de emprego são</w:t>
      </w:r>
      <w:r>
        <w:t xml:space="preserve"> </w:t>
      </w:r>
      <w:r>
        <w:rPr>
          <w:b/>
          <w:bCs/>
        </w:rPr>
        <w:t xml:space="preserve">inteiramente hipotéticos</w:t>
      </w:r>
      <w:r>
        <w:t xml:space="preserve"> </w:t>
      </w:r>
      <w:r>
        <w:t xml:space="preserve">— não correspondem a estatísticas oficiais — e foram construídos para exibir, de forma didática, um caso de vantagem competitiva concentrada em serviços (PI), um caso de forte crescimento industrial idiossincrático (CE), um caso de desvantagem competitiva generalizada (MA), um caso</w:t>
      </w:r>
      <w:r>
        <w:t xml:space="preserve"> </w:t>
      </w:r>
      <w:r>
        <w:t xml:space="preserve">“neutro”</w:t>
      </w:r>
      <w:r>
        <w:t xml:space="preserve"> </w:t>
      </w:r>
      <w:r>
        <w:t xml:space="preserve">próximo à média nacional em todas as taxas (BA) e um caso de especialização mal alocada (PE).</w:t>
      </w:r>
    </w:p>
    <w:p>
      <w:pPr>
        <w:pStyle w:val="BodyText"/>
      </w:pPr>
      <w:r>
        <w:t xml:space="preserve">Seja</w:t>
      </w:r>
      <w:r>
        <w:t xml:space="preserve"> </w:t>
      </w:r>
      <m:oMath>
        <m:sSub>
          <m:e>
            <m:r>
              <m:t>E</m:t>
            </m:r>
          </m:e>
          <m:sub>
            <m:r>
              <m:t>0</m:t>
            </m:r>
            <m:r>
              <m:rPr>
                <m:sty m:val="p"/>
              </m:rPr>
              <m:t>,</m:t>
            </m:r>
            <m:r>
              <m:t>r</m:t>
            </m:r>
            <m:r>
              <m:t>i</m:t>
            </m:r>
          </m:sub>
        </m:sSub>
      </m:oMath>
      <w:r>
        <w:t xml:space="preserve"> </w:t>
      </w:r>
      <w:r>
        <w:t xml:space="preserve">o emprego da região</w:t>
      </w:r>
      <w:r>
        <w:t xml:space="preserve"> </w:t>
      </w:r>
      <w:r>
        <w:rPr>
          <w:i/>
          <w:iCs/>
        </w:rPr>
        <w:t xml:space="preserve">r</w:t>
      </w:r>
      <w:r>
        <w:t xml:space="preserve"> </w:t>
      </w:r>
      <w:r>
        <w:t xml:space="preserve">no setor</w:t>
      </w:r>
      <w:r>
        <w:t xml:space="preserve"> </w:t>
      </w:r>
      <w:r>
        <w:rPr>
          <w:i/>
          <w:iCs/>
        </w:rPr>
        <w:t xml:space="preserve">i</w:t>
      </w:r>
      <w:r>
        <w:t xml:space="preserve"> </w:t>
      </w:r>
      <w:r>
        <w:t xml:space="preserve">no ano-base</w:t>
      </w:r>
      <w:r>
        <w:t xml:space="preserve"> </w:t>
      </w:r>
      <m:oMath>
        <m:sSub>
          <m:e>
            <m:r>
              <m:t>t</m:t>
            </m:r>
          </m:e>
          <m:sub>
            <m:r>
              <m:t>0</m:t>
            </m:r>
          </m:sub>
        </m:sSub>
      </m:oMath>
      <w:r>
        <w:t xml:space="preserve"> </w:t>
      </w:r>
      <w:r>
        <w:t xml:space="preserve">e</w:t>
      </w:r>
      <w:r>
        <w:t xml:space="preserve"> </w:t>
      </w:r>
      <m:oMath>
        <m:sSub>
          <m:e>
            <m:r>
              <m:t>E</m:t>
            </m:r>
          </m:e>
          <m:sub>
            <m:r>
              <m:t>1</m:t>
            </m:r>
            <m:r>
              <m:rPr>
                <m:sty m:val="p"/>
              </m:rPr>
              <m:t>,</m:t>
            </m:r>
            <m:r>
              <m:t>r</m:t>
            </m:r>
            <m:r>
              <m:t>i</m:t>
            </m:r>
          </m:sub>
        </m:sSub>
      </m:oMath>
      <w:r>
        <w:t xml:space="preserve"> </w:t>
      </w:r>
      <w:r>
        <w:t xml:space="preserve">o emprego no ano-terminal</w:t>
      </w:r>
      <w:r>
        <w:t xml:space="preserve"> </w:t>
      </w:r>
      <m:oMath>
        <m:sSub>
          <m:e>
            <m:r>
              <m:t>t</m:t>
            </m:r>
          </m:e>
          <m:sub>
            <m:r>
              <m:t>1</m:t>
            </m:r>
          </m:sub>
        </m:sSub>
      </m:oMath>
      <w:r>
        <w:t xml:space="preserve">. A Tabela 1 apresenta os dados-base e a Tabela 2, o ano terminal.</w:t>
      </w:r>
    </w:p>
    <w:p>
      <w:pPr>
        <w:pStyle w:val="BodyText"/>
      </w:pPr>
      <w:r>
        <w:rPr>
          <w:b/>
          <w:bCs/>
        </w:rPr>
        <w:t xml:space="preserve">Tabela 1 — Emprego por região e setor, ano-base (</w:t>
      </w:r>
      <m:oMath>
        <m:sSub>
          <m:e>
            <m:r>
              <m:t>E</m:t>
            </m:r>
          </m:e>
          <m:sub>
            <m:r>
              <m:t>0</m:t>
            </m:r>
            <m:r>
              <m:rPr>
                <m:sty m:val="p"/>
              </m:rPr>
              <m:t>,</m:t>
            </m:r>
            <m:r>
              <m:t>r</m:t>
            </m:r>
            <m:r>
              <m:t>i</m:t>
            </m:r>
          </m:sub>
        </m:sSub>
      </m:oMath>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Região</w:t>
            </w:r>
          </w:p>
        </w:tc>
        <w:tc>
          <w:tcPr/>
          <w:p>
            <w:pPr>
              <w:pStyle w:val="Compact"/>
              <w:jc w:val="right"/>
            </w:pPr>
            <w:r>
              <w:t xml:space="preserve">AGR</w:t>
            </w:r>
          </w:p>
        </w:tc>
        <w:tc>
          <w:tcPr/>
          <w:p>
            <w:pPr>
              <w:pStyle w:val="Compact"/>
              <w:jc w:val="right"/>
            </w:pPr>
            <w:r>
              <w:t xml:space="preserve">IND</w:t>
            </w:r>
          </w:p>
        </w:tc>
        <w:tc>
          <w:tcPr/>
          <w:p>
            <w:pPr>
              <w:pStyle w:val="Compact"/>
              <w:jc w:val="right"/>
            </w:pPr>
            <w:r>
              <w:t xml:space="preserve">SER</w:t>
            </w:r>
          </w:p>
        </w:tc>
        <w:tc>
          <w:tcPr/>
          <w:p>
            <w:pPr>
              <w:pStyle w:val="Compact"/>
              <w:jc w:val="right"/>
            </w:pPr>
            <w:r>
              <w:t xml:space="preserve">Total</w:t>
            </w:r>
          </w:p>
        </w:tc>
      </w:tr>
      <w:tr>
        <w:tc>
          <w:tcPr/>
          <w:p>
            <w:pPr>
              <w:pStyle w:val="Compact"/>
              <w:jc w:val="left"/>
            </w:pPr>
            <w:r>
              <w:t xml:space="preserve">PI</w:t>
            </w:r>
          </w:p>
        </w:tc>
        <w:tc>
          <w:tcPr/>
          <w:p>
            <w:pPr>
              <w:pStyle w:val="Compact"/>
              <w:jc w:val="right"/>
            </w:pPr>
            <w:r>
              <w:t xml:space="preserve">180</w:t>
            </w:r>
          </w:p>
        </w:tc>
        <w:tc>
          <w:tcPr/>
          <w:p>
            <w:pPr>
              <w:pStyle w:val="Compact"/>
              <w:jc w:val="right"/>
            </w:pPr>
            <w:r>
              <w:t xml:space="preserve">90</w:t>
            </w:r>
          </w:p>
        </w:tc>
        <w:tc>
          <w:tcPr/>
          <w:p>
            <w:pPr>
              <w:pStyle w:val="Compact"/>
              <w:jc w:val="right"/>
            </w:pPr>
            <w:r>
              <w:t xml:space="preserve">230</w:t>
            </w:r>
          </w:p>
        </w:tc>
        <w:tc>
          <w:tcPr/>
          <w:p>
            <w:pPr>
              <w:pStyle w:val="Compact"/>
              <w:jc w:val="right"/>
            </w:pPr>
            <w:r>
              <w:t xml:space="preserve">500</w:t>
            </w:r>
          </w:p>
        </w:tc>
      </w:tr>
      <w:tr>
        <w:tc>
          <w:tcPr/>
          <w:p>
            <w:pPr>
              <w:pStyle w:val="Compact"/>
              <w:jc w:val="left"/>
            </w:pPr>
            <w:r>
              <w:t xml:space="preserve">CE</w:t>
            </w:r>
          </w:p>
        </w:tc>
        <w:tc>
          <w:tcPr/>
          <w:p>
            <w:pPr>
              <w:pStyle w:val="Compact"/>
              <w:jc w:val="right"/>
            </w:pPr>
            <w:r>
              <w:t xml:space="preserve">150</w:t>
            </w:r>
          </w:p>
        </w:tc>
        <w:tc>
          <w:tcPr/>
          <w:p>
            <w:pPr>
              <w:pStyle w:val="Compact"/>
              <w:jc w:val="right"/>
            </w:pPr>
            <w:r>
              <w:t xml:space="preserve">220</w:t>
            </w:r>
          </w:p>
        </w:tc>
        <w:tc>
          <w:tcPr/>
          <w:p>
            <w:pPr>
              <w:pStyle w:val="Compact"/>
              <w:jc w:val="right"/>
            </w:pPr>
            <w:r>
              <w:t xml:space="preserve">430</w:t>
            </w:r>
          </w:p>
        </w:tc>
        <w:tc>
          <w:tcPr/>
          <w:p>
            <w:pPr>
              <w:pStyle w:val="Compact"/>
              <w:jc w:val="right"/>
            </w:pPr>
            <w:r>
              <w:t xml:space="preserve">800</w:t>
            </w:r>
          </w:p>
        </w:tc>
      </w:tr>
      <w:tr>
        <w:tc>
          <w:tcPr/>
          <w:p>
            <w:pPr>
              <w:pStyle w:val="Compact"/>
              <w:jc w:val="left"/>
            </w:pPr>
            <w:r>
              <w:t xml:space="preserve">MA</w:t>
            </w:r>
          </w:p>
        </w:tc>
        <w:tc>
          <w:tcPr/>
          <w:p>
            <w:pPr>
              <w:pStyle w:val="Compact"/>
              <w:jc w:val="right"/>
            </w:pPr>
            <w:r>
              <w:t xml:space="preserve">200</w:t>
            </w:r>
          </w:p>
        </w:tc>
        <w:tc>
          <w:tcPr/>
          <w:p>
            <w:pPr>
              <w:pStyle w:val="Compact"/>
              <w:jc w:val="right"/>
            </w:pPr>
            <w:r>
              <w:t xml:space="preserve">70</w:t>
            </w:r>
          </w:p>
        </w:tc>
        <w:tc>
          <w:tcPr/>
          <w:p>
            <w:pPr>
              <w:pStyle w:val="Compact"/>
              <w:jc w:val="right"/>
            </w:pPr>
            <w:r>
              <w:t xml:space="preserve">180</w:t>
            </w:r>
          </w:p>
        </w:tc>
        <w:tc>
          <w:tcPr/>
          <w:p>
            <w:pPr>
              <w:pStyle w:val="Compact"/>
              <w:jc w:val="right"/>
            </w:pPr>
            <w:r>
              <w:t xml:space="preserve">450</w:t>
            </w:r>
          </w:p>
        </w:tc>
      </w:tr>
      <w:tr>
        <w:tc>
          <w:tcPr/>
          <w:p>
            <w:pPr>
              <w:pStyle w:val="Compact"/>
              <w:jc w:val="left"/>
            </w:pPr>
            <w:r>
              <w:t xml:space="preserve">BA</w:t>
            </w:r>
          </w:p>
        </w:tc>
        <w:tc>
          <w:tcPr/>
          <w:p>
            <w:pPr>
              <w:pStyle w:val="Compact"/>
              <w:jc w:val="right"/>
            </w:pPr>
            <w:r>
              <w:t xml:space="preserve">260</w:t>
            </w:r>
          </w:p>
        </w:tc>
        <w:tc>
          <w:tcPr/>
          <w:p>
            <w:pPr>
              <w:pStyle w:val="Compact"/>
              <w:jc w:val="right"/>
            </w:pPr>
            <w:r>
              <w:t xml:space="preserve">310</w:t>
            </w:r>
          </w:p>
        </w:tc>
        <w:tc>
          <w:tcPr/>
          <w:p>
            <w:pPr>
              <w:pStyle w:val="Compact"/>
              <w:jc w:val="right"/>
            </w:pPr>
            <w:r>
              <w:t xml:space="preserve">560</w:t>
            </w:r>
          </w:p>
        </w:tc>
        <w:tc>
          <w:tcPr/>
          <w:p>
            <w:pPr>
              <w:pStyle w:val="Compact"/>
              <w:jc w:val="right"/>
            </w:pPr>
            <w:r>
              <w:t xml:space="preserve">1.130</w:t>
            </w:r>
          </w:p>
        </w:tc>
      </w:tr>
      <w:tr>
        <w:tc>
          <w:tcPr/>
          <w:p>
            <w:pPr>
              <w:pStyle w:val="Compact"/>
              <w:jc w:val="left"/>
            </w:pPr>
            <w:r>
              <w:t xml:space="preserve">PE</w:t>
            </w:r>
          </w:p>
        </w:tc>
        <w:tc>
          <w:tcPr/>
          <w:p>
            <w:pPr>
              <w:pStyle w:val="Compact"/>
              <w:jc w:val="right"/>
            </w:pPr>
            <w:r>
              <w:t xml:space="preserve">140</w:t>
            </w:r>
          </w:p>
        </w:tc>
        <w:tc>
          <w:tcPr/>
          <w:p>
            <w:pPr>
              <w:pStyle w:val="Compact"/>
              <w:jc w:val="right"/>
            </w:pPr>
            <w:r>
              <w:t xml:space="preserve">280</w:t>
            </w:r>
          </w:p>
        </w:tc>
        <w:tc>
          <w:tcPr/>
          <w:p>
            <w:pPr>
              <w:pStyle w:val="Compact"/>
              <w:jc w:val="right"/>
            </w:pPr>
            <w:r>
              <w:t xml:space="preserve">520</w:t>
            </w:r>
          </w:p>
        </w:tc>
        <w:tc>
          <w:tcPr/>
          <w:p>
            <w:pPr>
              <w:pStyle w:val="Compact"/>
              <w:jc w:val="right"/>
            </w:pPr>
            <w:r>
              <w:t xml:space="preserve">940</w:t>
            </w:r>
          </w:p>
        </w:tc>
      </w:tr>
      <w:tr>
        <w:tc>
          <w:tcPr/>
          <w:p>
            <w:pPr>
              <w:pStyle w:val="Compact"/>
              <w:jc w:val="left"/>
            </w:pPr>
            <w:r>
              <w:rPr>
                <w:b/>
                <w:bCs/>
              </w:rPr>
              <w:t xml:space="preserve">Nacional</w:t>
            </w:r>
          </w:p>
        </w:tc>
        <w:tc>
          <w:tcPr/>
          <w:p>
            <w:pPr>
              <w:pStyle w:val="Compact"/>
              <w:jc w:val="right"/>
            </w:pPr>
            <w:r>
              <w:rPr>
                <w:b/>
                <w:bCs/>
              </w:rPr>
              <w:t xml:space="preserve">930</w:t>
            </w:r>
          </w:p>
        </w:tc>
        <w:tc>
          <w:tcPr/>
          <w:p>
            <w:pPr>
              <w:pStyle w:val="Compact"/>
              <w:jc w:val="right"/>
            </w:pPr>
            <w:r>
              <w:rPr>
                <w:b/>
                <w:bCs/>
              </w:rPr>
              <w:t xml:space="preserve">970</w:t>
            </w:r>
          </w:p>
        </w:tc>
        <w:tc>
          <w:tcPr/>
          <w:p>
            <w:pPr>
              <w:pStyle w:val="Compact"/>
              <w:jc w:val="right"/>
            </w:pPr>
            <w:r>
              <w:rPr>
                <w:b/>
                <w:bCs/>
              </w:rPr>
              <w:t xml:space="preserve">1.920</w:t>
            </w:r>
          </w:p>
        </w:tc>
        <w:tc>
          <w:tcPr/>
          <w:p>
            <w:pPr>
              <w:pStyle w:val="Compact"/>
              <w:jc w:val="right"/>
            </w:pPr>
            <w:r>
              <w:rPr>
                <w:b/>
                <w:bCs/>
              </w:rPr>
              <w:t xml:space="preserve">3.820</w:t>
            </w:r>
          </w:p>
        </w:tc>
      </w:tr>
    </w:tbl>
    <w:p>
      <w:pPr>
        <w:pStyle w:val="BodyText"/>
      </w:pPr>
      <w:r>
        <w:t xml:space="preserve">Fonte: dados sintéticos ilustrativos, elaboração própria.</w:t>
      </w:r>
    </w:p>
    <w:p>
      <w:pPr>
        <w:pStyle w:val="BodyText"/>
      </w:pPr>
      <w:r>
        <w:rPr>
          <w:b/>
          <w:bCs/>
        </w:rPr>
        <w:t xml:space="preserve">Tabela 2 — Emprego por região e setor, ano-terminal (</w:t>
      </w:r>
      <m:oMath>
        <m:sSub>
          <m:e>
            <m:r>
              <m:t>E</m:t>
            </m:r>
          </m:e>
          <m:sub>
            <m:r>
              <m:t>1</m:t>
            </m:r>
            <m:r>
              <m:rPr>
                <m:sty m:val="p"/>
              </m:rPr>
              <m:t>,</m:t>
            </m:r>
            <m:r>
              <m:t>r</m:t>
            </m:r>
            <m:r>
              <m:t>i</m:t>
            </m:r>
          </m:sub>
        </m:sSub>
      </m:oMath>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Região</w:t>
            </w:r>
          </w:p>
        </w:tc>
        <w:tc>
          <w:tcPr/>
          <w:p>
            <w:pPr>
              <w:pStyle w:val="Compact"/>
              <w:jc w:val="right"/>
            </w:pPr>
            <w:r>
              <w:t xml:space="preserve">AGR</w:t>
            </w:r>
          </w:p>
        </w:tc>
        <w:tc>
          <w:tcPr/>
          <w:p>
            <w:pPr>
              <w:pStyle w:val="Compact"/>
              <w:jc w:val="right"/>
            </w:pPr>
            <w:r>
              <w:t xml:space="preserve">IND</w:t>
            </w:r>
          </w:p>
        </w:tc>
        <w:tc>
          <w:tcPr/>
          <w:p>
            <w:pPr>
              <w:pStyle w:val="Compact"/>
              <w:jc w:val="right"/>
            </w:pPr>
            <w:r>
              <w:t xml:space="preserve">SER</w:t>
            </w:r>
          </w:p>
        </w:tc>
        <w:tc>
          <w:tcPr/>
          <w:p>
            <w:pPr>
              <w:pStyle w:val="Compact"/>
              <w:jc w:val="right"/>
            </w:pPr>
            <w:r>
              <w:t xml:space="preserve">Total</w:t>
            </w:r>
          </w:p>
        </w:tc>
      </w:tr>
      <w:tr>
        <w:tc>
          <w:tcPr/>
          <w:p>
            <w:pPr>
              <w:pStyle w:val="Compact"/>
              <w:jc w:val="left"/>
            </w:pPr>
            <w:r>
              <w:t xml:space="preserve">PI</w:t>
            </w:r>
          </w:p>
        </w:tc>
        <w:tc>
          <w:tcPr/>
          <w:p>
            <w:pPr>
              <w:pStyle w:val="Compact"/>
              <w:jc w:val="right"/>
            </w:pPr>
            <w:r>
              <w:t xml:space="preserve">189</w:t>
            </w:r>
          </w:p>
        </w:tc>
        <w:tc>
          <w:tcPr/>
          <w:p>
            <w:pPr>
              <w:pStyle w:val="Compact"/>
              <w:jc w:val="right"/>
            </w:pPr>
            <w:r>
              <w:t xml:space="preserve">103</w:t>
            </w:r>
          </w:p>
        </w:tc>
        <w:tc>
          <w:tcPr/>
          <w:p>
            <w:pPr>
              <w:pStyle w:val="Compact"/>
              <w:jc w:val="right"/>
            </w:pPr>
            <w:r>
              <w:t xml:space="preserve">322</w:t>
            </w:r>
          </w:p>
        </w:tc>
        <w:tc>
          <w:tcPr/>
          <w:p>
            <w:pPr>
              <w:pStyle w:val="Compact"/>
              <w:jc w:val="right"/>
            </w:pPr>
            <w:r>
              <w:t xml:space="preserve">614</w:t>
            </w:r>
          </w:p>
        </w:tc>
      </w:tr>
      <w:tr>
        <w:tc>
          <w:tcPr/>
          <w:p>
            <w:pPr>
              <w:pStyle w:val="Compact"/>
              <w:jc w:val="left"/>
            </w:pPr>
            <w:r>
              <w:t xml:space="preserve">CE</w:t>
            </w:r>
          </w:p>
        </w:tc>
        <w:tc>
          <w:tcPr/>
          <w:p>
            <w:pPr>
              <w:pStyle w:val="Compact"/>
              <w:jc w:val="right"/>
            </w:pPr>
            <w:r>
              <w:t xml:space="preserve">158</w:t>
            </w:r>
          </w:p>
        </w:tc>
        <w:tc>
          <w:tcPr/>
          <w:p>
            <w:pPr>
              <w:pStyle w:val="Compact"/>
              <w:jc w:val="right"/>
            </w:pPr>
            <w:r>
              <w:t xml:space="preserve">279</w:t>
            </w:r>
          </w:p>
        </w:tc>
        <w:tc>
          <w:tcPr/>
          <w:p>
            <w:pPr>
              <w:pStyle w:val="Compact"/>
              <w:jc w:val="right"/>
            </w:pPr>
            <w:r>
              <w:t xml:space="preserve">559</w:t>
            </w:r>
          </w:p>
        </w:tc>
        <w:tc>
          <w:tcPr/>
          <w:p>
            <w:pPr>
              <w:pStyle w:val="Compact"/>
              <w:jc w:val="right"/>
            </w:pPr>
            <w:r>
              <w:t xml:space="preserve">996</w:t>
            </w:r>
          </w:p>
        </w:tc>
      </w:tr>
      <w:tr>
        <w:tc>
          <w:tcPr/>
          <w:p>
            <w:pPr>
              <w:pStyle w:val="Compact"/>
              <w:jc w:val="left"/>
            </w:pPr>
            <w:r>
              <w:t xml:space="preserve">MA</w:t>
            </w:r>
          </w:p>
        </w:tc>
        <w:tc>
          <w:tcPr/>
          <w:p>
            <w:pPr>
              <w:pStyle w:val="Compact"/>
              <w:jc w:val="right"/>
            </w:pPr>
            <w:r>
              <w:t xml:space="preserve">200</w:t>
            </w:r>
          </w:p>
        </w:tc>
        <w:tc>
          <w:tcPr/>
          <w:p>
            <w:pPr>
              <w:pStyle w:val="Compact"/>
              <w:jc w:val="right"/>
            </w:pPr>
            <w:r>
              <w:t xml:space="preserve">77</w:t>
            </w:r>
          </w:p>
        </w:tc>
        <w:tc>
          <w:tcPr/>
          <w:p>
            <w:pPr>
              <w:pStyle w:val="Compact"/>
              <w:jc w:val="right"/>
            </w:pPr>
            <w:r>
              <w:t xml:space="preserve">225</w:t>
            </w:r>
          </w:p>
        </w:tc>
        <w:tc>
          <w:tcPr/>
          <w:p>
            <w:pPr>
              <w:pStyle w:val="Compact"/>
              <w:jc w:val="right"/>
            </w:pPr>
            <w:r>
              <w:t xml:space="preserve">502</w:t>
            </w:r>
          </w:p>
        </w:tc>
      </w:tr>
      <w:tr>
        <w:tc>
          <w:tcPr/>
          <w:p>
            <w:pPr>
              <w:pStyle w:val="Compact"/>
              <w:jc w:val="left"/>
            </w:pPr>
            <w:r>
              <w:t xml:space="preserve">BA</w:t>
            </w:r>
          </w:p>
        </w:tc>
        <w:tc>
          <w:tcPr/>
          <w:p>
            <w:pPr>
              <w:pStyle w:val="Compact"/>
              <w:jc w:val="right"/>
            </w:pPr>
            <w:r>
              <w:t xml:space="preserve">273</w:t>
            </w:r>
          </w:p>
        </w:tc>
        <w:tc>
          <w:tcPr/>
          <w:p>
            <w:pPr>
              <w:pStyle w:val="Compact"/>
              <w:jc w:val="right"/>
            </w:pPr>
            <w:r>
              <w:t xml:space="preserve">356</w:t>
            </w:r>
          </w:p>
        </w:tc>
        <w:tc>
          <w:tcPr/>
          <w:p>
            <w:pPr>
              <w:pStyle w:val="Compact"/>
              <w:jc w:val="right"/>
            </w:pPr>
            <w:r>
              <w:t xml:space="preserve">728</w:t>
            </w:r>
          </w:p>
        </w:tc>
        <w:tc>
          <w:tcPr/>
          <w:p>
            <w:pPr>
              <w:pStyle w:val="Compact"/>
              <w:jc w:val="right"/>
            </w:pPr>
            <w:r>
              <w:t xml:space="preserve">1.357</w:t>
            </w:r>
          </w:p>
        </w:tc>
      </w:tr>
      <w:tr>
        <w:tc>
          <w:tcPr/>
          <w:p>
            <w:pPr>
              <w:pStyle w:val="Compact"/>
              <w:jc w:val="left"/>
            </w:pPr>
            <w:r>
              <w:t xml:space="preserve">PE</w:t>
            </w:r>
          </w:p>
        </w:tc>
        <w:tc>
          <w:tcPr/>
          <w:p>
            <w:pPr>
              <w:pStyle w:val="Compact"/>
              <w:jc w:val="right"/>
            </w:pPr>
            <w:r>
              <w:t xml:space="preserve">158</w:t>
            </w:r>
          </w:p>
        </w:tc>
        <w:tc>
          <w:tcPr/>
          <w:p>
            <w:pPr>
              <w:pStyle w:val="Compact"/>
              <w:jc w:val="right"/>
            </w:pPr>
            <w:r>
              <w:t xml:space="preserve">322</w:t>
            </w:r>
          </w:p>
        </w:tc>
        <w:tc>
          <w:tcPr/>
          <w:p>
            <w:pPr>
              <w:pStyle w:val="Compact"/>
              <w:jc w:val="right"/>
            </w:pPr>
            <w:r>
              <w:t xml:space="preserve">650</w:t>
            </w:r>
          </w:p>
        </w:tc>
        <w:tc>
          <w:tcPr/>
          <w:p>
            <w:pPr>
              <w:pStyle w:val="Compact"/>
              <w:jc w:val="right"/>
            </w:pPr>
            <w:r>
              <w:t xml:space="preserve">1.130</w:t>
            </w:r>
          </w:p>
        </w:tc>
      </w:tr>
      <w:tr>
        <w:tc>
          <w:tcPr/>
          <w:p>
            <w:pPr>
              <w:pStyle w:val="Compact"/>
              <w:jc w:val="left"/>
            </w:pPr>
            <w:r>
              <w:rPr>
                <w:b/>
                <w:bCs/>
              </w:rPr>
              <w:t xml:space="preserve">Nacional</w:t>
            </w:r>
          </w:p>
        </w:tc>
        <w:tc>
          <w:tcPr/>
          <w:p>
            <w:pPr>
              <w:pStyle w:val="Compact"/>
              <w:jc w:val="right"/>
            </w:pPr>
            <w:r>
              <w:rPr>
                <w:b/>
                <w:bCs/>
              </w:rPr>
              <w:t xml:space="preserve">978</w:t>
            </w:r>
          </w:p>
        </w:tc>
        <w:tc>
          <w:tcPr/>
          <w:p>
            <w:pPr>
              <w:pStyle w:val="Compact"/>
              <w:jc w:val="right"/>
            </w:pPr>
            <w:r>
              <w:rPr>
                <w:b/>
                <w:bCs/>
              </w:rPr>
              <w:t xml:space="preserve">1.137</w:t>
            </w:r>
          </w:p>
        </w:tc>
        <w:tc>
          <w:tcPr/>
          <w:p>
            <w:pPr>
              <w:pStyle w:val="Compact"/>
              <w:jc w:val="right"/>
            </w:pPr>
            <w:r>
              <w:rPr>
                <w:b/>
                <w:bCs/>
              </w:rPr>
              <w:t xml:space="preserve">2.484</w:t>
            </w:r>
          </w:p>
        </w:tc>
        <w:tc>
          <w:tcPr/>
          <w:p>
            <w:pPr>
              <w:pStyle w:val="Compact"/>
              <w:jc w:val="right"/>
            </w:pPr>
            <w:r>
              <w:rPr>
                <w:b/>
                <w:bCs/>
              </w:rPr>
              <w:t xml:space="preserve">4.599</w:t>
            </w:r>
          </w:p>
        </w:tc>
      </w:tr>
    </w:tbl>
    <w:p>
      <w:pPr>
        <w:pStyle w:val="BodyText"/>
      </w:pPr>
      <w:r>
        <w:t xml:space="preserve">Fonte: dados sintéticos ilustrativos, elaboração própria.</w:t>
      </w:r>
    </w:p>
    <w:p>
      <w:pPr>
        <w:pStyle w:val="BodyText"/>
      </w:pPr>
      <w:r>
        <w:t xml:space="preserve">Dessas duas tabelas derivam-se as três taxas de crescimento que alimentam toda a análise subsequente: a taxa regional-setorial</w:t>
      </w:r>
      <w:r>
        <w:t xml:space="preserve"> </w:t>
      </w:r>
      <m:oMath>
        <m:sSub>
          <m:e>
            <m:r>
              <m:t>g</m:t>
            </m:r>
          </m:e>
          <m:sub>
            <m:r>
              <m:t>r</m:t>
            </m:r>
            <m:r>
              <m:t>i</m:t>
            </m:r>
          </m:sub>
        </m:sSub>
        <m:r>
          <m:rPr>
            <m:sty m:val="p"/>
          </m:rPr>
          <m:t>=</m:t>
        </m:r>
        <m:r>
          <m:rPr>
            <m:sty m:val="p"/>
          </m:rPr>
          <m:t>(</m:t>
        </m:r>
        <m:sSub>
          <m:e>
            <m:r>
              <m:t>E</m:t>
            </m:r>
          </m:e>
          <m:sub>
            <m:r>
              <m:t>1</m:t>
            </m:r>
            <m:r>
              <m:rPr>
                <m:sty m:val="p"/>
              </m:rPr>
              <m:t>,</m:t>
            </m:r>
            <m:r>
              <m:t>r</m:t>
            </m:r>
            <m:r>
              <m:t>i</m:t>
            </m:r>
          </m:sub>
        </m:sSub>
        <m:r>
          <m:rPr>
            <m:sty m:val="p"/>
          </m:rPr>
          <m:t>−</m:t>
        </m:r>
        <m:sSub>
          <m:e>
            <m:r>
              <m:t>E</m:t>
            </m:r>
          </m:e>
          <m:sub>
            <m:r>
              <m:t>0</m:t>
            </m:r>
            <m:r>
              <m:rPr>
                <m:sty m:val="p"/>
              </m:rPr>
              <m:t>,</m:t>
            </m:r>
            <m:r>
              <m:t>r</m:t>
            </m:r>
            <m:r>
              <m:t>i</m:t>
            </m:r>
          </m:sub>
        </m:sSub>
        <m:r>
          <m:rPr>
            <m:sty m:val="p"/>
          </m:rPr>
          <m:t>)</m:t>
        </m:r>
        <m:r>
          <m:rPr>
            <m:sty m:val="p"/>
          </m:rPr>
          <m:t>/</m:t>
        </m:r>
        <m:sSub>
          <m:e>
            <m:r>
              <m:t>E</m:t>
            </m:r>
          </m:e>
          <m:sub>
            <m:r>
              <m:t>0</m:t>
            </m:r>
            <m:r>
              <m:rPr>
                <m:sty m:val="p"/>
              </m:rPr>
              <m:t>,</m:t>
            </m:r>
            <m:r>
              <m:t>r</m:t>
            </m:r>
            <m:r>
              <m:t>i</m:t>
            </m:r>
          </m:sub>
        </m:sSub>
      </m:oMath>
      <w:r>
        <w:t xml:space="preserve">, a taxa nacional do setor</w:t>
      </w:r>
      <w:r>
        <w:t xml:space="preserve"> </w:t>
      </w:r>
      <m:oMath>
        <m:sSub>
          <m:e>
            <m:r>
              <m:t>g</m:t>
            </m:r>
          </m:e>
          <m:sub>
            <m:r>
              <m:t>n</m:t>
            </m:r>
            <m:r>
              <m:t>i</m:t>
            </m:r>
          </m:sub>
        </m:sSub>
        <m:r>
          <m:rPr>
            <m:sty m:val="p"/>
          </m:rPr>
          <m:t>=</m:t>
        </m:r>
        <m:r>
          <m:rPr>
            <m:sty m:val="p"/>
          </m:rPr>
          <m:t>(</m:t>
        </m:r>
        <m:nary>
          <m:naryPr>
            <m:chr m:val="∑"/>
            <m:limLoc m:val="undOvr"/>
            <m:subHide m:val="off"/>
            <m:supHide m:val="on"/>
          </m:naryPr>
          <m:sub>
            <m:r>
              <m:t>r</m:t>
            </m:r>
          </m:sub>
          <m:sup>
            <m:r>
              <m:t>​</m:t>
            </m:r>
          </m:sup>
          <m:e>
            <m:sSub>
              <m:e>
                <m:r>
                  <m:t>E</m:t>
                </m:r>
              </m:e>
              <m:sub>
                <m:r>
                  <m:t>1</m:t>
                </m:r>
                <m:r>
                  <m:rPr>
                    <m:sty m:val="p"/>
                  </m:rPr>
                  <m:t>,</m:t>
                </m:r>
                <m:r>
                  <m:t>r</m:t>
                </m:r>
                <m:r>
                  <m:t>i</m:t>
                </m:r>
              </m:sub>
            </m:sSub>
          </m:e>
        </m:nary>
        <m:r>
          <m:rPr>
            <m:sty m:val="p"/>
          </m:rPr>
          <m:t>−</m:t>
        </m:r>
        <m:nary>
          <m:naryPr>
            <m:chr m:val="∑"/>
            <m:limLoc m:val="undOvr"/>
            <m:subHide m:val="off"/>
            <m:supHide m:val="on"/>
          </m:naryPr>
          <m:sub>
            <m:r>
              <m:t>r</m:t>
            </m:r>
          </m:sub>
          <m:sup>
            <m:r>
              <m:t>​</m:t>
            </m:r>
          </m:sup>
          <m:e>
            <m:sSub>
              <m:e>
                <m:r>
                  <m:t>E</m:t>
                </m:r>
              </m:e>
              <m:sub>
                <m:r>
                  <m:t>0</m:t>
                </m:r>
                <m:r>
                  <m:rPr>
                    <m:sty m:val="p"/>
                  </m:rPr>
                  <m:t>,</m:t>
                </m:r>
                <m:r>
                  <m:t>r</m:t>
                </m:r>
                <m:r>
                  <m:t>i</m:t>
                </m:r>
              </m:sub>
            </m:sSub>
          </m:e>
        </m:nary>
        <m:r>
          <m:rPr>
            <m:sty m:val="p"/>
          </m:rPr>
          <m:t>)</m:t>
        </m:r>
        <m:r>
          <m:rPr>
            <m:sty m:val="p"/>
          </m:rPr>
          <m:t>/</m:t>
        </m:r>
        <m:nary>
          <m:naryPr>
            <m:chr m:val="∑"/>
            <m:limLoc m:val="undOvr"/>
            <m:subHide m:val="off"/>
            <m:supHide m:val="on"/>
          </m:naryPr>
          <m:sub>
            <m:r>
              <m:t>r</m:t>
            </m:r>
          </m:sub>
          <m:sup>
            <m:r>
              <m:t>​</m:t>
            </m:r>
          </m:sup>
          <m:e>
            <m:sSub>
              <m:e>
                <m:r>
                  <m:t>E</m:t>
                </m:r>
              </m:e>
              <m:sub>
                <m:r>
                  <m:t>0</m:t>
                </m:r>
                <m:r>
                  <m:rPr>
                    <m:sty m:val="p"/>
                  </m:rPr>
                  <m:t>,</m:t>
                </m:r>
                <m:r>
                  <m:t>r</m:t>
                </m:r>
                <m:r>
                  <m:t>i</m:t>
                </m:r>
              </m:sub>
            </m:sSub>
          </m:e>
        </m:nary>
      </m:oMath>
      <w:r>
        <w:t xml:space="preserve"> </w:t>
      </w:r>
      <w:r>
        <w:t xml:space="preserve">e a taxa nacional agregada</w:t>
      </w:r>
      <w:r>
        <w:t xml:space="preserve"> </w:t>
      </w:r>
      <m:oMath>
        <m:sSub>
          <m:e>
            <m:r>
              <m:t>g</m:t>
            </m:r>
          </m:e>
          <m:sub>
            <m:r>
              <m:t>n</m:t>
            </m:r>
          </m:sub>
        </m:sSub>
        <m:r>
          <m:rPr>
            <m:sty m:val="p"/>
          </m:rPr>
          <m:t>=</m:t>
        </m:r>
        <m:r>
          <m:rPr>
            <m:sty m:val="p"/>
          </m:rPr>
          <m:t>(</m:t>
        </m:r>
        <m:nary>
          <m:naryPr>
            <m:chr m:val="∑"/>
            <m:limLoc m:val="undOvr"/>
            <m:subHide m:val="off"/>
            <m:supHide m:val="on"/>
          </m:naryPr>
          <m:sub>
            <m:r>
              <m:t>r</m:t>
            </m:r>
            <m:r>
              <m:rPr>
                <m:sty m:val="p"/>
              </m:rPr>
              <m:t>,</m:t>
            </m:r>
            <m:r>
              <m:t>i</m:t>
            </m:r>
          </m:sub>
          <m:sup>
            <m:r>
              <m:t>​</m:t>
            </m:r>
          </m:sup>
          <m:e>
            <m:sSub>
              <m:e>
                <m:r>
                  <m:t>E</m:t>
                </m:r>
              </m:e>
              <m:sub>
                <m:r>
                  <m:t>1</m:t>
                </m:r>
                <m:r>
                  <m:rPr>
                    <m:sty m:val="p"/>
                  </m:rPr>
                  <m:t>,</m:t>
                </m:r>
                <m:r>
                  <m:t>r</m:t>
                </m:r>
                <m:r>
                  <m:t>i</m:t>
                </m:r>
              </m:sub>
            </m:sSub>
          </m:e>
        </m:nary>
        <m:r>
          <m:rPr>
            <m:sty m:val="p"/>
          </m:rPr>
          <m:t>−</m:t>
        </m:r>
        <m:nary>
          <m:naryPr>
            <m:chr m:val="∑"/>
            <m:limLoc m:val="undOvr"/>
            <m:subHide m:val="off"/>
            <m:supHide m:val="on"/>
          </m:naryPr>
          <m:sub>
            <m:r>
              <m:t>r</m:t>
            </m:r>
            <m:r>
              <m:rPr>
                <m:sty m:val="p"/>
              </m:rPr>
              <m:t>,</m:t>
            </m:r>
            <m:r>
              <m:t>i</m:t>
            </m:r>
          </m:sub>
          <m:sup>
            <m:r>
              <m:t>​</m:t>
            </m:r>
          </m:sup>
          <m:e>
            <m:sSub>
              <m:e>
                <m:r>
                  <m:t>E</m:t>
                </m:r>
              </m:e>
              <m:sub>
                <m:r>
                  <m:t>0</m:t>
                </m:r>
                <m:r>
                  <m:rPr>
                    <m:sty m:val="p"/>
                  </m:rPr>
                  <m:t>,</m:t>
                </m:r>
                <m:r>
                  <m:t>r</m:t>
                </m:r>
                <m:r>
                  <m:t>i</m:t>
                </m:r>
              </m:sub>
            </m:sSub>
          </m:e>
        </m:nary>
        <m:r>
          <m:rPr>
            <m:sty m:val="p"/>
          </m:rPr>
          <m:t>)</m:t>
        </m:r>
        <m:r>
          <m:rPr>
            <m:sty m:val="p"/>
          </m:rPr>
          <m:t>/</m:t>
        </m:r>
        <m:nary>
          <m:naryPr>
            <m:chr m:val="∑"/>
            <m:limLoc m:val="undOvr"/>
            <m:subHide m:val="off"/>
            <m:supHide m:val="on"/>
          </m:naryPr>
          <m:sub>
            <m:r>
              <m:t>r</m:t>
            </m:r>
            <m:r>
              <m:rPr>
                <m:sty m:val="p"/>
              </m:rPr>
              <m:t>,</m:t>
            </m:r>
            <m:r>
              <m:t>i</m:t>
            </m:r>
          </m:sub>
          <m:sup>
            <m:r>
              <m:t>​</m:t>
            </m:r>
          </m:sup>
          <m:e>
            <m:sSub>
              <m:e>
                <m:r>
                  <m:t>E</m:t>
                </m:r>
              </m:e>
              <m:sub>
                <m:r>
                  <m:t>0</m:t>
                </m:r>
                <m:r>
                  <m:rPr>
                    <m:sty m:val="p"/>
                  </m:rPr>
                  <m:t>,</m:t>
                </m:r>
                <m:r>
                  <m:t>r</m:t>
                </m:r>
                <m:r>
                  <m:t>i</m:t>
                </m:r>
              </m:sub>
            </m:sSub>
          </m:e>
        </m:nary>
      </m:oMath>
      <w:r>
        <w:t xml:space="preserve">. Neste exemplo,</w:t>
      </w:r>
      <w:r>
        <w:t xml:space="preserve"> </w:t>
      </w:r>
      <m:oMath>
        <m:sSub>
          <m:e>
            <m:r>
              <m:t>g</m:t>
            </m:r>
          </m:e>
          <m:sub>
            <m:r>
              <m:t>n</m:t>
            </m:r>
          </m:sub>
        </m:sSub>
        <m:r>
          <m:rPr>
            <m:sty m:val="p"/>
          </m:rPr>
          <m:t>=</m:t>
        </m:r>
        <m:r>
          <m:t>20</m:t>
        </m:r>
        <m:r>
          <m:rPr>
            <m:sty m:val="p"/>
          </m:rPr>
          <m:t>,</m:t>
        </m:r>
        <m:r>
          <m:t>39</m:t>
        </m:r>
        <m:r>
          <m:rPr>
            <m:sty m:val="p"/>
          </m:rPr>
          <m:t>%</m:t>
        </m:r>
      </m:oMath>
      <w:r>
        <w:t xml:space="preserve">, e as taxas nacionais setoriais são</w:t>
      </w:r>
      <w:r>
        <w:t xml:space="preserve"> </w:t>
      </w:r>
      <m:oMath>
        <m:sSub>
          <m:e>
            <m:r>
              <m:t>g</m:t>
            </m:r>
          </m:e>
          <m:sub>
            <m:r>
              <m:t>n</m:t>
            </m:r>
            <m:r>
              <m:rPr>
                <m:sty m:val="p"/>
              </m:rPr>
              <m:t>,</m:t>
            </m:r>
            <m:r>
              <m:rPr>
                <m:nor/>
                <m:sty m:val="p"/>
              </m:rPr>
              <m:t>AGR</m:t>
            </m:r>
          </m:sub>
        </m:sSub>
        <m:r>
          <m:rPr>
            <m:sty m:val="p"/>
          </m:rPr>
          <m:t>=</m:t>
        </m:r>
        <m:r>
          <m:t>5</m:t>
        </m:r>
        <m:r>
          <m:rPr>
            <m:sty m:val="p"/>
          </m:rPr>
          <m:t>,</m:t>
        </m:r>
        <m:r>
          <m:t>16</m:t>
        </m:r>
        <m:r>
          <m:rPr>
            <m:sty m:val="p"/>
          </m:rPr>
          <m:t>%</m:t>
        </m:r>
      </m:oMath>
      <w:r>
        <w:t xml:space="preserve">,</w:t>
      </w:r>
      <w:r>
        <w:t xml:space="preserve"> </w:t>
      </w:r>
      <m:oMath>
        <m:sSub>
          <m:e>
            <m:r>
              <m:t>g</m:t>
            </m:r>
          </m:e>
          <m:sub>
            <m:r>
              <m:t>n</m:t>
            </m:r>
            <m:r>
              <m:rPr>
                <m:sty m:val="p"/>
              </m:rPr>
              <m:t>,</m:t>
            </m:r>
            <m:r>
              <m:rPr>
                <m:nor/>
                <m:sty m:val="p"/>
              </m:rPr>
              <m:t>IND</m:t>
            </m:r>
          </m:sub>
        </m:sSub>
        <m:r>
          <m:rPr>
            <m:sty m:val="p"/>
          </m:rPr>
          <m:t>=</m:t>
        </m:r>
        <m:r>
          <m:t>17</m:t>
        </m:r>
        <m:r>
          <m:rPr>
            <m:sty m:val="p"/>
          </m:rPr>
          <m:t>,</m:t>
        </m:r>
        <m:r>
          <m:t>22</m:t>
        </m:r>
        <m:r>
          <m:rPr>
            <m:sty m:val="p"/>
          </m:rPr>
          <m:t>%</m:t>
        </m:r>
      </m:oMath>
      <w:r>
        <w:t xml:space="preserve"> </w:t>
      </w:r>
      <w:r>
        <w:t xml:space="preserve">e</w:t>
      </w:r>
      <w:r>
        <w:t xml:space="preserve"> </w:t>
      </w:r>
      <m:oMath>
        <m:sSub>
          <m:e>
            <m:r>
              <m:t>g</m:t>
            </m:r>
          </m:e>
          <m:sub>
            <m:r>
              <m:t>n</m:t>
            </m:r>
            <m:r>
              <m:rPr>
                <m:sty m:val="p"/>
              </m:rPr>
              <m:t>,</m:t>
            </m:r>
            <m:r>
              <m:rPr>
                <m:nor/>
                <m:sty m:val="p"/>
              </m:rPr>
              <m:t>SER</m:t>
            </m:r>
          </m:sub>
        </m:sSub>
        <m:r>
          <m:rPr>
            <m:sty m:val="p"/>
          </m:rPr>
          <m:t>=</m:t>
        </m:r>
        <m:r>
          <m:t>29</m:t>
        </m:r>
        <m:r>
          <m:rPr>
            <m:sty m:val="p"/>
          </m:rPr>
          <m:t>,</m:t>
        </m:r>
        <m:r>
          <m:t>38</m:t>
        </m:r>
        <m:r>
          <m:rPr>
            <m:sty m:val="p"/>
          </m:rPr>
          <m:t>%</m:t>
        </m:r>
      </m:oMath>
      <w:r>
        <w:t xml:space="preserve"> </w:t>
      </w:r>
      <w:r>
        <w:t xml:space="preserve">— um padrão de terciarização nacional que será a</w:t>
      </w:r>
      <w:r>
        <w:t xml:space="preserve"> </w:t>
      </w:r>
      <w:r>
        <w:t xml:space="preserve">“ponta”</w:t>
      </w:r>
      <w:r>
        <w:t xml:space="preserve"> </w:t>
      </w:r>
      <w:r>
        <w:t xml:space="preserve">contra a qual cada região é comparada.</w:t>
      </w:r>
    </w:p>
    <w:p>
      <w:pPr>
        <w:pStyle w:val="BodyText"/>
      </w:pPr>
      <w:r>
        <w:rPr>
          <w:b/>
          <w:bCs/>
        </w:rPr>
        <w:t xml:space="preserve">Tabela 3 — Taxa de crescimento regional-setorial</w:t>
      </w:r>
      <w:r>
        <w:rPr>
          <w:b/>
          <w:bCs/>
        </w:rPr>
        <w:t xml:space="preserve"> </w:t>
      </w:r>
      <m:oMath>
        <m:sSub>
          <m:e>
            <m:r>
              <m:t>g</m:t>
            </m:r>
          </m:e>
          <m:sub>
            <m:r>
              <m:t>r</m:t>
            </m:r>
            <m:r>
              <m:t>i</m:t>
            </m:r>
          </m:sub>
        </m:sSub>
      </m:oMath>
      <w:r>
        <w:rPr>
          <w:b/>
          <w:bCs/>
        </w:rPr>
        <w:t xml:space="preserve"> </w:t>
      </w:r>
      <w:r>
        <w:rPr>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Região</w:t>
            </w:r>
          </w:p>
        </w:tc>
        <w:tc>
          <w:tcPr/>
          <w:p>
            <w:pPr>
              <w:pStyle w:val="Compact"/>
              <w:jc w:val="right"/>
            </w:pPr>
            <w:r>
              <w:t xml:space="preserve">AGR</w:t>
            </w:r>
          </w:p>
        </w:tc>
        <w:tc>
          <w:tcPr/>
          <w:p>
            <w:pPr>
              <w:pStyle w:val="Compact"/>
              <w:jc w:val="right"/>
            </w:pPr>
            <w:r>
              <w:t xml:space="preserve">IND</w:t>
            </w:r>
          </w:p>
        </w:tc>
        <w:tc>
          <w:tcPr/>
          <w:p>
            <w:pPr>
              <w:pStyle w:val="Compact"/>
              <w:jc w:val="right"/>
            </w:pPr>
            <w:r>
              <w:t xml:space="preserve">SER</w:t>
            </w:r>
          </w:p>
        </w:tc>
      </w:tr>
      <w:tr>
        <w:tc>
          <w:tcPr/>
          <w:p>
            <w:pPr>
              <w:pStyle w:val="Compact"/>
              <w:jc w:val="left"/>
            </w:pPr>
            <w:r>
              <w:t xml:space="preserve">PI</w:t>
            </w:r>
          </w:p>
        </w:tc>
        <w:tc>
          <w:tcPr/>
          <w:p>
            <w:pPr>
              <w:pStyle w:val="Compact"/>
              <w:jc w:val="right"/>
            </w:pPr>
            <w:r>
              <w:t xml:space="preserve">5,00</w:t>
            </w:r>
          </w:p>
        </w:tc>
        <w:tc>
          <w:tcPr/>
          <w:p>
            <w:pPr>
              <w:pStyle w:val="Compact"/>
              <w:jc w:val="right"/>
            </w:pPr>
            <w:r>
              <w:t xml:space="preserve">14,44</w:t>
            </w:r>
          </w:p>
        </w:tc>
        <w:tc>
          <w:tcPr/>
          <w:p>
            <w:pPr>
              <w:pStyle w:val="Compact"/>
              <w:jc w:val="right"/>
            </w:pPr>
            <w:r>
              <w:t xml:space="preserve">40,00</w:t>
            </w:r>
          </w:p>
        </w:tc>
      </w:tr>
      <w:tr>
        <w:tc>
          <w:tcPr/>
          <w:p>
            <w:pPr>
              <w:pStyle w:val="Compact"/>
              <w:jc w:val="left"/>
            </w:pPr>
            <w:r>
              <w:t xml:space="preserve">CE</w:t>
            </w:r>
          </w:p>
        </w:tc>
        <w:tc>
          <w:tcPr/>
          <w:p>
            <w:pPr>
              <w:pStyle w:val="Compact"/>
              <w:jc w:val="right"/>
            </w:pPr>
            <w:r>
              <w:t xml:space="preserve">5,33</w:t>
            </w:r>
          </w:p>
        </w:tc>
        <w:tc>
          <w:tcPr/>
          <w:p>
            <w:pPr>
              <w:pStyle w:val="Compact"/>
              <w:jc w:val="right"/>
            </w:pPr>
            <w:r>
              <w:t xml:space="preserve">26,82</w:t>
            </w:r>
          </w:p>
        </w:tc>
        <w:tc>
          <w:tcPr/>
          <w:p>
            <w:pPr>
              <w:pStyle w:val="Compact"/>
              <w:jc w:val="right"/>
            </w:pPr>
            <w:r>
              <w:t xml:space="preserve">30,00</w:t>
            </w:r>
          </w:p>
        </w:tc>
      </w:tr>
      <w:tr>
        <w:tc>
          <w:tcPr/>
          <w:p>
            <w:pPr>
              <w:pStyle w:val="Compact"/>
              <w:jc w:val="left"/>
            </w:pPr>
            <w:r>
              <w:t xml:space="preserve">MA</w:t>
            </w:r>
          </w:p>
        </w:tc>
        <w:tc>
          <w:tcPr/>
          <w:p>
            <w:pPr>
              <w:pStyle w:val="Compact"/>
              <w:jc w:val="right"/>
            </w:pPr>
            <w:r>
              <w:t xml:space="preserve">0,00</w:t>
            </w:r>
          </w:p>
        </w:tc>
        <w:tc>
          <w:tcPr/>
          <w:p>
            <w:pPr>
              <w:pStyle w:val="Compact"/>
              <w:jc w:val="right"/>
            </w:pPr>
            <w:r>
              <w:t xml:space="preserve">10,00</w:t>
            </w:r>
          </w:p>
        </w:tc>
        <w:tc>
          <w:tcPr/>
          <w:p>
            <w:pPr>
              <w:pStyle w:val="Compact"/>
              <w:jc w:val="right"/>
            </w:pPr>
            <w:r>
              <w:t xml:space="preserve">25,00</w:t>
            </w:r>
          </w:p>
        </w:tc>
      </w:tr>
      <w:tr>
        <w:tc>
          <w:tcPr/>
          <w:p>
            <w:pPr>
              <w:pStyle w:val="Compact"/>
              <w:jc w:val="left"/>
            </w:pPr>
            <w:r>
              <w:t xml:space="preserve">BA</w:t>
            </w:r>
          </w:p>
        </w:tc>
        <w:tc>
          <w:tcPr/>
          <w:p>
            <w:pPr>
              <w:pStyle w:val="Compact"/>
              <w:jc w:val="right"/>
            </w:pPr>
            <w:r>
              <w:t xml:space="preserve">5,00</w:t>
            </w:r>
          </w:p>
        </w:tc>
        <w:tc>
          <w:tcPr/>
          <w:p>
            <w:pPr>
              <w:pStyle w:val="Compact"/>
              <w:jc w:val="right"/>
            </w:pPr>
            <w:r>
              <w:t xml:space="preserve">14,84</w:t>
            </w:r>
          </w:p>
        </w:tc>
        <w:tc>
          <w:tcPr/>
          <w:p>
            <w:pPr>
              <w:pStyle w:val="Compact"/>
              <w:jc w:val="right"/>
            </w:pPr>
            <w:r>
              <w:t xml:space="preserve">30,00</w:t>
            </w:r>
          </w:p>
        </w:tc>
      </w:tr>
      <w:tr>
        <w:tc>
          <w:tcPr/>
          <w:p>
            <w:pPr>
              <w:pStyle w:val="Compact"/>
              <w:jc w:val="left"/>
            </w:pPr>
            <w:r>
              <w:t xml:space="preserve">PE</w:t>
            </w:r>
          </w:p>
        </w:tc>
        <w:tc>
          <w:tcPr/>
          <w:p>
            <w:pPr>
              <w:pStyle w:val="Compact"/>
              <w:jc w:val="right"/>
            </w:pPr>
            <w:r>
              <w:t xml:space="preserve">12,86</w:t>
            </w:r>
          </w:p>
        </w:tc>
        <w:tc>
          <w:tcPr/>
          <w:p>
            <w:pPr>
              <w:pStyle w:val="Compact"/>
              <w:jc w:val="right"/>
            </w:pPr>
            <w:r>
              <w:t xml:space="preserve">15,00</w:t>
            </w:r>
          </w:p>
        </w:tc>
        <w:tc>
          <w:tcPr/>
          <w:p>
            <w:pPr>
              <w:pStyle w:val="Compact"/>
              <w:jc w:val="right"/>
            </w:pPr>
            <w:r>
              <w:t xml:space="preserve">25,00</w:t>
            </w:r>
          </w:p>
        </w:tc>
      </w:tr>
    </w:tbl>
    <w:p>
      <w:pPr>
        <w:pStyle w:val="BodyText"/>
      </w:pPr>
      <w:r>
        <w:t xml:space="preserve">Fonte: elaboração própria a partir das Tabelas 1 e 2.</w:t>
      </w:r>
    </w:p>
    <w:bookmarkEnd w:id="13"/>
    <w:bookmarkStart w:id="14" w:name="decomposição-clássica-dunn-1960"/>
    <w:p>
      <w:pPr>
        <w:pStyle w:val="Heading2"/>
      </w:pPr>
      <w:r>
        <w:t xml:space="preserve">4 DECOMPOSIÇÃO CLÁSSICA (DUNN, 1960)</w:t>
      </w:r>
    </w:p>
    <w:p>
      <w:pPr>
        <w:pStyle w:val="FirstParagraph"/>
      </w:pPr>
      <w:r>
        <w:t xml:space="preserve">A forma canônica, sistematizada por Perloff, Dunn, Lampard e Muth (1960) a partir de precursores como o Barlow Report de 1940 e Creamer (1943), reparte a variação absoluta de emprego</w:t>
      </w:r>
      <w:r>
        <w:t xml:space="preserve"> </w:t>
      </w:r>
      <m:oMath>
        <m:r>
          <m:rPr>
            <m:sty m:val="p"/>
          </m:rPr>
          <m:t>Δ</m:t>
        </m:r>
        <m:sSub>
          <m:e>
            <m:r>
              <m:t>E</m:t>
            </m:r>
          </m:e>
          <m:sub>
            <m:r>
              <m:t>r</m:t>
            </m:r>
            <m:r>
              <m:t>i</m:t>
            </m:r>
          </m:sub>
        </m:sSub>
        <m:r>
          <m:rPr>
            <m:sty m:val="p"/>
          </m:rPr>
          <m:t>=</m:t>
        </m:r>
        <m:sSub>
          <m:e>
            <m:r>
              <m:t>E</m:t>
            </m:r>
          </m:e>
          <m:sub>
            <m:r>
              <m:t>1</m:t>
            </m:r>
            <m:r>
              <m:rPr>
                <m:sty m:val="p"/>
              </m:rPr>
              <m:t>,</m:t>
            </m:r>
            <m:r>
              <m:t>r</m:t>
            </m:r>
            <m:r>
              <m:t>i</m:t>
            </m:r>
          </m:sub>
        </m:sSub>
        <m:r>
          <m:rPr>
            <m:sty m:val="p"/>
          </m:rPr>
          <m:t>−</m:t>
        </m:r>
        <m:sSub>
          <m:e>
            <m:r>
              <m:t>E</m:t>
            </m:r>
          </m:e>
          <m:sub>
            <m:r>
              <m:t>0</m:t>
            </m:r>
            <m:r>
              <m:rPr>
                <m:sty m:val="p"/>
              </m:rPr>
              <m:t>,</m:t>
            </m:r>
            <m:r>
              <m:t>r</m:t>
            </m:r>
            <m:r>
              <m:t>i</m:t>
            </m:r>
          </m:sub>
        </m:sSub>
      </m:oMath>
      <w:r>
        <w:t xml:space="preserve"> </w:t>
      </w:r>
      <w:r>
        <w:t xml:space="preserve">em três parcelas aditivas, todas ponderadas pelo emprego-base</w:t>
      </w:r>
      <w:r>
        <w:t xml:space="preserve"> </w:t>
      </w:r>
      <m:oMath>
        <m:sSub>
          <m:e>
            <m:r>
              <m:t>E</m:t>
            </m:r>
          </m:e>
          <m:sub>
            <m:r>
              <m:t>0</m:t>
            </m:r>
            <m:r>
              <m:rPr>
                <m:sty m:val="p"/>
              </m:rPr>
              <m:t>,</m:t>
            </m:r>
            <m:r>
              <m:t>r</m:t>
            </m:r>
            <m:r>
              <m:t>i</m:t>
            </m:r>
          </m:sub>
        </m:sSub>
      </m:oMath>
      <w:r>
        <w:t xml:space="preserve">:</w:t>
      </w:r>
    </w:p>
    <w:p>
      <w:pPr>
        <w:pStyle w:val="BodyText"/>
      </w:pPr>
      <m:oMathPara>
        <m:oMathParaPr>
          <m:jc m:val="center"/>
        </m:oMathParaPr>
        <m:oMath>
          <m:r>
            <m:rPr>
              <m:sty m:val="p"/>
            </m:rPr>
            <m:t>Δ</m:t>
          </m:r>
          <m:sSub>
            <m:e>
              <m:r>
                <m:t>E</m:t>
              </m:r>
            </m:e>
            <m:sub>
              <m:r>
                <m:t>r</m:t>
              </m:r>
              <m:r>
                <m:t>i</m:t>
              </m:r>
            </m:sub>
          </m:sSub>
          <m:r>
            <m:rPr>
              <m:sty m:val="p"/>
            </m:rPr>
            <m:t>=</m:t>
          </m:r>
          <m:limLow>
            <m:e>
              <m:limLow>
                <m:e>
                  <m:sSub>
                    <m:e>
                      <m:r>
                        <m:t>E</m:t>
                      </m:r>
                    </m:e>
                    <m:sub>
                      <m:r>
                        <m:t>0</m:t>
                      </m:r>
                      <m:r>
                        <m:rPr>
                          <m:sty m:val="p"/>
                        </m:rPr>
                        <m:t>,</m:t>
                      </m:r>
                      <m:r>
                        <m:t>r</m:t>
                      </m:r>
                      <m:r>
                        <m:t>i</m:t>
                      </m:r>
                    </m:sub>
                  </m:sSub>
                  <m:r>
                    <m:t> </m:t>
                  </m:r>
                  <m:sSub>
                    <m:e>
                      <m:r>
                        <m:t>g</m:t>
                      </m:r>
                    </m:e>
                    <m:sub>
                      <m:r>
                        <m:t>n</m:t>
                      </m:r>
                    </m:sub>
                  </m:sSub>
                </m:e>
                <m:lim>
                  <m:r>
                    <m:rPr>
                      <m:sty m:val="p"/>
                    </m:rPr>
                    <m:t>⏟</m:t>
                  </m:r>
                </m:lim>
              </m:limLow>
            </m:e>
            <m:lim>
              <m:r>
                <m:t>N</m:t>
              </m:r>
              <m:sSub>
                <m:e>
                  <m:r>
                    <m:t>E</m:t>
                  </m:r>
                </m:e>
                <m:sub>
                  <m:r>
                    <m:t>r</m:t>
                  </m:r>
                  <m:r>
                    <m:t>i</m:t>
                  </m:r>
                </m:sub>
              </m:sSub>
            </m:lim>
          </m:limLow>
          <m:r>
            <m:rPr>
              <m:sty m:val="p"/>
            </m:rPr>
            <m:t>+</m:t>
          </m:r>
          <m:limLow>
            <m:e>
              <m:limLow>
                <m:e>
                  <m:sSub>
                    <m:e>
                      <m:r>
                        <m:t>E</m:t>
                      </m:r>
                    </m:e>
                    <m:sub>
                      <m:r>
                        <m:t>0</m:t>
                      </m:r>
                      <m:r>
                        <m:rPr>
                          <m:sty m:val="p"/>
                        </m:rPr>
                        <m:t>,</m:t>
                      </m:r>
                      <m:r>
                        <m:t>r</m:t>
                      </m:r>
                      <m:r>
                        <m:t>i</m:t>
                      </m:r>
                    </m:sub>
                  </m:sSub>
                  <m:r>
                    <m:t> </m:t>
                  </m:r>
                  <m:r>
                    <m:rPr>
                      <m:sty m:val="p"/>
                    </m:rPr>
                    <m:t>(</m:t>
                  </m:r>
                  <m:sSub>
                    <m:e>
                      <m:r>
                        <m:t>g</m:t>
                      </m:r>
                    </m:e>
                    <m:sub>
                      <m:r>
                        <m:t>n</m:t>
                      </m:r>
                      <m:r>
                        <m:t>i</m:t>
                      </m:r>
                    </m:sub>
                  </m:sSub>
                  <m:r>
                    <m:rPr>
                      <m:sty m:val="p"/>
                    </m:rPr>
                    <m:t>−</m:t>
                  </m:r>
                  <m:sSub>
                    <m:e>
                      <m:r>
                        <m:t>g</m:t>
                      </m:r>
                    </m:e>
                    <m:sub>
                      <m:r>
                        <m:t>n</m:t>
                      </m:r>
                    </m:sub>
                  </m:sSub>
                  <m:r>
                    <m:rPr>
                      <m:sty m:val="p"/>
                    </m:rPr>
                    <m:t>)</m:t>
                  </m:r>
                </m:e>
                <m:lim>
                  <m:r>
                    <m:rPr>
                      <m:sty m:val="p"/>
                    </m:rPr>
                    <m:t>⏟</m:t>
                  </m:r>
                </m:lim>
              </m:limLow>
            </m:e>
            <m:lim>
              <m:r>
                <m:t>I</m:t>
              </m:r>
              <m:sSub>
                <m:e>
                  <m:r>
                    <m:t>M</m:t>
                  </m:r>
                </m:e>
                <m:sub>
                  <m:r>
                    <m:t>r</m:t>
                  </m:r>
                  <m:r>
                    <m:t>i</m:t>
                  </m:r>
                </m:sub>
              </m:sSub>
            </m:lim>
          </m:limLow>
          <m:r>
            <m:rPr>
              <m:sty m:val="p"/>
            </m:rPr>
            <m:t>+</m:t>
          </m:r>
          <m:limLow>
            <m:e>
              <m:limLow>
                <m:e>
                  <m:sSub>
                    <m:e>
                      <m:r>
                        <m:t>E</m:t>
                      </m:r>
                    </m:e>
                    <m:sub>
                      <m:r>
                        <m:t>0</m:t>
                      </m:r>
                      <m:r>
                        <m:rPr>
                          <m:sty m:val="p"/>
                        </m:rPr>
                        <m:t>,</m:t>
                      </m:r>
                      <m:r>
                        <m:t>r</m:t>
                      </m:r>
                      <m:r>
                        <m:t>i</m:t>
                      </m:r>
                    </m:sub>
                  </m:sSub>
                  <m:r>
                    <m:t> </m:t>
                  </m:r>
                  <m:r>
                    <m:rPr>
                      <m:sty m:val="p"/>
                    </m:rPr>
                    <m:t>(</m:t>
                  </m:r>
                  <m:sSub>
                    <m:e>
                      <m:r>
                        <m:t>g</m:t>
                      </m:r>
                    </m:e>
                    <m:sub>
                      <m:r>
                        <m:t>r</m:t>
                      </m:r>
                      <m:r>
                        <m:t>i</m:t>
                      </m:r>
                    </m:sub>
                  </m:sSub>
                  <m:r>
                    <m:rPr>
                      <m:sty m:val="p"/>
                    </m:rPr>
                    <m:t>−</m:t>
                  </m:r>
                  <m:sSub>
                    <m:e>
                      <m:r>
                        <m:t>g</m:t>
                      </m:r>
                    </m:e>
                    <m:sub>
                      <m:r>
                        <m:t>n</m:t>
                      </m:r>
                      <m:r>
                        <m:t>i</m:t>
                      </m:r>
                    </m:sub>
                  </m:sSub>
                  <m:r>
                    <m:rPr>
                      <m:sty m:val="p"/>
                    </m:rPr>
                    <m:t>)</m:t>
                  </m:r>
                </m:e>
                <m:lim>
                  <m:r>
                    <m:rPr>
                      <m:sty m:val="p"/>
                    </m:rPr>
                    <m:t>⏟</m:t>
                  </m:r>
                </m:lim>
              </m:limLow>
            </m:e>
            <m:lim>
              <m:r>
                <m:t>C</m:t>
              </m:r>
              <m:sSub>
                <m:e>
                  <m:r>
                    <m:t>E</m:t>
                  </m:r>
                </m:e>
                <m:sub>
                  <m:r>
                    <m:t>r</m:t>
                  </m:r>
                  <m:r>
                    <m:t>i</m:t>
                  </m:r>
                </m:sub>
              </m:sSub>
            </m:lim>
          </m:limLow>
        </m:oMath>
      </m:oMathPara>
    </w:p>
    <w:p>
      <w:pPr>
        <w:pStyle w:val="FirstParagraph"/>
      </w:pPr>
      <w:r>
        <w:t xml:space="preserve">em que</w:t>
      </w:r>
      <w:r>
        <w:t xml:space="preserve"> </w:t>
      </w:r>
      <m:oMath>
        <m:r>
          <m:t>N</m:t>
        </m:r>
        <m:sSub>
          <m:e>
            <m:r>
              <m:t>E</m:t>
            </m:r>
          </m:e>
          <m:sub>
            <m:r>
              <m:t>r</m:t>
            </m:r>
            <m:r>
              <m:t>i</m:t>
            </m:r>
          </m:sub>
        </m:sSub>
      </m:oMath>
      <w:r>
        <w:t xml:space="preserve"> </w:t>
      </w:r>
      <w:r>
        <w:t xml:space="preserve">é o</w:t>
      </w:r>
      <w:r>
        <w:t xml:space="preserve"> </w:t>
      </w:r>
      <w:r>
        <w:rPr>
          <w:b/>
          <w:bCs/>
        </w:rPr>
        <w:t xml:space="preserve">efeito de crescimento nacional</w:t>
      </w:r>
      <w:r>
        <w:t xml:space="preserve"> </w:t>
      </w:r>
      <w:r>
        <w:t xml:space="preserve">(o quanto a região teria crescido se cada setor acompanhasse exatamente a taxa agregada do país),</w:t>
      </w:r>
      <w:r>
        <w:t xml:space="preserve"> </w:t>
      </w:r>
      <m:oMath>
        <m:r>
          <m:t>I</m:t>
        </m:r>
        <m:sSub>
          <m:e>
            <m:r>
              <m:t>M</m:t>
            </m:r>
          </m:e>
          <m:sub>
            <m:r>
              <m:t>r</m:t>
            </m:r>
            <m:r>
              <m:t>i</m:t>
            </m:r>
          </m:sub>
        </m:sSub>
      </m:oMath>
      <w:r>
        <w:t xml:space="preserve"> </w:t>
      </w:r>
      <w:r>
        <w:t xml:space="preserve">é o</w:t>
      </w:r>
      <w:r>
        <w:t xml:space="preserve"> </w:t>
      </w:r>
      <w:r>
        <w:rPr>
          <w:b/>
          <w:bCs/>
        </w:rPr>
        <w:t xml:space="preserve">efeito de composição setorial</w:t>
      </w:r>
      <w:r>
        <w:t xml:space="preserve"> </w:t>
      </w:r>
      <w:r>
        <w:t xml:space="preserve">(crescimento extra ou perdido por a região estar voltada a setores nacionalmente mais ou menos dinâmicos que a média) e</w:t>
      </w:r>
      <w:r>
        <w:t xml:space="preserve"> </w:t>
      </w:r>
      <m:oMath>
        <m:r>
          <m:t>C</m:t>
        </m:r>
        <m:sSub>
          <m:e>
            <m:r>
              <m:t>E</m:t>
            </m:r>
          </m:e>
          <m:sub>
            <m:r>
              <m:t>r</m:t>
            </m:r>
            <m:r>
              <m:t>i</m:t>
            </m:r>
          </m:sub>
        </m:sSub>
      </m:oMath>
      <w:r>
        <w:t xml:space="preserve"> </w:t>
      </w:r>
      <w:r>
        <w:t xml:space="preserve">é o</w:t>
      </w:r>
      <w:r>
        <w:t xml:space="preserve"> </w:t>
      </w:r>
      <w:r>
        <w:rPr>
          <w:b/>
          <w:bCs/>
        </w:rPr>
        <w:t xml:space="preserve">efeito competitivo ou diferencial regional</w:t>
      </w:r>
      <w:r>
        <w:t xml:space="preserve"> </w:t>
      </w:r>
      <w:r>
        <w:t xml:space="preserve">(o resíduo: quanto a região cresceu acima ou abaixo do que seu próprio setor cresceu no país). A soma</w:t>
      </w:r>
      <w:r>
        <w:t xml:space="preserve"> </w:t>
      </w:r>
      <m:oMath>
        <m:r>
          <m:t>N</m:t>
        </m:r>
        <m:sSub>
          <m:e>
            <m:r>
              <m:t>E</m:t>
            </m:r>
          </m:e>
          <m:sub>
            <m:r>
              <m:t>r</m:t>
            </m:r>
            <m:r>
              <m:t>i</m:t>
            </m:r>
          </m:sub>
        </m:sSub>
        <m:r>
          <m:rPr>
            <m:sty m:val="p"/>
          </m:rPr>
          <m:t>+</m:t>
        </m:r>
        <m:r>
          <m:t>I</m:t>
        </m:r>
        <m:sSub>
          <m:e>
            <m:r>
              <m:t>M</m:t>
            </m:r>
          </m:e>
          <m:sub>
            <m:r>
              <m:t>r</m:t>
            </m:r>
            <m:r>
              <m:t>i</m:t>
            </m:r>
          </m:sub>
        </m:sSub>
      </m:oMath>
      <w:r>
        <w:t xml:space="preserve"> </w:t>
      </w:r>
      <w:r>
        <w:t xml:space="preserve">é o crescimento</w:t>
      </w:r>
      <w:r>
        <w:t xml:space="preserve"> </w:t>
      </w:r>
      <w:r>
        <w:t xml:space="preserve">“esperado”</w:t>
      </w:r>
      <w:r>
        <w:t xml:space="preserve"> </w:t>
      </w:r>
      <w:r>
        <w:t xml:space="preserve">da região;</w:t>
      </w:r>
      <w:r>
        <w:t xml:space="preserve"> </w:t>
      </w:r>
      <m:oMath>
        <m:r>
          <m:t>C</m:t>
        </m:r>
        <m:sSub>
          <m:e>
            <m:r>
              <m:t>E</m:t>
            </m:r>
          </m:e>
          <m:sub>
            <m:r>
              <m:t>r</m:t>
            </m:r>
            <m:r>
              <m:t>i</m:t>
            </m:r>
          </m:sub>
        </m:sSub>
      </m:oMath>
      <w:r>
        <w:t xml:space="preserve"> </w:t>
      </w:r>
      <w:r>
        <w:t xml:space="preserve">é o desvio (</w:t>
      </w:r>
      <w:r>
        <w:t xml:space="preserve">“</w:t>
      </w:r>
      <w:r>
        <w:rPr>
          <w:i/>
          <w:iCs/>
        </w:rPr>
        <w:t xml:space="preserve">shift</w:t>
      </w:r>
      <w:r>
        <w:t xml:space="preserve">”</w:t>
      </w:r>
      <w:r>
        <w:t xml:space="preserve">) dessa expectativa — o que dá nome ao método (SELTING; LOVERIDGE, 1992).</w:t>
      </w:r>
    </w:p>
    <w:p>
      <w:pPr>
        <w:pStyle w:val="BodyText"/>
      </w:pPr>
      <w:r>
        <w:t xml:space="preserve">A Tabela 4 aplica a Equação 1 aos dados das Tabelas 1–3. Note que a soma das três colunas, célula a célula, reproduz exatamente</w:t>
      </w:r>
      <w:r>
        <w:t xml:space="preserve"> </w:t>
      </w:r>
      <m:oMath>
        <m:r>
          <m:rPr>
            <m:sty m:val="p"/>
          </m:rPr>
          <m:t>Δ</m:t>
        </m:r>
        <m:sSub>
          <m:e>
            <m:r>
              <m:t>E</m:t>
            </m:r>
          </m:e>
          <m:sub>
            <m:r>
              <m:t>r</m:t>
            </m:r>
            <m:r>
              <m:t>i</m:t>
            </m:r>
          </m:sub>
        </m:sSub>
      </m:oMath>
      <w:r>
        <w:t xml:space="preserve"> </w:t>
      </w:r>
      <w:r>
        <w:t xml:space="preserve">— a identidade é algébrica, não estatística, e vale à precisão de máquina.</w:t>
      </w:r>
    </w:p>
    <w:p>
      <w:pPr>
        <w:pStyle w:val="BodyText"/>
      </w:pPr>
      <w:r>
        <w:rPr>
          <w:b/>
          <w:bCs/>
        </w:rPr>
        <w:t xml:space="preserve">Tabela 4 — Decomposição clássica de Dunn (1960): totais regionais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Região</w:t>
            </w:r>
          </w:p>
        </w:tc>
        <w:tc>
          <w:tcPr/>
          <w:p>
            <w:pPr>
              <w:pStyle w:val="Compact"/>
              <w:jc w:val="right"/>
            </w:pPr>
            <m:oMath>
              <m:r>
                <m:rPr>
                  <m:sty m:val="p"/>
                </m:rPr>
                <m:t>Δ</m:t>
              </m:r>
              <m:sSub>
                <m:e>
                  <m:r>
                    <m:t>E</m:t>
                  </m:r>
                </m:e>
                <m:sub>
                  <m:r>
                    <m:t>r</m:t>
                  </m:r>
                </m:sub>
              </m:sSub>
            </m:oMath>
            <w:r>
              <w:t xml:space="preserve">​</w:t>
            </w:r>
          </w:p>
        </w:tc>
        <w:tc>
          <w:tcPr/>
          <w:p>
            <w:pPr>
              <w:pStyle w:val="Compact"/>
              <w:jc w:val="right"/>
            </w:pPr>
            <m:oMath>
              <m:r>
                <m:t>N</m:t>
              </m:r>
              <m:sSub>
                <m:e>
                  <m:r>
                    <m:t>E</m:t>
                  </m:r>
                </m:e>
                <m:sub>
                  <m:r>
                    <m:t>r</m:t>
                  </m:r>
                </m:sub>
              </m:sSub>
            </m:oMath>
            <w:r>
              <w:t xml:space="preserve">​</w:t>
            </w:r>
          </w:p>
        </w:tc>
        <w:tc>
          <w:tcPr/>
          <w:p>
            <w:pPr>
              <w:pStyle w:val="Compact"/>
              <w:jc w:val="right"/>
            </w:pPr>
            <m:oMath>
              <m:r>
                <m:t>I</m:t>
              </m:r>
              <m:sSub>
                <m:e>
                  <m:r>
                    <m:t>M</m:t>
                  </m:r>
                </m:e>
                <m:sub>
                  <m:r>
                    <m:t>r</m:t>
                  </m:r>
                </m:sub>
              </m:sSub>
            </m:oMath>
            <w:r>
              <w:t xml:space="preserve">​</w:t>
            </w:r>
          </w:p>
        </w:tc>
        <w:tc>
          <w:tcPr/>
          <w:p>
            <w:pPr>
              <w:pStyle w:val="Compact"/>
              <w:jc w:val="right"/>
            </w:pPr>
            <m:oMath>
              <m:r>
                <m:t>C</m:t>
              </m:r>
              <m:sSub>
                <m:e>
                  <m:r>
                    <m:t>E</m:t>
                  </m:r>
                </m:e>
                <m:sub>
                  <m:r>
                    <m:t>r</m:t>
                  </m:r>
                </m:sub>
              </m:sSub>
            </m:oMath>
            <w:r>
              <w:t xml:space="preserve">​</w:t>
            </w:r>
          </w:p>
        </w:tc>
      </w:tr>
      <w:tr>
        <w:tc>
          <w:tcPr/>
          <w:p>
            <w:pPr>
              <w:pStyle w:val="Compact"/>
              <w:jc w:val="left"/>
            </w:pPr>
            <w:r>
              <w:t xml:space="preserve">PI</w:t>
            </w:r>
          </w:p>
        </w:tc>
        <w:tc>
          <w:tcPr/>
          <w:p>
            <w:pPr>
              <w:pStyle w:val="Compact"/>
              <w:jc w:val="right"/>
            </w:pPr>
            <w:r>
              <w:t xml:space="preserve">114</w:t>
            </w:r>
          </w:p>
        </w:tc>
        <w:tc>
          <w:tcPr/>
          <w:p>
            <w:pPr>
              <w:pStyle w:val="Compact"/>
              <w:jc w:val="right"/>
            </w:pPr>
            <w:r>
              <w:t xml:space="preserve">101,96</w:t>
            </w:r>
          </w:p>
        </w:tc>
        <w:tc>
          <w:tcPr/>
          <w:p>
            <w:pPr>
              <w:pStyle w:val="Compact"/>
              <w:jc w:val="right"/>
            </w:pPr>
            <w:r>
              <w:t xml:space="preserve">−9,62</w:t>
            </w:r>
          </w:p>
        </w:tc>
        <w:tc>
          <w:tcPr/>
          <w:p>
            <w:pPr>
              <w:pStyle w:val="Compact"/>
              <w:jc w:val="right"/>
            </w:pPr>
            <w:r>
              <w:t xml:space="preserve">21,65</w:t>
            </w:r>
          </w:p>
        </w:tc>
      </w:tr>
      <w:tr>
        <w:tc>
          <w:tcPr/>
          <w:p>
            <w:pPr>
              <w:pStyle w:val="Compact"/>
              <w:jc w:val="left"/>
            </w:pPr>
            <w:r>
              <w:t xml:space="preserve">CE</w:t>
            </w:r>
          </w:p>
        </w:tc>
        <w:tc>
          <w:tcPr/>
          <w:p>
            <w:pPr>
              <w:pStyle w:val="Compact"/>
              <w:jc w:val="right"/>
            </w:pPr>
            <w:r>
              <w:t xml:space="preserve">196</w:t>
            </w:r>
          </w:p>
        </w:tc>
        <w:tc>
          <w:tcPr/>
          <w:p>
            <w:pPr>
              <w:pStyle w:val="Compact"/>
              <w:jc w:val="right"/>
            </w:pPr>
            <w:r>
              <w:t xml:space="preserve">163,14</w:t>
            </w:r>
          </w:p>
        </w:tc>
        <w:tc>
          <w:tcPr/>
          <w:p>
            <w:pPr>
              <w:pStyle w:val="Compact"/>
              <w:jc w:val="right"/>
            </w:pPr>
            <w:r>
              <w:t xml:space="preserve">8,79</w:t>
            </w:r>
          </w:p>
        </w:tc>
        <w:tc>
          <w:tcPr/>
          <w:p>
            <w:pPr>
              <w:pStyle w:val="Compact"/>
              <w:jc w:val="right"/>
            </w:pPr>
            <w:r>
              <w:t xml:space="preserve">24,07</w:t>
            </w:r>
          </w:p>
        </w:tc>
      </w:tr>
      <w:tr>
        <w:tc>
          <w:tcPr/>
          <w:p>
            <w:pPr>
              <w:pStyle w:val="Compact"/>
              <w:jc w:val="left"/>
            </w:pPr>
            <w:r>
              <w:t xml:space="preserve">MA</w:t>
            </w:r>
          </w:p>
        </w:tc>
        <w:tc>
          <w:tcPr/>
          <w:p>
            <w:pPr>
              <w:pStyle w:val="Compact"/>
              <w:jc w:val="right"/>
            </w:pPr>
            <w:r>
              <w:t xml:space="preserve">52</w:t>
            </w:r>
          </w:p>
        </w:tc>
        <w:tc>
          <w:tcPr/>
          <w:p>
            <w:pPr>
              <w:pStyle w:val="Compact"/>
              <w:jc w:val="right"/>
            </w:pPr>
            <w:r>
              <w:t xml:space="preserve">91,77</w:t>
            </w:r>
          </w:p>
        </w:tc>
        <w:tc>
          <w:tcPr/>
          <w:p>
            <w:pPr>
              <w:pStyle w:val="Compact"/>
              <w:jc w:val="right"/>
            </w:pPr>
            <w:r>
              <w:t xml:space="preserve">−16,52</w:t>
            </w:r>
          </w:p>
        </w:tc>
        <w:tc>
          <w:tcPr/>
          <w:p>
            <w:pPr>
              <w:pStyle w:val="Compact"/>
              <w:jc w:val="right"/>
            </w:pPr>
            <w:r>
              <w:t xml:space="preserve">−23,25</w:t>
            </w:r>
          </w:p>
        </w:tc>
      </w:tr>
      <w:tr>
        <w:tc>
          <w:tcPr/>
          <w:p>
            <w:pPr>
              <w:pStyle w:val="Compact"/>
              <w:jc w:val="left"/>
            </w:pPr>
            <w:r>
              <w:t xml:space="preserve">BA</w:t>
            </w:r>
          </w:p>
        </w:tc>
        <w:tc>
          <w:tcPr/>
          <w:p>
            <w:pPr>
              <w:pStyle w:val="Compact"/>
              <w:jc w:val="right"/>
            </w:pPr>
            <w:r>
              <w:t xml:space="preserve">227</w:t>
            </w:r>
          </w:p>
        </w:tc>
        <w:tc>
          <w:tcPr/>
          <w:p>
            <w:pPr>
              <w:pStyle w:val="Compact"/>
              <w:jc w:val="right"/>
            </w:pPr>
            <w:r>
              <w:t xml:space="preserve">230,44</w:t>
            </w:r>
          </w:p>
        </w:tc>
        <w:tc>
          <w:tcPr/>
          <w:p>
            <w:pPr>
              <w:pStyle w:val="Compact"/>
              <w:jc w:val="right"/>
            </w:pPr>
            <w:r>
              <w:t xml:space="preserve">0,85</w:t>
            </w:r>
          </w:p>
        </w:tc>
        <w:tc>
          <w:tcPr/>
          <w:p>
            <w:pPr>
              <w:pStyle w:val="Compact"/>
              <w:jc w:val="right"/>
            </w:pPr>
            <w:r>
              <w:t xml:space="preserve">−4,29</w:t>
            </w:r>
          </w:p>
        </w:tc>
      </w:tr>
      <w:tr>
        <w:tc>
          <w:tcPr/>
          <w:p>
            <w:pPr>
              <w:pStyle w:val="Compact"/>
              <w:jc w:val="left"/>
            </w:pPr>
            <w:r>
              <w:t xml:space="preserve">PE</w:t>
            </w:r>
          </w:p>
        </w:tc>
        <w:tc>
          <w:tcPr/>
          <w:p>
            <w:pPr>
              <w:pStyle w:val="Compact"/>
              <w:jc w:val="right"/>
            </w:pPr>
            <w:r>
              <w:t xml:space="preserve">190</w:t>
            </w:r>
          </w:p>
        </w:tc>
        <w:tc>
          <w:tcPr/>
          <w:p>
            <w:pPr>
              <w:pStyle w:val="Compact"/>
              <w:jc w:val="right"/>
            </w:pPr>
            <w:r>
              <w:t xml:space="preserve">191,69</w:t>
            </w:r>
          </w:p>
        </w:tc>
        <w:tc>
          <w:tcPr/>
          <w:p>
            <w:pPr>
              <w:pStyle w:val="Compact"/>
              <w:jc w:val="right"/>
            </w:pPr>
            <w:r>
              <w:t xml:space="preserve">16,49</w:t>
            </w:r>
          </w:p>
        </w:tc>
        <w:tc>
          <w:tcPr/>
          <w:p>
            <w:pPr>
              <w:pStyle w:val="Compact"/>
              <w:jc w:val="right"/>
            </w:pPr>
            <w:r>
              <w:t xml:space="preserve">−18,18</w:t>
            </w:r>
          </w:p>
        </w:tc>
      </w:tr>
    </w:tbl>
    <w:p>
      <w:pPr>
        <w:pStyle w:val="BodyText"/>
      </w:pPr>
      <w:r>
        <w:t xml:space="preserve">Fonte: elaboração própria, Equação 1 aplicada às Tabelas 1–3.</w:t>
      </w:r>
    </w:p>
    <w:p>
      <w:pPr>
        <w:pStyle w:val="BodyText"/>
      </w:pPr>
      <w:r>
        <w:t xml:space="preserve">A leitura já revela o problema que motivou toda a literatura subsequente. Piauí e Ceará têm efeitos competitivos positivos e de magnitude parecida (21,65 e 24,07), mas por razões distintas: o Ceará deve seu resultado principalmente à indústria (crescimento setorial de 26,82% contra 17,22% nacional), enquanto o Piauí deve o seu quase inteiramente a serviços (40% contra 29,38% nacional). O componente</w:t>
      </w:r>
      <w:r>
        <w:t xml:space="preserve"> </w:t>
      </w:r>
      <m:oMath>
        <m:r>
          <m:t>C</m:t>
        </m:r>
        <m:sSub>
          <m:e>
            <m:r>
              <m:t>E</m:t>
            </m:r>
          </m:e>
          <m:sub>
            <m:r>
              <m:t>r</m:t>
            </m:r>
          </m:sub>
        </m:sSub>
      </m:oMath>
      <w:r>
        <w:t xml:space="preserve">, por si só, não distingue essas duas histórias — nem informa se o desempenho vem de um setor em que a região é fortemente especializada ou de um setor marginal em sua estrutura. Essa é exatamente a lacuna que Esteban-Marquillas (1972) endereça na Seção 6.</w:t>
      </w:r>
    </w:p>
    <w:bookmarkEnd w:id="14"/>
    <w:bookmarkStart w:id="15" w:name="Xabe3a73347d78e6351b1593c659d1ddae99d18f"/>
    <w:p>
      <w:pPr>
        <w:pStyle w:val="Heading2"/>
      </w:pPr>
      <w:r>
        <w:t xml:space="preserve">5 A CONTROVÉRSIA DOS PESOS: BASE, TERMINAL E MÉDIA</w:t>
      </w:r>
    </w:p>
    <w:p>
      <w:pPr>
        <w:pStyle w:val="FirstParagraph"/>
      </w:pPr>
      <w:r>
        <w:t xml:space="preserve">Fuchs (1959) mostrou que o efeito competitivo é relativamente pouco sensível à escolha do ano de ponderação, mas o efeito de composição setorial é sensível — e propôs a</w:t>
      </w:r>
      <w:r>
        <w:t xml:space="preserve"> </w:t>
      </w:r>
      <w:r>
        <w:rPr>
          <w:b/>
          <w:bCs/>
        </w:rPr>
        <w:t xml:space="preserve">média entre pesos-base e pesos-terminais</w:t>
      </w:r>
      <w:r>
        <w:t xml:space="preserve"> </w:t>
      </w:r>
      <w:r>
        <w:t xml:space="preserve">como correção. Stilwell (1969) propôs o extremo oposto, uma</w:t>
      </w:r>
      <w:r>
        <w:t xml:space="preserve"> </w:t>
      </w:r>
      <w:r>
        <w:t xml:space="preserve">“composição reversa”</w:t>
      </w:r>
      <w:r>
        <w:t xml:space="preserve"> </w:t>
      </w:r>
      <w:r>
        <w:t xml:space="preserve">com pesos exclusivamente terminais, para sinalizar regiões em declínio; Ashby (1970) criticou essa escolha como excessiva, defendendo uma convenção intermediária</w:t>
      </w:r>
      <w:r>
        <w:t xml:space="preserve"> </w:t>
      </w:r>
      <w:r>
        <w:t xml:space="preserve">“cinquenta-cinquenta”</w:t>
      </w:r>
      <w:r>
        <w:t xml:space="preserve">. A escolha do ano de ponderação, portanto, não é uma decisão neutra — é uma escolha teórica sobre qual estrutura produtiva (a de partida ou a de chegada) deve servir de referência para julgar o desempenho da região.</w:t>
      </w:r>
    </w:p>
    <w:p>
      <w:pPr>
        <w:pStyle w:val="BodyText"/>
      </w:pPr>
      <w:r>
        <w:t xml:space="preserve">Para reponderar pelo ano terminal preservando a identidade aditiva, define-se a taxa</w:t>
      </w:r>
      <w:r>
        <w:t xml:space="preserve"> </w:t>
      </w:r>
      <w:r>
        <w:t xml:space="preserve">“reversa”</w:t>
      </w:r>
      <w:r>
        <w:t xml:space="preserve"> </w:t>
      </w:r>
      <m:oMath>
        <m:sSubSup>
          <m:e>
            <m:r>
              <m:t>g</m:t>
            </m:r>
          </m:e>
          <m:sub>
            <m:r>
              <m:t>r</m:t>
            </m:r>
            <m:r>
              <m:t>i</m:t>
            </m:r>
          </m:sub>
          <m:sup>
            <m:r>
              <m:rPr>
                <m:sty m:val="p"/>
              </m:rPr>
              <m:t>′</m:t>
            </m:r>
          </m:sup>
        </m:sSubSup>
        <m:r>
          <m:rPr>
            <m:sty m:val="p"/>
          </m:rPr>
          <m:t>=</m:t>
        </m:r>
        <m:r>
          <m:rPr>
            <m:sty m:val="p"/>
          </m:rPr>
          <m:t>(</m:t>
        </m:r>
        <m:sSub>
          <m:e>
            <m:r>
              <m:t>E</m:t>
            </m:r>
          </m:e>
          <m:sub>
            <m:r>
              <m:t>0</m:t>
            </m:r>
            <m:r>
              <m:rPr>
                <m:sty m:val="p"/>
              </m:rPr>
              <m:t>,</m:t>
            </m:r>
            <m:r>
              <m:t>r</m:t>
            </m:r>
            <m:r>
              <m:t>i</m:t>
            </m:r>
          </m:sub>
        </m:sSub>
        <m:r>
          <m:rPr>
            <m:sty m:val="p"/>
          </m:rPr>
          <m:t>−</m:t>
        </m:r>
        <m:sSub>
          <m:e>
            <m:r>
              <m:t>E</m:t>
            </m:r>
          </m:e>
          <m:sub>
            <m:r>
              <m:t>1</m:t>
            </m:r>
            <m:r>
              <m:rPr>
                <m:sty m:val="p"/>
              </m:rPr>
              <m:t>,</m:t>
            </m:r>
            <m:r>
              <m:t>r</m:t>
            </m:r>
            <m:r>
              <m:t>i</m:t>
            </m:r>
          </m:sub>
        </m:sSub>
        <m:r>
          <m:rPr>
            <m:sty m:val="p"/>
          </m:rPr>
          <m:t>)</m:t>
        </m:r>
        <m:r>
          <m:rPr>
            <m:sty m:val="p"/>
          </m:rPr>
          <m:t>/</m:t>
        </m:r>
        <m:sSub>
          <m:e>
            <m:r>
              <m:t>E</m:t>
            </m:r>
          </m:e>
          <m:sub>
            <m:r>
              <m:t>1</m:t>
            </m:r>
            <m:r>
              <m:rPr>
                <m:sty m:val="p"/>
              </m:rPr>
              <m:t>,</m:t>
            </m:r>
            <m:r>
              <m:t>r</m:t>
            </m:r>
            <m:r>
              <m:t>i</m:t>
            </m:r>
          </m:sub>
        </m:sSub>
      </m:oMath>
      <w:r>
        <w:t xml:space="preserve"> </w:t>
      </w:r>
      <w:r>
        <w:t xml:space="preserve">— o crescimento de</w:t>
      </w:r>
      <w:r>
        <w:t xml:space="preserve"> </w:t>
      </w:r>
      <m:oMath>
        <m:sSub>
          <m:e>
            <m:r>
              <m:t>t</m:t>
            </m:r>
          </m:e>
          <m:sub>
            <m:r>
              <m:t>1</m:t>
            </m:r>
          </m:sub>
        </m:sSub>
      </m:oMath>
      <w:r>
        <w:t xml:space="preserve"> </w:t>
      </w:r>
      <w:r>
        <w:t xml:space="preserve">para</w:t>
      </w:r>
      <w:r>
        <w:t xml:space="preserve"> </w:t>
      </w:r>
      <m:oMath>
        <m:sSub>
          <m:e>
            <m:r>
              <m:t>t</m:t>
            </m:r>
          </m:e>
          <m:sub>
            <m:r>
              <m:t>0</m:t>
            </m:r>
          </m:sub>
        </m:sSub>
      </m:oMath>
      <w:r>
        <w:t xml:space="preserve"> </w:t>
      </w:r>
      <w:r>
        <w:t xml:space="preserve">— e repete-se a Equação 1 usando</w:t>
      </w:r>
      <w:r>
        <w:t xml:space="preserve"> </w:t>
      </w:r>
      <m:oMath>
        <m:sSub>
          <m:e>
            <m:r>
              <m:t>E</m:t>
            </m:r>
          </m:e>
          <m:sub>
            <m:r>
              <m:t>1</m:t>
            </m:r>
            <m:r>
              <m:rPr>
                <m:sty m:val="p"/>
              </m:rPr>
              <m:t>,</m:t>
            </m:r>
            <m:r>
              <m:t>r</m:t>
            </m:r>
            <m:r>
              <m:t>i</m:t>
            </m:r>
          </m:sub>
        </m:sSub>
      </m:oMath>
      <w:r>
        <w:t xml:space="preserve"> </w:t>
      </w:r>
      <w:r>
        <w:t xml:space="preserve">como peso e</w:t>
      </w:r>
      <w:r>
        <w:t xml:space="preserve"> </w:t>
      </w:r>
      <m:oMath>
        <m:sSup>
          <m:e>
            <m:r>
              <m:t>g</m:t>
            </m:r>
          </m:e>
          <m:sup>
            <m:r>
              <m:rPr>
                <m:sty m:val="p"/>
              </m:rPr>
              <m:t>′</m:t>
            </m:r>
          </m:sup>
        </m:sSup>
      </m:oMath>
      <w:r>
        <w:t xml:space="preserve"> </w:t>
      </w:r>
      <w:r>
        <w:t xml:space="preserve">no lugar de</w:t>
      </w:r>
      <w:r>
        <w:t xml:space="preserve"> </w:t>
      </w:r>
      <m:oMath>
        <m:r>
          <m:t>g</m:t>
        </m:r>
      </m:oMath>
      <w:r>
        <w:t xml:space="preserve">:</w:t>
      </w:r>
    </w:p>
    <w:p>
      <w:pPr>
        <w:pStyle w:val="BodyText"/>
      </w:pPr>
      <m:oMathPara>
        <m:oMathParaPr>
          <m:jc m:val="center"/>
        </m:oMathParaPr>
        <m:oMath>
          <m:sSub>
            <m:e>
              <m:r>
                <m:t>E</m:t>
              </m:r>
            </m:e>
            <m:sub>
              <m:r>
                <m:t>0</m:t>
              </m:r>
              <m:r>
                <m:rPr>
                  <m:sty m:val="p"/>
                </m:rPr>
                <m:t>,</m:t>
              </m:r>
              <m:r>
                <m:t>r</m:t>
              </m:r>
              <m:r>
                <m:t>i</m:t>
              </m:r>
            </m:sub>
          </m:sSub>
          <m:r>
            <m:rPr>
              <m:sty m:val="p"/>
            </m:rPr>
            <m:t>−</m:t>
          </m:r>
          <m:sSub>
            <m:e>
              <m:r>
                <m:t>E</m:t>
              </m:r>
            </m:e>
            <m:sub>
              <m:r>
                <m:t>1</m:t>
              </m:r>
              <m:r>
                <m:rPr>
                  <m:sty m:val="p"/>
                </m:rPr>
                <m:t>,</m:t>
              </m:r>
              <m:r>
                <m:t>r</m:t>
              </m:r>
              <m:r>
                <m:t>i</m:t>
              </m:r>
            </m:sub>
          </m:sSub>
          <m:r>
            <m:rPr>
              <m:sty m:val="p"/>
            </m:rPr>
            <m:t>=</m:t>
          </m:r>
          <m:sSub>
            <m:e>
              <m:r>
                <m:t>E</m:t>
              </m:r>
            </m:e>
            <m:sub>
              <m:r>
                <m:t>1</m:t>
              </m:r>
              <m:r>
                <m:rPr>
                  <m:sty m:val="p"/>
                </m:rPr>
                <m:t>,</m:t>
              </m:r>
              <m:r>
                <m:t>r</m:t>
              </m:r>
              <m:r>
                <m:t>i</m:t>
              </m:r>
            </m:sub>
          </m:sSub>
          <m:r>
            <m:t> </m:t>
          </m:r>
          <m:sSubSup>
            <m:e>
              <m:r>
                <m:t>g</m:t>
              </m:r>
            </m:e>
            <m:sub>
              <m:r>
                <m:t>n</m:t>
              </m:r>
            </m:sub>
            <m:sup>
              <m:r>
                <m:rPr>
                  <m:sty m:val="p"/>
                </m:rPr>
                <m:t>′</m:t>
              </m:r>
            </m:sup>
          </m:sSubSup>
          <m:r>
            <m:rPr>
              <m:sty m:val="p"/>
            </m:rPr>
            <m:t>+</m:t>
          </m:r>
          <m:sSub>
            <m:e>
              <m:r>
                <m:t>E</m:t>
              </m:r>
            </m:e>
            <m:sub>
              <m:r>
                <m:t>1</m:t>
              </m:r>
              <m:r>
                <m:rPr>
                  <m:sty m:val="p"/>
                </m:rPr>
                <m:t>,</m:t>
              </m:r>
              <m:r>
                <m:t>r</m:t>
              </m:r>
              <m:r>
                <m:t>i</m:t>
              </m:r>
            </m:sub>
          </m:sSub>
          <m:r>
            <m:t> </m:t>
          </m:r>
          <m:r>
            <m:rPr>
              <m:sty m:val="p"/>
            </m:rPr>
            <m:t>(</m:t>
          </m:r>
          <m:sSubSup>
            <m:e>
              <m:r>
                <m:t>g</m:t>
              </m:r>
            </m:e>
            <m:sub>
              <m:r>
                <m:t>n</m:t>
              </m:r>
              <m:r>
                <m:t>i</m:t>
              </m:r>
            </m:sub>
            <m:sup>
              <m:r>
                <m:rPr>
                  <m:sty m:val="p"/>
                </m:rPr>
                <m:t>′</m:t>
              </m:r>
            </m:sup>
          </m:sSubSup>
          <m:r>
            <m:rPr>
              <m:sty m:val="p"/>
            </m:rPr>
            <m:t>−</m:t>
          </m:r>
          <m:sSubSup>
            <m:e>
              <m:r>
                <m:t>g</m:t>
              </m:r>
            </m:e>
            <m:sub>
              <m:r>
                <m:t>n</m:t>
              </m:r>
            </m:sub>
            <m:sup>
              <m:r>
                <m:rPr>
                  <m:sty m:val="p"/>
                </m:rPr>
                <m:t>′</m:t>
              </m:r>
            </m:sup>
          </m:sSubSup>
          <m:r>
            <m:rPr>
              <m:sty m:val="p"/>
            </m:rPr>
            <m:t>)</m:t>
          </m:r>
          <m:r>
            <m:rPr>
              <m:sty m:val="p"/>
            </m:rPr>
            <m:t>+</m:t>
          </m:r>
          <m:sSub>
            <m:e>
              <m:r>
                <m:t>E</m:t>
              </m:r>
            </m:e>
            <m:sub>
              <m:r>
                <m:t>1</m:t>
              </m:r>
              <m:r>
                <m:rPr>
                  <m:sty m:val="p"/>
                </m:rPr>
                <m:t>,</m:t>
              </m:r>
              <m:r>
                <m:t>r</m:t>
              </m:r>
              <m:r>
                <m:t>i</m:t>
              </m:r>
            </m:sub>
          </m:sSub>
          <m:r>
            <m:t> </m:t>
          </m:r>
          <m:r>
            <m:rPr>
              <m:sty m:val="p"/>
            </m:rPr>
            <m:t>(</m:t>
          </m:r>
          <m:sSubSup>
            <m:e>
              <m:r>
                <m:t>g</m:t>
              </m:r>
            </m:e>
            <m:sub>
              <m:r>
                <m:t>r</m:t>
              </m:r>
              <m:r>
                <m:t>i</m:t>
              </m:r>
            </m:sub>
            <m:sup>
              <m:r>
                <m:rPr>
                  <m:sty m:val="p"/>
                </m:rPr>
                <m:t>′</m:t>
              </m:r>
            </m:sup>
          </m:sSubSup>
          <m:r>
            <m:rPr>
              <m:sty m:val="p"/>
            </m:rPr>
            <m:t>−</m:t>
          </m:r>
          <m:sSubSup>
            <m:e>
              <m:r>
                <m:t>g</m:t>
              </m:r>
            </m:e>
            <m:sub>
              <m:r>
                <m:t>n</m:t>
              </m:r>
              <m:r>
                <m:t>i</m:t>
              </m:r>
            </m:sub>
            <m:sup>
              <m:r>
                <m:rPr>
                  <m:sty m:val="p"/>
                </m:rPr>
                <m:t>′</m:t>
              </m:r>
            </m:sup>
          </m:sSubSup>
          <m:r>
            <m:rPr>
              <m:sty m:val="p"/>
            </m:rPr>
            <m:t>)</m:t>
          </m:r>
        </m:oMath>
      </m:oMathPara>
    </w:p>
    <w:p>
      <w:pPr>
        <w:pStyle w:val="FirstParagraph"/>
      </w:pPr>
      <w:r>
        <w:t xml:space="preserve">Como o lado esquerdo da Equação 2 é</w:t>
      </w:r>
      <w:r>
        <w:t xml:space="preserve"> </w:t>
      </w:r>
      <m:oMath>
        <m:r>
          <m:rPr>
            <m:sty m:val="p"/>
          </m:rPr>
          <m:t>−</m:t>
        </m:r>
        <m:r>
          <m:rPr>
            <m:sty m:val="p"/>
          </m:rPr>
          <m:t>Δ</m:t>
        </m:r>
        <m:sSub>
          <m:e>
            <m:r>
              <m:t>E</m:t>
            </m:r>
          </m:e>
          <m:sub>
            <m:r>
              <m:t>r</m:t>
            </m:r>
            <m:r>
              <m:t>i</m:t>
            </m:r>
          </m:sub>
        </m:sSub>
      </m:oMath>
      <w:r>
        <w:t xml:space="preserve">, basta inverter o sinal de cada componente para obter a decomposição terminal na mesma unidade da Equação 1. A Tabela 5 compara o efeito competitivo sob pesos-base (Equação 1) e sob pesos-terminais (Equação 2, sinal invertido).</w:t>
      </w:r>
    </w:p>
    <w:p>
      <w:pPr>
        <w:pStyle w:val="BodyText"/>
      </w:pPr>
      <w:r>
        <w:rPr>
          <w:b/>
          <w:bCs/>
        </w:rPr>
        <w:t xml:space="preserve">Tabela 5 — Sensibilidade do efeito competitivo à escolha do ano de ponderação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Região</w:t>
            </w:r>
          </w:p>
        </w:tc>
        <w:tc>
          <w:tcPr/>
          <w:p>
            <w:pPr>
              <w:pStyle w:val="Compact"/>
              <w:jc w:val="right"/>
            </w:pPr>
            <m:oMath>
              <m:r>
                <m:t>C</m:t>
              </m:r>
              <m:sSub>
                <m:e>
                  <m:r>
                    <m:t>E</m:t>
                  </m:r>
                </m:e>
                <m:sub>
                  <m:r>
                    <m:t>r</m:t>
                  </m:r>
                </m:sub>
              </m:sSub>
            </m:oMath>
            <w:r>
              <w:t xml:space="preserve"> </w:t>
            </w:r>
            <w:r>
              <w:t xml:space="preserve">(peso-base)</w:t>
            </w:r>
          </w:p>
        </w:tc>
        <w:tc>
          <w:tcPr/>
          <w:p>
            <w:pPr>
              <w:pStyle w:val="Compact"/>
              <w:jc w:val="right"/>
            </w:pPr>
            <m:oMath>
              <m:r>
                <m:t>C</m:t>
              </m:r>
              <m:sSub>
                <m:e>
                  <m:r>
                    <m:t>E</m:t>
                  </m:r>
                </m:e>
                <m:sub>
                  <m:r>
                    <m:t>r</m:t>
                  </m:r>
                </m:sub>
              </m:sSub>
            </m:oMath>
            <w:r>
              <w:t xml:space="preserve"> </w:t>
            </w:r>
            <w:r>
              <w:t xml:space="preserve">(peso-terminal)</w:t>
            </w:r>
          </w:p>
        </w:tc>
        <w:tc>
          <w:tcPr/>
          <w:p>
            <w:pPr>
              <w:pStyle w:val="Compact"/>
              <w:jc w:val="right"/>
            </w:pPr>
            <w:r>
              <w:t xml:space="preserve">Diferença</w:t>
            </w:r>
          </w:p>
        </w:tc>
      </w:tr>
      <w:tr>
        <w:tc>
          <w:tcPr/>
          <w:p>
            <w:pPr>
              <w:pStyle w:val="Compact"/>
              <w:jc w:val="left"/>
            </w:pPr>
            <w:r>
              <w:t xml:space="preserve">PI</w:t>
            </w:r>
          </w:p>
        </w:tc>
        <w:tc>
          <w:tcPr/>
          <w:p>
            <w:pPr>
              <w:pStyle w:val="Compact"/>
              <w:jc w:val="right"/>
            </w:pPr>
            <w:r>
              <w:t xml:space="preserve">21,65</w:t>
            </w:r>
          </w:p>
        </w:tc>
        <w:tc>
          <w:tcPr/>
          <w:p>
            <w:pPr>
              <w:pStyle w:val="Compact"/>
              <w:jc w:val="right"/>
            </w:pPr>
            <w:r>
              <w:t xml:space="preserve">16,48</w:t>
            </w:r>
          </w:p>
        </w:tc>
        <w:tc>
          <w:tcPr/>
          <w:p>
            <w:pPr>
              <w:pStyle w:val="Compact"/>
              <w:jc w:val="right"/>
            </w:pPr>
            <w:r>
              <w:t xml:space="preserve">−5,17</w:t>
            </w:r>
          </w:p>
        </w:tc>
      </w:tr>
      <w:tr>
        <w:tc>
          <w:tcPr/>
          <w:p>
            <w:pPr>
              <w:pStyle w:val="Compact"/>
              <w:jc w:val="left"/>
            </w:pPr>
            <w:r>
              <w:t xml:space="preserve">CE</w:t>
            </w:r>
          </w:p>
        </w:tc>
        <w:tc>
          <w:tcPr/>
          <w:p>
            <w:pPr>
              <w:pStyle w:val="Compact"/>
              <w:jc w:val="right"/>
            </w:pPr>
            <w:r>
              <w:t xml:space="preserve">24,07</w:t>
            </w:r>
          </w:p>
        </w:tc>
        <w:tc>
          <w:tcPr/>
          <w:p>
            <w:pPr>
              <w:pStyle w:val="Compact"/>
              <w:jc w:val="right"/>
            </w:pPr>
            <w:r>
              <w:t xml:space="preserve">20,34</w:t>
            </w:r>
          </w:p>
        </w:tc>
        <w:tc>
          <w:tcPr/>
          <w:p>
            <w:pPr>
              <w:pStyle w:val="Compact"/>
              <w:jc w:val="right"/>
            </w:pPr>
            <w:r>
              <w:t xml:space="preserve">−3,73</w:t>
            </w:r>
          </w:p>
        </w:tc>
      </w:tr>
      <w:tr>
        <w:tc>
          <w:tcPr/>
          <w:p>
            <w:pPr>
              <w:pStyle w:val="Compact"/>
              <w:jc w:val="left"/>
            </w:pPr>
            <w:r>
              <w:t xml:space="preserve">MA</w:t>
            </w:r>
          </w:p>
        </w:tc>
        <w:tc>
          <w:tcPr/>
          <w:p>
            <w:pPr>
              <w:pStyle w:val="Compact"/>
              <w:jc w:val="right"/>
            </w:pPr>
            <w:r>
              <w:t xml:space="preserve">−23,25</w:t>
            </w:r>
          </w:p>
        </w:tc>
        <w:tc>
          <w:tcPr/>
          <w:p>
            <w:pPr>
              <w:pStyle w:val="Compact"/>
              <w:jc w:val="right"/>
            </w:pPr>
            <w:r>
              <w:t xml:space="preserve">−20,21</w:t>
            </w:r>
          </w:p>
        </w:tc>
        <w:tc>
          <w:tcPr/>
          <w:p>
            <w:pPr>
              <w:pStyle w:val="Compact"/>
              <w:jc w:val="right"/>
            </w:pPr>
            <w:r>
              <w:t xml:space="preserve">3,04</w:t>
            </w:r>
          </w:p>
        </w:tc>
      </w:tr>
      <w:tr>
        <w:tc>
          <w:tcPr/>
          <w:p>
            <w:pPr>
              <w:pStyle w:val="Compact"/>
              <w:jc w:val="left"/>
            </w:pPr>
            <w:r>
              <w:t xml:space="preserve">BA</w:t>
            </w:r>
          </w:p>
        </w:tc>
        <w:tc>
          <w:tcPr/>
          <w:p>
            <w:pPr>
              <w:pStyle w:val="Compact"/>
              <w:jc w:val="right"/>
            </w:pPr>
            <w:r>
              <w:t xml:space="preserve">−4,29</w:t>
            </w:r>
          </w:p>
        </w:tc>
        <w:tc>
          <w:tcPr/>
          <w:p>
            <w:pPr>
              <w:pStyle w:val="Compact"/>
              <w:jc w:val="right"/>
            </w:pPr>
            <w:r>
              <w:t xml:space="preserve">−3,98</w:t>
            </w:r>
          </w:p>
        </w:tc>
        <w:tc>
          <w:tcPr/>
          <w:p>
            <w:pPr>
              <w:pStyle w:val="Compact"/>
              <w:jc w:val="right"/>
            </w:pPr>
            <w:r>
              <w:t xml:space="preserve">0,31</w:t>
            </w:r>
          </w:p>
        </w:tc>
      </w:tr>
      <w:tr>
        <w:tc>
          <w:tcPr/>
          <w:p>
            <w:pPr>
              <w:pStyle w:val="Compact"/>
              <w:jc w:val="left"/>
            </w:pPr>
            <w:r>
              <w:t xml:space="preserve">PE</w:t>
            </w:r>
          </w:p>
        </w:tc>
        <w:tc>
          <w:tcPr/>
          <w:p>
            <w:pPr>
              <w:pStyle w:val="Compact"/>
              <w:jc w:val="right"/>
            </w:pPr>
            <w:r>
              <w:t xml:space="preserve">−18,18</w:t>
            </w:r>
          </w:p>
        </w:tc>
        <w:tc>
          <w:tcPr/>
          <w:p>
            <w:pPr>
              <w:pStyle w:val="Compact"/>
              <w:jc w:val="right"/>
            </w:pPr>
            <w:r>
              <w:t xml:space="preserve">−12,63</w:t>
            </w:r>
          </w:p>
        </w:tc>
        <w:tc>
          <w:tcPr/>
          <w:p>
            <w:pPr>
              <w:pStyle w:val="Compact"/>
              <w:jc w:val="right"/>
            </w:pPr>
            <w:r>
              <w:t xml:space="preserve">5,55</w:t>
            </w:r>
          </w:p>
        </w:tc>
      </w:tr>
    </w:tbl>
    <w:p>
      <w:pPr>
        <w:pStyle w:val="BodyText"/>
      </w:pPr>
      <w:r>
        <w:t xml:space="preserve">Fonte: elaboração própria, Equações 1 e 2.</w:t>
      </w:r>
    </w:p>
    <w:p>
      <w:pPr>
        <w:pStyle w:val="BodyText"/>
      </w:pPr>
      <w:r>
        <w:t xml:space="preserve">O efeito competitivo muda de magnitude, mas não de sinal, em todas as cinco regiões deste exemplo — confirmando, nesta escala reduzida, o achado de Fuchs (1959) de relativa estabilidade de sinal do componente competitivo clássico. O mesmo não ocorrerá com o efeito de alocação de Esteban-Marquillas, como mostra a Seção 6.3 adiante — e é justamente essa diferença de comportamento sob reponderação que torna a crítica de Herzog e Olsen (1977) empiricamente relevante.</w:t>
      </w:r>
    </w:p>
    <w:bookmarkEnd w:id="15"/>
    <w:bookmarkStart w:id="19" w:name="Xa5431e56b6af97d2d52e1bb60d8821d0a3ff717"/>
    <w:p>
      <w:pPr>
        <w:pStyle w:val="Heading2"/>
      </w:pPr>
      <w:r>
        <w:t xml:space="preserve">6 A REFORMULAÇÃO HOMOTÉTICA: ESTEBAN-MARQUILLAS (1972)</w:t>
      </w:r>
    </w:p>
    <w:bookmarkStart w:id="16" w:name="justificativa"/>
    <w:p>
      <w:pPr>
        <w:pStyle w:val="Heading3"/>
      </w:pPr>
      <w:r>
        <w:t xml:space="preserve">6.1 Justificativa</w:t>
      </w:r>
    </w:p>
    <w:p>
      <w:pPr>
        <w:pStyle w:val="FirstParagraph"/>
      </w:pPr>
      <w:r>
        <w:t xml:space="preserve">Esteban-Marquillas (1972) demonstrou formalmente o problema já apontado por Rosenfeld (1959): como</w:t>
      </w:r>
      <w:r>
        <w:t xml:space="preserve"> </w:t>
      </w:r>
      <m:oMath>
        <m:r>
          <m:t>C</m:t>
        </m:r>
        <m:sSub>
          <m:e>
            <m:r>
              <m:t>E</m:t>
            </m:r>
          </m:e>
          <m:sub>
            <m:r>
              <m:t>r</m:t>
            </m:r>
            <m:r>
              <m:t>i</m:t>
            </m:r>
          </m:sub>
        </m:sSub>
      </m:oMath>
      <w:r>
        <w:t xml:space="preserve"> </w:t>
      </w:r>
      <w:r>
        <w:t xml:space="preserve">na Equação 1 é ponderado pelo emprego efetivamente observado</w:t>
      </w:r>
      <w:r>
        <w:t xml:space="preserve"> </w:t>
      </w:r>
      <m:oMath>
        <m:sSub>
          <m:e>
            <m:r>
              <m:t>E</m:t>
            </m:r>
          </m:e>
          <m:sub>
            <m:r>
              <m:t>0</m:t>
            </m:r>
            <m:r>
              <m:rPr>
                <m:sty m:val="p"/>
              </m:rPr>
              <m:t>,</m:t>
            </m:r>
            <m:r>
              <m:t>r</m:t>
            </m:r>
            <m:r>
              <m:t>i</m:t>
            </m:r>
          </m:sub>
        </m:sSub>
      </m:oMath>
      <w:r>
        <w:t xml:space="preserve">, duas regiões com a mesma taxa diferencial</w:t>
      </w:r>
      <w:r>
        <w:t xml:space="preserve"> </w:t>
      </w:r>
      <m:oMath>
        <m:r>
          <m:rPr>
            <m:sty m:val="p"/>
          </m:rPr>
          <m:t>(</m:t>
        </m:r>
        <m:sSub>
          <m:e>
            <m:r>
              <m:t>g</m:t>
            </m:r>
          </m:e>
          <m:sub>
            <m:r>
              <m:t>r</m:t>
            </m:r>
            <m:r>
              <m:t>i</m:t>
            </m:r>
          </m:sub>
        </m:sSub>
        <m:r>
          <m:rPr>
            <m:sty m:val="p"/>
          </m:rPr>
          <m:t>−</m:t>
        </m:r>
        <m:sSub>
          <m:e>
            <m:r>
              <m:t>g</m:t>
            </m:r>
          </m:e>
          <m:sub>
            <m:r>
              <m:t>n</m:t>
            </m:r>
            <m:r>
              <m:t>i</m:t>
            </m:r>
          </m:sub>
        </m:sSub>
        <m:r>
          <m:rPr>
            <m:sty m:val="p"/>
          </m:rPr>
          <m:t>)</m:t>
        </m:r>
      </m:oMath>
      <w:r>
        <w:t xml:space="preserve"> </w:t>
      </w:r>
      <w:r>
        <w:t xml:space="preserve">recebem efeitos competitivos absolutos diferentes apenas porque uma delas tem mais peso naquele setor — o componente mistura, portanto,</w:t>
      </w:r>
      <w:r>
        <w:t xml:space="preserve"> </w:t>
      </w:r>
      <w:r>
        <w:t xml:space="preserve">“quanto a região é competitiva”</w:t>
      </w:r>
      <w:r>
        <w:t xml:space="preserve"> </w:t>
      </w:r>
      <w:r>
        <w:t xml:space="preserve">com</w:t>
      </w:r>
      <w:r>
        <w:t xml:space="preserve"> </w:t>
      </w:r>
      <w:r>
        <w:t xml:space="preserve">“quanto emprego ela tem para multiplicar essa competitividade”</w:t>
      </w:r>
      <w:r>
        <w:t xml:space="preserve">. A solução proposta foi substituir o peso observado por um peso contrafactual: o emprego que a região</w:t>
      </w:r>
      <w:r>
        <w:t xml:space="preserve"> </w:t>
      </w:r>
      <w:r>
        <w:rPr>
          <w:i/>
          <w:iCs/>
        </w:rPr>
        <w:t xml:space="preserve">teria</w:t>
      </w:r>
      <w:r>
        <w:t xml:space="preserve"> </w:t>
      </w:r>
      <w:r>
        <w:t xml:space="preserve">no setor se sua estrutura produtiva reproduzisse exatamente as participações setoriais nacionais.</w:t>
      </w:r>
    </w:p>
    <w:bookmarkEnd w:id="16"/>
    <w:bookmarkStart w:id="17" w:name="formalização"/>
    <w:p>
      <w:pPr>
        <w:pStyle w:val="Heading3"/>
      </w:pPr>
      <w:r>
        <w:t xml:space="preserve">6.2 Formalização</w:t>
      </w:r>
    </w:p>
    <w:p>
      <w:pPr>
        <w:pStyle w:val="FirstParagraph"/>
      </w:pPr>
      <w:r>
        <w:t xml:space="preserve">Define-se o</w:t>
      </w:r>
      <w:r>
        <w:t xml:space="preserve"> </w:t>
      </w:r>
      <w:r>
        <w:rPr>
          <w:b/>
          <w:bCs/>
        </w:rPr>
        <w:t xml:space="preserve">emprego homotético</w:t>
      </w:r>
      <w:r>
        <w:t xml:space="preserve">:</w:t>
      </w:r>
    </w:p>
    <w:p>
      <w:pPr>
        <w:pStyle w:val="BodyText"/>
      </w:pPr>
      <m:oMathPara>
        <m:oMathParaPr>
          <m:jc m:val="center"/>
        </m:oMathParaPr>
        <m:oMath>
          <m:sSubSup>
            <m:e>
              <m:r>
                <m:t>E</m:t>
              </m:r>
            </m:e>
            <m:sub>
              <m:r>
                <m:t>r</m:t>
              </m:r>
              <m:r>
                <m:t>i</m:t>
              </m:r>
            </m:sub>
            <m:sup>
              <m:r>
                <m:rPr>
                  <m:sty m:val="p"/>
                </m:rPr>
                <m:t>*</m:t>
              </m:r>
            </m:sup>
          </m:sSubSup>
          <m:r>
            <m:rPr>
              <m:sty m:val="p"/>
            </m:rPr>
            <m:t>=</m:t>
          </m:r>
          <m:sSub>
            <m:e>
              <m:r>
                <m:t>E</m:t>
              </m:r>
            </m:e>
            <m:sub>
              <m:r>
                <m:t>0</m:t>
              </m:r>
              <m:r>
                <m:rPr>
                  <m:sty m:val="p"/>
                </m:rPr>
                <m:t>,</m:t>
              </m:r>
              <m:r>
                <m:t>r</m:t>
              </m:r>
              <m:r>
                <m:rPr>
                  <m:sty m:val="p"/>
                </m:rPr>
                <m:t>•</m:t>
              </m:r>
            </m:sub>
          </m:sSub>
          <m:d>
            <m:dPr>
              <m:begChr m:val="("/>
              <m:sepChr m:val=""/>
              <m:endChr m:val=")"/>
              <m:grow/>
            </m:dPr>
            <m:e>
              <m:f>
                <m:fPr>
                  <m:type m:val="bar"/>
                </m:fPr>
                <m:num>
                  <m:sSub>
                    <m:e>
                      <m:r>
                        <m:t>E</m:t>
                      </m:r>
                    </m:e>
                    <m:sub>
                      <m:r>
                        <m:t>0</m:t>
                      </m:r>
                      <m:r>
                        <m:rPr>
                          <m:sty m:val="p"/>
                        </m:rPr>
                        <m:t>,</m:t>
                      </m:r>
                      <m:r>
                        <m:rPr>
                          <m:sty m:val="p"/>
                        </m:rPr>
                        <m:t>•</m:t>
                      </m:r>
                      <m:r>
                        <m:t>i</m:t>
                      </m:r>
                    </m:sub>
                  </m:sSub>
                </m:num>
                <m:den>
                  <m:sSub>
                    <m:e>
                      <m:r>
                        <m:t>E</m:t>
                      </m:r>
                    </m:e>
                    <m:sub>
                      <m:r>
                        <m:t>0</m:t>
                      </m:r>
                      <m:r>
                        <m:rPr>
                          <m:sty m:val="p"/>
                        </m:rPr>
                        <m:t>,</m:t>
                      </m:r>
                      <m:r>
                        <m:rPr>
                          <m:sty m:val="p"/>
                        </m:rPr>
                        <m:t>•</m:t>
                      </m:r>
                      <m:r>
                        <m:rPr>
                          <m:sty m:val="p"/>
                        </m:rPr>
                        <m:t>•</m:t>
                      </m:r>
                    </m:sub>
                  </m:sSub>
                </m:den>
              </m:f>
            </m:e>
          </m:d>
        </m:oMath>
      </m:oMathPara>
    </w:p>
    <w:p>
      <w:pPr>
        <w:pStyle w:val="FirstParagraph"/>
      </w:pPr>
      <w:r>
        <w:t xml:space="preserve">em que</w:t>
      </w:r>
      <w:r>
        <w:t xml:space="preserve"> </w:t>
      </w:r>
      <m:oMath>
        <m:sSub>
          <m:e>
            <m:r>
              <m:t>E</m:t>
            </m:r>
          </m:e>
          <m:sub>
            <m:r>
              <m:t>0</m:t>
            </m:r>
            <m:r>
              <m:rPr>
                <m:sty m:val="p"/>
              </m:rPr>
              <m:t>,</m:t>
            </m:r>
            <m:r>
              <m:t>r</m:t>
            </m:r>
            <m:r>
              <m:rPr>
                <m:sty m:val="p"/>
              </m:rPr>
              <m:t>•</m:t>
            </m:r>
          </m:sub>
        </m:sSub>
        <m:r>
          <m:rPr>
            <m:sty m:val="p"/>
          </m:rPr>
          <m:t>=</m:t>
        </m:r>
        <m:nary>
          <m:naryPr>
            <m:chr m:val="∑"/>
            <m:limLoc m:val="undOvr"/>
            <m:subHide m:val="off"/>
            <m:supHide m:val="on"/>
          </m:naryPr>
          <m:sub>
            <m:r>
              <m:t>i</m:t>
            </m:r>
          </m:sub>
          <m:sup>
            <m:r>
              <m:t>​</m:t>
            </m:r>
          </m:sup>
          <m:e>
            <m:sSub>
              <m:e>
                <m:r>
                  <m:t>E</m:t>
                </m:r>
              </m:e>
              <m:sub>
                <m:r>
                  <m:t>0</m:t>
                </m:r>
                <m:r>
                  <m:rPr>
                    <m:sty m:val="p"/>
                  </m:rPr>
                  <m:t>,</m:t>
                </m:r>
                <m:r>
                  <m:t>r</m:t>
                </m:r>
                <m:r>
                  <m:t>i</m:t>
                </m:r>
              </m:sub>
            </m:sSub>
          </m:e>
        </m:nary>
      </m:oMath>
      <w:r>
        <w:t xml:space="preserve"> </w:t>
      </w:r>
      <w:r>
        <w:t xml:space="preserve">é o total regional,</w:t>
      </w:r>
      <w:r>
        <w:t xml:space="preserve"> </w:t>
      </w:r>
      <m:oMath>
        <m:sSub>
          <m:e>
            <m:r>
              <m:t>E</m:t>
            </m:r>
          </m:e>
          <m:sub>
            <m:r>
              <m:t>0</m:t>
            </m:r>
            <m:r>
              <m:rPr>
                <m:sty m:val="p"/>
              </m:rPr>
              <m:t>,</m:t>
            </m:r>
            <m:r>
              <m:rPr>
                <m:sty m:val="p"/>
              </m:rPr>
              <m:t>•</m:t>
            </m:r>
            <m:r>
              <m:t>i</m:t>
            </m:r>
          </m:sub>
        </m:sSub>
        <m:r>
          <m:rPr>
            <m:sty m:val="p"/>
          </m:rPr>
          <m:t>=</m:t>
        </m:r>
        <m:nary>
          <m:naryPr>
            <m:chr m:val="∑"/>
            <m:limLoc m:val="undOvr"/>
            <m:subHide m:val="off"/>
            <m:supHide m:val="on"/>
          </m:naryPr>
          <m:sub>
            <m:r>
              <m:t>r</m:t>
            </m:r>
          </m:sub>
          <m:sup>
            <m:r>
              <m:t>​</m:t>
            </m:r>
          </m:sup>
          <m:e>
            <m:sSub>
              <m:e>
                <m:r>
                  <m:t>E</m:t>
                </m:r>
              </m:e>
              <m:sub>
                <m:r>
                  <m:t>0</m:t>
                </m:r>
                <m:r>
                  <m:rPr>
                    <m:sty m:val="p"/>
                  </m:rPr>
                  <m:t>,</m:t>
                </m:r>
                <m:r>
                  <m:t>r</m:t>
                </m:r>
                <m:r>
                  <m:t>i</m:t>
                </m:r>
              </m:sub>
            </m:sSub>
          </m:e>
        </m:nary>
      </m:oMath>
      <w:r>
        <w:t xml:space="preserve"> </w:t>
      </w:r>
      <w:r>
        <w:t xml:space="preserve">é o total nacional do setor</w:t>
      </w:r>
      <w:r>
        <w:t xml:space="preserve"> </w:t>
      </w:r>
      <w:r>
        <w:rPr>
          <w:i/>
          <w:iCs/>
        </w:rPr>
        <w:t xml:space="preserve">i</w:t>
      </w:r>
      <w:r>
        <w:t xml:space="preserve"> </w:t>
      </w:r>
      <w:r>
        <w:t xml:space="preserve">e</w:t>
      </w:r>
      <w:r>
        <w:t xml:space="preserve"> </w:t>
      </w:r>
      <m:oMath>
        <m:sSub>
          <m:e>
            <m:r>
              <m:t>E</m:t>
            </m:r>
          </m:e>
          <m:sub>
            <m:r>
              <m:t>0</m:t>
            </m:r>
            <m:r>
              <m:rPr>
                <m:sty m:val="p"/>
              </m:rPr>
              <m:t>,</m:t>
            </m:r>
            <m:r>
              <m:rPr>
                <m:sty m:val="p"/>
              </m:rPr>
              <m:t>•</m:t>
            </m:r>
            <m:r>
              <m:rPr>
                <m:sty m:val="p"/>
              </m:rPr>
              <m:t>•</m:t>
            </m:r>
          </m:sub>
        </m:sSub>
      </m:oMath>
      <w:r>
        <w:t xml:space="preserve"> </w:t>
      </w:r>
      <w:r>
        <w:t xml:space="preserve">é o total nacional.</w:t>
      </w:r>
      <w:r>
        <w:t xml:space="preserve"> </w:t>
      </w:r>
      <m:oMath>
        <m:sSubSup>
          <m:e>
            <m:r>
              <m:t>E</m:t>
            </m:r>
          </m:e>
          <m:sub>
            <m:r>
              <m:t>r</m:t>
            </m:r>
            <m:r>
              <m:t>i</m:t>
            </m:r>
          </m:sub>
          <m:sup>
            <m:r>
              <m:rPr>
                <m:sty m:val="p"/>
              </m:rPr>
              <m:t>*</m:t>
            </m:r>
          </m:sup>
        </m:sSubSup>
      </m:oMath>
      <w:r>
        <w:t xml:space="preserve"> </w:t>
      </w:r>
      <w:r>
        <w:t xml:space="preserve">é, portanto, o total de emprego da região distribuído segundo as participações setoriais do país — a estrutura que a região teria se fosse uma miniatura fiel da economia nacional. O efeito competitivo clássico da Equação 1 é então reescrito como a soma de dois termos:</w:t>
      </w:r>
    </w:p>
    <w:p>
      <w:pPr>
        <w:pStyle w:val="BodyText"/>
      </w:pPr>
      <m:oMathPara>
        <m:oMathParaPr>
          <m:jc m:val="center"/>
        </m:oMathParaPr>
        <m:oMath>
          <m:r>
            <m:t>C</m:t>
          </m:r>
          <m:sSub>
            <m:e>
              <m:r>
                <m:t>E</m:t>
              </m:r>
            </m:e>
            <m:sub>
              <m:r>
                <m:t>r</m:t>
              </m:r>
              <m:r>
                <m:t>i</m:t>
              </m:r>
            </m:sub>
          </m:sSub>
          <m:r>
            <m:rPr>
              <m:sty m:val="p"/>
            </m:rPr>
            <m:t>=</m:t>
          </m:r>
          <m:limLow>
            <m:e>
              <m:limLow>
                <m:e>
                  <m:sSubSup>
                    <m:e>
                      <m:r>
                        <m:t>E</m:t>
                      </m:r>
                    </m:e>
                    <m:sub>
                      <m:r>
                        <m:t>r</m:t>
                      </m:r>
                      <m:r>
                        <m:t>i</m:t>
                      </m:r>
                    </m:sub>
                    <m:sup>
                      <m:r>
                        <m:rPr>
                          <m:sty m:val="p"/>
                        </m:rPr>
                        <m:t>*</m:t>
                      </m:r>
                    </m:sup>
                  </m:sSubSup>
                  <m:r>
                    <m:t> </m:t>
                  </m:r>
                  <m:r>
                    <m:rPr>
                      <m:sty m:val="p"/>
                    </m:rPr>
                    <m:t>(</m:t>
                  </m:r>
                  <m:sSub>
                    <m:e>
                      <m:r>
                        <m:t>g</m:t>
                      </m:r>
                    </m:e>
                    <m:sub>
                      <m:r>
                        <m:t>r</m:t>
                      </m:r>
                      <m:r>
                        <m:t>i</m:t>
                      </m:r>
                    </m:sub>
                  </m:sSub>
                  <m:r>
                    <m:rPr>
                      <m:sty m:val="p"/>
                    </m:rPr>
                    <m:t>−</m:t>
                  </m:r>
                  <m:sSub>
                    <m:e>
                      <m:r>
                        <m:t>g</m:t>
                      </m:r>
                    </m:e>
                    <m:sub>
                      <m:r>
                        <m:t>n</m:t>
                      </m:r>
                      <m:r>
                        <m:t>i</m:t>
                      </m:r>
                    </m:sub>
                  </m:sSub>
                  <m:r>
                    <m:rPr>
                      <m:sty m:val="p"/>
                    </m:rPr>
                    <m:t>)</m:t>
                  </m:r>
                </m:e>
                <m:lim>
                  <m:r>
                    <m:rPr>
                      <m:sty m:val="p"/>
                    </m:rPr>
                    <m:t>⏟</m:t>
                  </m:r>
                </m:lim>
              </m:limLow>
            </m:e>
            <m:lim>
              <m:r>
                <m:t>C</m:t>
              </m:r>
              <m:sSubSup>
                <m:e>
                  <m:r>
                    <m:t>E</m:t>
                  </m:r>
                </m:e>
                <m:sub>
                  <m:r>
                    <m:t>r</m:t>
                  </m:r>
                  <m:r>
                    <m:t>i</m:t>
                  </m:r>
                </m:sub>
                <m:sup>
                  <m:r>
                    <m:rPr>
                      <m:sty m:val="p"/>
                    </m:rPr>
                    <m:t>*</m:t>
                  </m:r>
                </m:sup>
              </m:sSubSup>
              <m:r>
                <m:t> </m:t>
              </m:r>
              <m:r>
                <m:rPr>
                  <m:nor/>
                  <m:sty m:val="p"/>
                </m:rPr>
                <m:t>(competitivo puro)</m:t>
              </m:r>
            </m:lim>
          </m:limLow>
          <m:r>
            <m:rPr>
              <m:sty m:val="p"/>
            </m:rPr>
            <m:t>+</m:t>
          </m:r>
          <m:limLow>
            <m:e>
              <m:limLow>
                <m:e>
                  <m:r>
                    <m:rPr>
                      <m:sty m:val="p"/>
                    </m:rPr>
                    <m:t>(</m:t>
                  </m:r>
                  <m:sSub>
                    <m:e>
                      <m:r>
                        <m:t>E</m:t>
                      </m:r>
                    </m:e>
                    <m:sub>
                      <m:r>
                        <m:t>0</m:t>
                      </m:r>
                      <m:r>
                        <m:rPr>
                          <m:sty m:val="p"/>
                        </m:rPr>
                        <m:t>,</m:t>
                      </m:r>
                      <m:r>
                        <m:t>r</m:t>
                      </m:r>
                      <m:r>
                        <m:t>i</m:t>
                      </m:r>
                    </m:sub>
                  </m:sSub>
                  <m:r>
                    <m:rPr>
                      <m:sty m:val="p"/>
                    </m:rPr>
                    <m:t>−</m:t>
                  </m:r>
                  <m:sSubSup>
                    <m:e>
                      <m:r>
                        <m:t>E</m:t>
                      </m:r>
                    </m:e>
                    <m:sub>
                      <m:r>
                        <m:t>r</m:t>
                      </m:r>
                      <m:r>
                        <m:t>i</m:t>
                      </m:r>
                    </m:sub>
                    <m:sup>
                      <m:r>
                        <m:rPr>
                          <m:sty m:val="p"/>
                        </m:rPr>
                        <m:t>*</m:t>
                      </m:r>
                    </m:sup>
                  </m:sSubSup>
                  <m:r>
                    <m:rPr>
                      <m:sty m:val="p"/>
                    </m:rPr>
                    <m:t>)</m:t>
                  </m:r>
                  <m:r>
                    <m:t> </m:t>
                  </m:r>
                  <m:r>
                    <m:rPr>
                      <m:sty m:val="p"/>
                    </m:rPr>
                    <m:t>(</m:t>
                  </m:r>
                  <m:sSub>
                    <m:e>
                      <m:r>
                        <m:t>g</m:t>
                      </m:r>
                    </m:e>
                    <m:sub>
                      <m:r>
                        <m:t>r</m:t>
                      </m:r>
                      <m:r>
                        <m:t>i</m:t>
                      </m:r>
                    </m:sub>
                  </m:sSub>
                  <m:r>
                    <m:rPr>
                      <m:sty m:val="p"/>
                    </m:rPr>
                    <m:t>−</m:t>
                  </m:r>
                  <m:sSub>
                    <m:e>
                      <m:r>
                        <m:t>g</m:t>
                      </m:r>
                    </m:e>
                    <m:sub>
                      <m:r>
                        <m:t>n</m:t>
                      </m:r>
                      <m:r>
                        <m:t>i</m:t>
                      </m:r>
                    </m:sub>
                  </m:sSub>
                  <m:r>
                    <m:rPr>
                      <m:sty m:val="p"/>
                    </m:rPr>
                    <m:t>)</m:t>
                  </m:r>
                </m:e>
                <m:lim>
                  <m:r>
                    <m:rPr>
                      <m:sty m:val="p"/>
                    </m:rPr>
                    <m:t>⏟</m:t>
                  </m:r>
                </m:lim>
              </m:limLow>
            </m:e>
            <m:lim>
              <m:r>
                <m:t>A</m:t>
              </m:r>
              <m:sSub>
                <m:e>
                  <m:r>
                    <m:t>E</m:t>
                  </m:r>
                </m:e>
                <m:sub>
                  <m:r>
                    <m:t>r</m:t>
                  </m:r>
                  <m:r>
                    <m:t>i</m:t>
                  </m:r>
                </m:sub>
              </m:sSub>
              <m:r>
                <m:t> </m:t>
              </m:r>
              <m:r>
                <m:rPr>
                  <m:nor/>
                  <m:sty m:val="p"/>
                </m:rPr>
                <m:t>(efeito alocação)</m:t>
              </m:r>
            </m:lim>
          </m:limLow>
        </m:oMath>
      </m:oMathPara>
    </w:p>
    <w:p>
      <w:pPr>
        <w:pStyle w:val="FirstParagraph"/>
      </w:pPr>
      <m:oMath>
        <m:r>
          <m:t>C</m:t>
        </m:r>
        <m:sSubSup>
          <m:e>
            <m:r>
              <m:t>E</m:t>
            </m:r>
          </m:e>
          <m:sub>
            <m:r>
              <m:t>r</m:t>
            </m:r>
            <m:r>
              <m:t>i</m:t>
            </m:r>
          </m:sub>
          <m:sup>
            <m:r>
              <m:rPr>
                <m:sty m:val="p"/>
              </m:rPr>
              <m:t>*</m:t>
            </m:r>
          </m:sup>
        </m:sSubSup>
      </m:oMath>
      <w:r>
        <w:t xml:space="preserve"> </w:t>
      </w:r>
      <w:r>
        <w:t xml:space="preserve">é o efeito competitivo</w:t>
      </w:r>
      <w:r>
        <w:t xml:space="preserve"> </w:t>
      </w:r>
      <w:r>
        <w:rPr>
          <w:b/>
          <w:bCs/>
        </w:rPr>
        <w:t xml:space="preserve">livre de estrutura</w:t>
      </w:r>
      <w:r>
        <w:t xml:space="preserve"> </w:t>
      </w:r>
      <w:r>
        <w:t xml:space="preserve">— mede apenas a diferença de taxa, ponderada pelo emprego</w:t>
      </w:r>
      <w:r>
        <w:t xml:space="preserve"> </w:t>
      </w:r>
      <w:r>
        <w:t xml:space="preserve">“neutro”</w:t>
      </w:r>
      <w:r>
        <w:t xml:space="preserve"> </w:t>
      </w:r>
      <m:oMath>
        <m:sSup>
          <m:e>
            <m:r>
              <m:t>E</m:t>
            </m:r>
          </m:e>
          <m:sup>
            <m:r>
              <m:rPr>
                <m:sty m:val="p"/>
              </m:rPr>
              <m:t>*</m:t>
            </m:r>
          </m:sup>
        </m:sSup>
      </m:oMath>
      <w:r>
        <w:t xml:space="preserve">.</w:t>
      </w:r>
      <w:r>
        <w:t xml:space="preserve"> </w:t>
      </w:r>
      <m:oMath>
        <m:r>
          <m:t>A</m:t>
        </m:r>
        <m:sSub>
          <m:e>
            <m:r>
              <m:t>E</m:t>
            </m:r>
          </m:e>
          <m:sub>
            <m:r>
              <m:t>r</m:t>
            </m:r>
            <m:r>
              <m:t>i</m:t>
            </m:r>
          </m:sub>
        </m:sSub>
      </m:oMath>
      <w:r>
        <w:t xml:space="preserve">, o</w:t>
      </w:r>
      <w:r>
        <w:t xml:space="preserve"> </w:t>
      </w:r>
      <w:r>
        <w:rPr>
          <w:b/>
          <w:bCs/>
        </w:rPr>
        <w:t xml:space="preserve">efeito alocação</w:t>
      </w:r>
      <w:r>
        <w:t xml:space="preserve">, é o produto entre o grau de especialização da região no setor (</w:t>
      </w:r>
      <m:oMath>
        <m:sSub>
          <m:e>
            <m:r>
              <m:t>E</m:t>
            </m:r>
          </m:e>
          <m:sub>
            <m:r>
              <m:t>0</m:t>
            </m:r>
            <m:r>
              <m:rPr>
                <m:sty m:val="p"/>
              </m:rPr>
              <m:t>,</m:t>
            </m:r>
            <m:r>
              <m:t>r</m:t>
            </m:r>
            <m:r>
              <m:t>i</m:t>
            </m:r>
          </m:sub>
        </m:sSub>
        <m:r>
          <m:rPr>
            <m:sty m:val="p"/>
          </m:rPr>
          <m:t>−</m:t>
        </m:r>
        <m:sSubSup>
          <m:e>
            <m:r>
              <m:t>E</m:t>
            </m:r>
          </m:e>
          <m:sub>
            <m:r>
              <m:t>r</m:t>
            </m:r>
            <m:r>
              <m:t>i</m:t>
            </m:r>
          </m:sub>
          <m:sup>
            <m:r>
              <m:rPr>
                <m:sty m:val="p"/>
              </m:rPr>
              <m:t>*</m:t>
            </m:r>
          </m:sup>
        </m:sSubSup>
      </m:oMath>
      <w:r>
        <w:t xml:space="preserve">, positivo se a região é mais especializada que a média nacional naquele setor) e a vantagem competitiva nesse mesmo setor (</w:t>
      </w:r>
      <m:oMath>
        <m:sSub>
          <m:e>
            <m:r>
              <m:t>g</m:t>
            </m:r>
          </m:e>
          <m:sub>
            <m:r>
              <m:t>r</m:t>
            </m:r>
            <m:r>
              <m:t>i</m:t>
            </m:r>
          </m:sub>
        </m:sSub>
        <m:r>
          <m:rPr>
            <m:sty m:val="p"/>
          </m:rPr>
          <m:t>−</m:t>
        </m:r>
        <m:sSub>
          <m:e>
            <m:r>
              <m:t>g</m:t>
            </m:r>
          </m:e>
          <m:sub>
            <m:r>
              <m:t>n</m:t>
            </m:r>
            <m:r>
              <m:t>i</m:t>
            </m:r>
          </m:sub>
        </m:sSub>
      </m:oMath>
      <w:r>
        <w:t xml:space="preserve">).</w:t>
      </w:r>
      <w:r>
        <w:t xml:space="preserve"> </w:t>
      </w:r>
      <m:oMath>
        <m:r>
          <m:t>A</m:t>
        </m:r>
        <m:sSub>
          <m:e>
            <m:r>
              <m:t>E</m:t>
            </m:r>
          </m:e>
          <m:sub>
            <m:r>
              <m:t>r</m:t>
            </m:r>
            <m:r>
              <m:t>i</m:t>
            </m:r>
          </m:sub>
        </m:sSub>
      </m:oMath>
      <w:r>
        <w:t xml:space="preserve"> </w:t>
      </w:r>
      <w:r>
        <w:t xml:space="preserve">é positivo quando a região se especializa exatamente nos setores em que também é competitiva (alocação</w:t>
      </w:r>
      <w:r>
        <w:t xml:space="preserve"> </w:t>
      </w:r>
      <w:r>
        <w:t xml:space="preserve">“correta”</w:t>
      </w:r>
      <w:r>
        <w:t xml:space="preserve">) e negativo quando ela se especializa em setores nos quais tem desvantagem, ou deixa de se especializar em setores nos quais tem vantagem (alocação</w:t>
      </w:r>
      <w:r>
        <w:t xml:space="preserve"> </w:t>
      </w:r>
      <w:r>
        <w:t xml:space="preserve">“incorreta”</w:t>
      </w:r>
      <w:r>
        <w:t xml:space="preserve"> </w:t>
      </w:r>
      <w:r>
        <w:t xml:space="preserve">ou subotimizada).</w:t>
      </w:r>
    </w:p>
    <w:bookmarkEnd w:id="17"/>
    <w:bookmarkStart w:id="18" w:name="aplicação-e-interpretação"/>
    <w:p>
      <w:pPr>
        <w:pStyle w:val="Heading3"/>
      </w:pPr>
      <w:r>
        <w:t xml:space="preserve">6.3 Aplicação e interpretação</w:t>
      </w:r>
    </w:p>
    <w:p>
      <w:pPr>
        <w:pStyle w:val="FirstParagraph"/>
      </w:pPr>
      <w:r>
        <w:t xml:space="preserve">A Tabela 6 traz o emprego homotético (Equação 3); a Tabela 7, a decomposição de Esteban-Marquillas (Equação 4) em totais regionais, ao lado da decomposição clássica para comparação.</w:t>
      </w:r>
    </w:p>
    <w:p>
      <w:pPr>
        <w:pStyle w:val="BodyText"/>
      </w:pPr>
      <w:r>
        <w:rPr>
          <w:b/>
          <w:bCs/>
        </w:rPr>
        <w:t xml:space="preserve">Tabela 6 — Emprego homotético</w:t>
      </w:r>
      <w:r>
        <w:rPr>
          <w:b/>
          <w:bCs/>
        </w:rPr>
        <w:t xml:space="preserve"> </w:t>
      </w:r>
      <m:oMath>
        <m:sSubSup>
          <m:e>
            <m:r>
              <m:t>E</m:t>
            </m:r>
          </m:e>
          <m:sub>
            <m:r>
              <m:t>r</m:t>
            </m:r>
            <m:r>
              <m:t>i</m:t>
            </m:r>
          </m:sub>
          <m:sup>
            <m:r>
              <m:rPr>
                <m:sty m:val="p"/>
              </m:rPr>
              <m:t>*</m:t>
            </m:r>
          </m:sup>
        </m:sSubSup>
      </m:oMath>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Região</w:t>
            </w:r>
          </w:p>
        </w:tc>
        <w:tc>
          <w:tcPr/>
          <w:p>
            <w:pPr>
              <w:pStyle w:val="Compact"/>
              <w:jc w:val="right"/>
            </w:pPr>
            <w:r>
              <w:t xml:space="preserve">AGR</w:t>
            </w:r>
          </w:p>
        </w:tc>
        <w:tc>
          <w:tcPr/>
          <w:p>
            <w:pPr>
              <w:pStyle w:val="Compact"/>
              <w:jc w:val="right"/>
            </w:pPr>
            <w:r>
              <w:t xml:space="preserve">IND</w:t>
            </w:r>
          </w:p>
        </w:tc>
        <w:tc>
          <w:tcPr/>
          <w:p>
            <w:pPr>
              <w:pStyle w:val="Compact"/>
              <w:jc w:val="right"/>
            </w:pPr>
            <w:r>
              <w:t xml:space="preserve">SER</w:t>
            </w:r>
          </w:p>
        </w:tc>
      </w:tr>
      <w:tr>
        <w:tc>
          <w:tcPr/>
          <w:p>
            <w:pPr>
              <w:pStyle w:val="Compact"/>
              <w:jc w:val="left"/>
            </w:pPr>
            <w:r>
              <w:t xml:space="preserve">PI</w:t>
            </w:r>
          </w:p>
        </w:tc>
        <w:tc>
          <w:tcPr/>
          <w:p>
            <w:pPr>
              <w:pStyle w:val="Compact"/>
              <w:jc w:val="right"/>
            </w:pPr>
            <w:r>
              <w:t xml:space="preserve">121,73</w:t>
            </w:r>
          </w:p>
        </w:tc>
        <w:tc>
          <w:tcPr/>
          <w:p>
            <w:pPr>
              <w:pStyle w:val="Compact"/>
              <w:jc w:val="right"/>
            </w:pPr>
            <w:r>
              <w:t xml:space="preserve">126,96</w:t>
            </w:r>
          </w:p>
        </w:tc>
        <w:tc>
          <w:tcPr/>
          <w:p>
            <w:pPr>
              <w:pStyle w:val="Compact"/>
              <w:jc w:val="right"/>
            </w:pPr>
            <w:r>
              <w:t xml:space="preserve">251,31</w:t>
            </w:r>
          </w:p>
        </w:tc>
      </w:tr>
      <w:tr>
        <w:tc>
          <w:tcPr/>
          <w:p>
            <w:pPr>
              <w:pStyle w:val="Compact"/>
              <w:jc w:val="left"/>
            </w:pPr>
            <w:r>
              <w:t xml:space="preserve">CE</w:t>
            </w:r>
          </w:p>
        </w:tc>
        <w:tc>
          <w:tcPr/>
          <w:p>
            <w:pPr>
              <w:pStyle w:val="Compact"/>
              <w:jc w:val="right"/>
            </w:pPr>
            <w:r>
              <w:t xml:space="preserve">194,76</w:t>
            </w:r>
          </w:p>
        </w:tc>
        <w:tc>
          <w:tcPr/>
          <w:p>
            <w:pPr>
              <w:pStyle w:val="Compact"/>
              <w:jc w:val="right"/>
            </w:pPr>
            <w:r>
              <w:t xml:space="preserve">203,14</w:t>
            </w:r>
          </w:p>
        </w:tc>
        <w:tc>
          <w:tcPr/>
          <w:p>
            <w:pPr>
              <w:pStyle w:val="Compact"/>
              <w:jc w:val="right"/>
            </w:pPr>
            <w:r>
              <w:t xml:space="preserve">402,09</w:t>
            </w:r>
          </w:p>
        </w:tc>
      </w:tr>
      <w:tr>
        <w:tc>
          <w:tcPr/>
          <w:p>
            <w:pPr>
              <w:pStyle w:val="Compact"/>
              <w:jc w:val="left"/>
            </w:pPr>
            <w:r>
              <w:t xml:space="preserve">MA</w:t>
            </w:r>
          </w:p>
        </w:tc>
        <w:tc>
          <w:tcPr/>
          <w:p>
            <w:pPr>
              <w:pStyle w:val="Compact"/>
              <w:jc w:val="right"/>
            </w:pPr>
            <w:r>
              <w:t xml:space="preserve">109,55</w:t>
            </w:r>
          </w:p>
        </w:tc>
        <w:tc>
          <w:tcPr/>
          <w:p>
            <w:pPr>
              <w:pStyle w:val="Compact"/>
              <w:jc w:val="right"/>
            </w:pPr>
            <w:r>
              <w:t xml:space="preserve">114,27</w:t>
            </w:r>
          </w:p>
        </w:tc>
        <w:tc>
          <w:tcPr/>
          <w:p>
            <w:pPr>
              <w:pStyle w:val="Compact"/>
              <w:jc w:val="right"/>
            </w:pPr>
            <w:r>
              <w:t xml:space="preserve">226,18</w:t>
            </w:r>
          </w:p>
        </w:tc>
      </w:tr>
      <w:tr>
        <w:tc>
          <w:tcPr/>
          <w:p>
            <w:pPr>
              <w:pStyle w:val="Compact"/>
              <w:jc w:val="left"/>
            </w:pPr>
            <w:r>
              <w:t xml:space="preserve">BA</w:t>
            </w:r>
          </w:p>
        </w:tc>
        <w:tc>
          <w:tcPr/>
          <w:p>
            <w:pPr>
              <w:pStyle w:val="Compact"/>
              <w:jc w:val="right"/>
            </w:pPr>
            <w:r>
              <w:t xml:space="preserve">275,10</w:t>
            </w:r>
          </w:p>
        </w:tc>
        <w:tc>
          <w:tcPr/>
          <w:p>
            <w:pPr>
              <w:pStyle w:val="Compact"/>
              <w:jc w:val="right"/>
            </w:pPr>
            <w:r>
              <w:t xml:space="preserve">286,94</w:t>
            </w:r>
          </w:p>
        </w:tc>
        <w:tc>
          <w:tcPr/>
          <w:p>
            <w:pPr>
              <w:pStyle w:val="Compact"/>
              <w:jc w:val="right"/>
            </w:pPr>
            <w:r>
              <w:t xml:space="preserve">567,96</w:t>
            </w:r>
          </w:p>
        </w:tc>
      </w:tr>
      <w:tr>
        <w:tc>
          <w:tcPr/>
          <w:p>
            <w:pPr>
              <w:pStyle w:val="Compact"/>
              <w:jc w:val="left"/>
            </w:pPr>
            <w:r>
              <w:t xml:space="preserve">PE</w:t>
            </w:r>
          </w:p>
        </w:tc>
        <w:tc>
          <w:tcPr/>
          <w:p>
            <w:pPr>
              <w:pStyle w:val="Compact"/>
              <w:jc w:val="right"/>
            </w:pPr>
            <w:r>
              <w:t xml:space="preserve">228,85</w:t>
            </w:r>
          </w:p>
        </w:tc>
        <w:tc>
          <w:tcPr/>
          <w:p>
            <w:pPr>
              <w:pStyle w:val="Compact"/>
              <w:jc w:val="right"/>
            </w:pPr>
            <w:r>
              <w:t xml:space="preserve">238,69</w:t>
            </w:r>
          </w:p>
        </w:tc>
        <w:tc>
          <w:tcPr/>
          <w:p>
            <w:pPr>
              <w:pStyle w:val="Compact"/>
              <w:jc w:val="right"/>
            </w:pPr>
            <w:r>
              <w:t xml:space="preserve">472,46</w:t>
            </w:r>
          </w:p>
        </w:tc>
      </w:tr>
    </w:tbl>
    <w:p>
      <w:pPr>
        <w:pStyle w:val="BodyText"/>
      </w:pPr>
      <w:r>
        <w:t xml:space="preserve">Fonte: elaboração própria, Equação 3.</w:t>
      </w:r>
    </w:p>
    <w:p>
      <w:pPr>
        <w:pStyle w:val="BodyText"/>
      </w:pPr>
      <w:r>
        <w:rPr>
          <w:b/>
          <w:bCs/>
        </w:rPr>
        <w:t xml:space="preserve">Tabela 7 — Decomposição de Esteban-Marquillas (1972): totais regionais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Região</w:t>
            </w:r>
          </w:p>
        </w:tc>
        <w:tc>
          <w:tcPr/>
          <w:p>
            <w:pPr>
              <w:pStyle w:val="Compact"/>
              <w:jc w:val="right"/>
            </w:pPr>
            <m:oMath>
              <m:r>
                <m:t>N</m:t>
              </m:r>
              <m:sSub>
                <m:e>
                  <m:r>
                    <m:t>E</m:t>
                  </m:r>
                </m:e>
                <m:sub>
                  <m:r>
                    <m:t>r</m:t>
                  </m:r>
                </m:sub>
              </m:sSub>
            </m:oMath>
            <w:r>
              <w:t xml:space="preserve">​</w:t>
            </w:r>
          </w:p>
        </w:tc>
        <w:tc>
          <w:tcPr/>
          <w:p>
            <w:pPr>
              <w:pStyle w:val="Compact"/>
              <w:jc w:val="right"/>
            </w:pPr>
            <m:oMath>
              <m:r>
                <m:t>I</m:t>
              </m:r>
              <m:sSub>
                <m:e>
                  <m:r>
                    <m:t>M</m:t>
                  </m:r>
                </m:e>
                <m:sub>
                  <m:r>
                    <m:t>r</m:t>
                  </m:r>
                </m:sub>
              </m:sSub>
            </m:oMath>
            <w:r>
              <w:t xml:space="preserve">​</w:t>
            </w:r>
          </w:p>
        </w:tc>
        <w:tc>
          <w:tcPr/>
          <w:p>
            <w:pPr>
              <w:pStyle w:val="Compact"/>
              <w:jc w:val="right"/>
            </w:pPr>
            <m:oMath>
              <m:r>
                <m:t>C</m:t>
              </m:r>
              <m:sSub>
                <m:e>
                  <m:r>
                    <m:t>E</m:t>
                  </m:r>
                </m:e>
                <m:sub>
                  <m:r>
                    <m:t>r</m:t>
                  </m:r>
                </m:sub>
              </m:sSub>
            </m:oMath>
            <w:r>
              <w:t xml:space="preserve"> </w:t>
            </w:r>
            <w:r>
              <w:t xml:space="preserve">(clássico)</w:t>
            </w:r>
          </w:p>
        </w:tc>
        <w:tc>
          <w:tcPr/>
          <w:p>
            <w:pPr>
              <w:pStyle w:val="Compact"/>
              <w:jc w:val="right"/>
            </w:pPr>
            <m:oMath>
              <m:r>
                <m:t>C</m:t>
              </m:r>
              <m:sSubSup>
                <m:e>
                  <m:r>
                    <m:t>E</m:t>
                  </m:r>
                </m:e>
                <m:sub>
                  <m:r>
                    <m:t>r</m:t>
                  </m:r>
                </m:sub>
                <m:sup>
                  <m:r>
                    <m:rPr>
                      <m:sty m:val="p"/>
                    </m:rPr>
                    <m:t>*</m:t>
                  </m:r>
                </m:sup>
              </m:sSubSup>
            </m:oMath>
            <w:r>
              <w:t xml:space="preserve"> </w:t>
            </w:r>
            <w:r>
              <w:t xml:space="preserve">(puro)</w:t>
            </w:r>
          </w:p>
        </w:tc>
        <w:tc>
          <w:tcPr/>
          <w:p>
            <w:pPr>
              <w:pStyle w:val="Compact"/>
              <w:jc w:val="right"/>
            </w:pPr>
            <m:oMath>
              <m:r>
                <m:t>A</m:t>
              </m:r>
              <m:sSub>
                <m:e>
                  <m:r>
                    <m:t>E</m:t>
                  </m:r>
                </m:e>
                <m:sub>
                  <m:r>
                    <m:t>r</m:t>
                  </m:r>
                </m:sub>
              </m:sSub>
            </m:oMath>
            <w:r>
              <w:t xml:space="preserve"> </w:t>
            </w:r>
            <w:r>
              <w:t xml:space="preserve">(alocação)</w:t>
            </w:r>
          </w:p>
        </w:tc>
      </w:tr>
      <w:tr>
        <w:tc>
          <w:tcPr/>
          <w:p>
            <w:pPr>
              <w:pStyle w:val="Compact"/>
              <w:jc w:val="left"/>
            </w:pPr>
            <w:r>
              <w:t xml:space="preserve">PI</w:t>
            </w:r>
          </w:p>
        </w:tc>
        <w:tc>
          <w:tcPr/>
          <w:p>
            <w:pPr>
              <w:pStyle w:val="Compact"/>
              <w:jc w:val="right"/>
            </w:pPr>
            <w:r>
              <w:t xml:space="preserve">101,96</w:t>
            </w:r>
          </w:p>
        </w:tc>
        <w:tc>
          <w:tcPr/>
          <w:p>
            <w:pPr>
              <w:pStyle w:val="Compact"/>
              <w:jc w:val="right"/>
            </w:pPr>
            <w:r>
              <w:t xml:space="preserve">−9,62</w:t>
            </w:r>
          </w:p>
        </w:tc>
        <w:tc>
          <w:tcPr/>
          <w:p>
            <w:pPr>
              <w:pStyle w:val="Compact"/>
              <w:jc w:val="right"/>
            </w:pPr>
            <w:r>
              <w:t xml:space="preserve">21,65</w:t>
            </w:r>
          </w:p>
        </w:tc>
        <w:tc>
          <w:tcPr/>
          <w:p>
            <w:pPr>
              <w:pStyle w:val="Compact"/>
              <w:jc w:val="right"/>
            </w:pPr>
            <w:r>
              <w:t xml:space="preserve">22,99</w:t>
            </w:r>
          </w:p>
        </w:tc>
        <w:tc>
          <w:tcPr/>
          <w:p>
            <w:pPr>
              <w:pStyle w:val="Compact"/>
              <w:jc w:val="right"/>
            </w:pPr>
            <w:r>
              <w:t xml:space="preserve">−1,33</w:t>
            </w:r>
          </w:p>
        </w:tc>
      </w:tr>
      <w:tr>
        <w:tc>
          <w:tcPr/>
          <w:p>
            <w:pPr>
              <w:pStyle w:val="Compact"/>
              <w:jc w:val="left"/>
            </w:pPr>
            <w:r>
              <w:t xml:space="preserve">CE</w:t>
            </w:r>
          </w:p>
        </w:tc>
        <w:tc>
          <w:tcPr/>
          <w:p>
            <w:pPr>
              <w:pStyle w:val="Compact"/>
              <w:jc w:val="right"/>
            </w:pPr>
            <w:r>
              <w:t xml:space="preserve">163,14</w:t>
            </w:r>
          </w:p>
        </w:tc>
        <w:tc>
          <w:tcPr/>
          <w:p>
            <w:pPr>
              <w:pStyle w:val="Compact"/>
              <w:jc w:val="right"/>
            </w:pPr>
            <w:r>
              <w:t xml:space="preserve">8,79</w:t>
            </w:r>
          </w:p>
        </w:tc>
        <w:tc>
          <w:tcPr/>
          <w:p>
            <w:pPr>
              <w:pStyle w:val="Compact"/>
              <w:jc w:val="right"/>
            </w:pPr>
            <w:r>
              <w:t xml:space="preserve">24,07</w:t>
            </w:r>
          </w:p>
        </w:tc>
        <w:tc>
          <w:tcPr/>
          <w:p>
            <w:pPr>
              <w:pStyle w:val="Compact"/>
              <w:jc w:val="right"/>
            </w:pPr>
            <w:r>
              <w:t xml:space="preserve">22,35</w:t>
            </w:r>
          </w:p>
        </w:tc>
        <w:tc>
          <w:tcPr/>
          <w:p>
            <w:pPr>
              <w:pStyle w:val="Compact"/>
              <w:jc w:val="right"/>
            </w:pPr>
            <w:r>
              <w:t xml:space="preserve">1,72</w:t>
            </w:r>
          </w:p>
        </w:tc>
      </w:tr>
      <w:tr>
        <w:tc>
          <w:tcPr/>
          <w:p>
            <w:pPr>
              <w:pStyle w:val="Compact"/>
              <w:jc w:val="left"/>
            </w:pPr>
            <w:r>
              <w:t xml:space="preserve">MA</w:t>
            </w:r>
          </w:p>
        </w:tc>
        <w:tc>
          <w:tcPr/>
          <w:p>
            <w:pPr>
              <w:pStyle w:val="Compact"/>
              <w:jc w:val="right"/>
            </w:pPr>
            <w:r>
              <w:t xml:space="preserve">91,77</w:t>
            </w:r>
          </w:p>
        </w:tc>
        <w:tc>
          <w:tcPr/>
          <w:p>
            <w:pPr>
              <w:pStyle w:val="Compact"/>
              <w:jc w:val="right"/>
            </w:pPr>
            <w:r>
              <w:t xml:space="preserve">−16,52</w:t>
            </w:r>
          </w:p>
        </w:tc>
        <w:tc>
          <w:tcPr/>
          <w:p>
            <w:pPr>
              <w:pStyle w:val="Compact"/>
              <w:jc w:val="right"/>
            </w:pPr>
            <w:r>
              <w:t xml:space="preserve">−23,25</w:t>
            </w:r>
          </w:p>
        </w:tc>
        <w:tc>
          <w:tcPr/>
          <w:p>
            <w:pPr>
              <w:pStyle w:val="Compact"/>
              <w:jc w:val="right"/>
            </w:pPr>
            <w:r>
              <w:t xml:space="preserve">−23,80</w:t>
            </w:r>
          </w:p>
        </w:tc>
        <w:tc>
          <w:tcPr/>
          <w:p>
            <w:pPr>
              <w:pStyle w:val="Compact"/>
              <w:jc w:val="right"/>
            </w:pPr>
            <w:r>
              <w:t xml:space="preserve">0,55</w:t>
            </w:r>
          </w:p>
        </w:tc>
      </w:tr>
      <w:tr>
        <w:tc>
          <w:tcPr/>
          <w:p>
            <w:pPr>
              <w:pStyle w:val="Compact"/>
              <w:jc w:val="left"/>
            </w:pPr>
            <w:r>
              <w:t xml:space="preserve">BA</w:t>
            </w:r>
          </w:p>
        </w:tc>
        <w:tc>
          <w:tcPr/>
          <w:p>
            <w:pPr>
              <w:pStyle w:val="Compact"/>
              <w:jc w:val="right"/>
            </w:pPr>
            <w:r>
              <w:t xml:space="preserve">230,44</w:t>
            </w:r>
          </w:p>
        </w:tc>
        <w:tc>
          <w:tcPr/>
          <w:p>
            <w:pPr>
              <w:pStyle w:val="Compact"/>
              <w:jc w:val="right"/>
            </w:pPr>
            <w:r>
              <w:t xml:space="preserve">0,85</w:t>
            </w:r>
          </w:p>
        </w:tc>
        <w:tc>
          <w:tcPr/>
          <w:p>
            <w:pPr>
              <w:pStyle w:val="Compact"/>
              <w:jc w:val="right"/>
            </w:pPr>
            <w:r>
              <w:t xml:space="preserve">−4,29</w:t>
            </w:r>
          </w:p>
        </w:tc>
        <w:tc>
          <w:tcPr/>
          <w:p>
            <w:pPr>
              <w:pStyle w:val="Compact"/>
              <w:jc w:val="right"/>
            </w:pPr>
            <w:r>
              <w:t xml:space="preserve">−3,72</w:t>
            </w:r>
          </w:p>
        </w:tc>
        <w:tc>
          <w:tcPr/>
          <w:p>
            <w:pPr>
              <w:pStyle w:val="Compact"/>
              <w:jc w:val="right"/>
            </w:pPr>
            <w:r>
              <w:t xml:space="preserve">−0,57</w:t>
            </w:r>
          </w:p>
        </w:tc>
      </w:tr>
      <w:tr>
        <w:tc>
          <w:tcPr/>
          <w:p>
            <w:pPr>
              <w:pStyle w:val="Compact"/>
              <w:jc w:val="left"/>
            </w:pPr>
            <w:r>
              <w:t xml:space="preserve">PE</w:t>
            </w:r>
          </w:p>
        </w:tc>
        <w:tc>
          <w:tcPr/>
          <w:p>
            <w:pPr>
              <w:pStyle w:val="Compact"/>
              <w:jc w:val="right"/>
            </w:pPr>
            <w:r>
              <w:t xml:space="preserve">191,69</w:t>
            </w:r>
          </w:p>
        </w:tc>
        <w:tc>
          <w:tcPr/>
          <w:p>
            <w:pPr>
              <w:pStyle w:val="Compact"/>
              <w:jc w:val="right"/>
            </w:pPr>
            <w:r>
              <w:t xml:space="preserve">16,49</w:t>
            </w:r>
          </w:p>
        </w:tc>
        <w:tc>
          <w:tcPr/>
          <w:p>
            <w:pPr>
              <w:pStyle w:val="Compact"/>
              <w:jc w:val="right"/>
            </w:pPr>
            <w:r>
              <w:t xml:space="preserve">−18,18</w:t>
            </w:r>
          </w:p>
        </w:tc>
        <w:tc>
          <w:tcPr/>
          <w:p>
            <w:pPr>
              <w:pStyle w:val="Compact"/>
              <w:jc w:val="right"/>
            </w:pPr>
            <w:r>
              <w:t xml:space="preserve">−8,35</w:t>
            </w:r>
          </w:p>
        </w:tc>
        <w:tc>
          <w:tcPr/>
          <w:p>
            <w:pPr>
              <w:pStyle w:val="Compact"/>
              <w:jc w:val="right"/>
            </w:pPr>
            <w:r>
              <w:t xml:space="preserve">−9,83</w:t>
            </w:r>
          </w:p>
        </w:tc>
      </w:tr>
    </w:tbl>
    <w:p>
      <w:pPr>
        <w:pStyle w:val="BodyText"/>
      </w:pPr>
      <w:r>
        <w:t xml:space="preserve">Fonte: elaboração própria, Equação 4. Note que</w:t>
      </w:r>
      <w:r>
        <w:t xml:space="preserve"> </w:t>
      </w:r>
      <m:oMath>
        <m:r>
          <m:t>C</m:t>
        </m:r>
        <m:sSubSup>
          <m:e>
            <m:r>
              <m:t>E</m:t>
            </m:r>
          </m:e>
          <m:sub>
            <m:r>
              <m:t>r</m:t>
            </m:r>
          </m:sub>
          <m:sup>
            <m:r>
              <m:rPr>
                <m:sty m:val="p"/>
              </m:rPr>
              <m:t>*</m:t>
            </m:r>
          </m:sup>
        </m:sSubSup>
        <m:r>
          <m:rPr>
            <m:sty m:val="p"/>
          </m:rPr>
          <m:t>+</m:t>
        </m:r>
        <m:r>
          <m:t>A</m:t>
        </m:r>
        <m:sSub>
          <m:e>
            <m:r>
              <m:t>E</m:t>
            </m:r>
          </m:e>
          <m:sub>
            <m:r>
              <m:t>r</m:t>
            </m:r>
          </m:sub>
        </m:sSub>
        <m:r>
          <m:rPr>
            <m:sty m:val="p"/>
          </m:rPr>
          <m:t>=</m:t>
        </m:r>
        <m:r>
          <m:t>C</m:t>
        </m:r>
        <m:sSub>
          <m:e>
            <m:r>
              <m:t>E</m:t>
            </m:r>
          </m:e>
          <m:sub>
            <m:r>
              <m:t>r</m:t>
            </m:r>
          </m:sub>
        </m:sSub>
      </m:oMath>
      <w:r>
        <w:t xml:space="preserve"> </w:t>
      </w:r>
      <w:r>
        <w:t xml:space="preserve">(clássico) em cada linha, confirmando a Equação 4.</w:t>
      </w:r>
    </w:p>
    <w:p>
      <w:pPr>
        <w:pStyle w:val="BodyText"/>
      </w:pPr>
      <w:r>
        <w:t xml:space="preserve">O caso de Pernambuco ilustra exatamente o que a reformulação foi desenhada para revelar. Na decomposição clássica (Tabela 4), PE tinha um efeito competitivo de −18,18 — número que, isoladamente, sugere fraco desempenho competitivo generalizado. A Tabela 7 mostra que isso é impreciso: o efeito competitivo</w:t>
      </w:r>
      <w:r>
        <w:t xml:space="preserve"> </w:t>
      </w:r>
      <w:r>
        <w:rPr>
          <w:i/>
          <w:iCs/>
        </w:rPr>
        <w:t xml:space="preserve">puro</w:t>
      </w:r>
      <w:r>
        <w:t xml:space="preserve"> </w:t>
      </w:r>
      <w:r>
        <w:t xml:space="preserve">de PE é de apenas −8,35 (metade do valor clássico), e o restante, −9,83, é efeito de</w:t>
      </w:r>
      <w:r>
        <w:t xml:space="preserve"> </w:t>
      </w:r>
      <w:r>
        <w:rPr>
          <w:b/>
          <w:bCs/>
        </w:rPr>
        <w:t xml:space="preserve">má alocação</w:t>
      </w:r>
      <w:r>
        <w:t xml:space="preserve">: PE tem vantagem competitiva forte em Agropecuária (</w:t>
      </w:r>
      <m:oMath>
        <m:sSub>
          <m:e>
            <m:r>
              <m:t>g</m:t>
            </m:r>
          </m:e>
          <m:sub>
            <m:r>
              <m:t>r</m:t>
            </m:r>
            <m:r>
              <m:t>i</m:t>
            </m:r>
          </m:sub>
        </m:sSub>
        <m:r>
          <m:rPr>
            <m:sty m:val="p"/>
          </m:rPr>
          <m:t>−</m:t>
        </m:r>
        <m:sSub>
          <m:e>
            <m:r>
              <m:t>g</m:t>
            </m:r>
          </m:e>
          <m:sub>
            <m:r>
              <m:t>n</m:t>
            </m:r>
            <m:r>
              <m:t>i</m:t>
            </m:r>
          </m:sub>
        </m:sSub>
        <m:r>
          <m:rPr>
            <m:sty m:val="p"/>
          </m:rPr>
          <m:t>=</m:t>
        </m:r>
        <m:r>
          <m:rPr>
            <m:sty m:val="p"/>
          </m:rPr>
          <m:t>+</m:t>
        </m:r>
        <m:r>
          <m:t>7</m:t>
        </m:r>
        <m:r>
          <m:rPr>
            <m:sty m:val="p"/>
          </m:rPr>
          <m:t>,</m:t>
        </m:r>
        <m:r>
          <m:t>70</m:t>
        </m:r>
      </m:oMath>
      <w:r>
        <w:t xml:space="preserve"> </w:t>
      </w:r>
      <w:r>
        <w:t xml:space="preserve">pontos percentuais) mas está</w:t>
      </w:r>
      <w:r>
        <w:t xml:space="preserve"> </w:t>
      </w:r>
      <w:r>
        <w:rPr>
          <w:i/>
          <w:iCs/>
        </w:rPr>
        <w:t xml:space="preserve">sub</w:t>
      </w:r>
      <w:r>
        <w:t xml:space="preserve">-especializado nesse setor (</w:t>
      </w:r>
      <m:oMath>
        <m:sSub>
          <m:e>
            <m:r>
              <m:t>E</m:t>
            </m:r>
          </m:e>
          <m:sub>
            <m:r>
              <m:t>0</m:t>
            </m:r>
            <m:r>
              <m:rPr>
                <m:sty m:val="p"/>
              </m:rPr>
              <m:t>,</m:t>
            </m:r>
            <m:r>
              <m:t>r</m:t>
            </m:r>
            <m:r>
              <m:t>i</m:t>
            </m:r>
          </m:sub>
        </m:sSub>
        <m:r>
          <m:rPr>
            <m:sty m:val="p"/>
          </m:rPr>
          <m:t>−</m:t>
        </m:r>
        <m:sSubSup>
          <m:e>
            <m:r>
              <m:t>E</m:t>
            </m:r>
          </m:e>
          <m:sub>
            <m:r>
              <m:t>r</m:t>
            </m:r>
            <m:r>
              <m:t>i</m:t>
            </m:r>
          </m:sub>
          <m:sup>
            <m:r>
              <m:rPr>
                <m:sty m:val="p"/>
              </m:rPr>
              <m:t>*</m:t>
            </m:r>
          </m:sup>
        </m:sSubSup>
        <m:r>
          <m:rPr>
            <m:sty m:val="p"/>
          </m:rPr>
          <m:t>=</m:t>
        </m:r>
        <m:r>
          <m:rPr>
            <m:sty m:val="p"/>
          </m:rPr>
          <m:t>−</m:t>
        </m:r>
        <m:r>
          <m:t>88</m:t>
        </m:r>
        <m:r>
          <m:rPr>
            <m:sty m:val="p"/>
          </m:rPr>
          <m:t>,</m:t>
        </m:r>
        <m:r>
          <m:t>85</m:t>
        </m:r>
      </m:oMath>
      <w:r>
        <w:t xml:space="preserve">, ou seja, emprega menos em Agropecuária do que sua estrutura homotética previria) — a região não está capturando um ganho que sua própria vantagem comparativa permitiria. Já Piauí e Ceará mostram exatamente o padrão oposto: seus efeitos de alocação são pequenos (−1,33 e +1,72), o que indica que a maior parte do desempenho observado nessas duas regiões é competitividade genuína, não um acidente de composição setorial.</w:t>
      </w:r>
    </w:p>
    <w:bookmarkEnd w:id="18"/>
    <w:bookmarkEnd w:id="19"/>
    <w:bookmarkStart w:id="23" w:name="Xc0fb6b2c754be34e2126edb6cc7c17ab0cfe9d9"/>
    <w:p>
      <w:pPr>
        <w:pStyle w:val="Heading2"/>
      </w:pPr>
      <w:r>
        <w:t xml:space="preserve">7 A EXTENSÃO DE ARCELUS (1984) E SEUS LIMITES ALGÉBRICOS</w:t>
      </w:r>
    </w:p>
    <w:bookmarkStart w:id="20" w:name="justificativa-1"/>
    <w:p>
      <w:pPr>
        <w:pStyle w:val="Heading3"/>
      </w:pPr>
      <w:r>
        <w:t xml:space="preserve">7.1 Justificativa</w:t>
      </w:r>
    </w:p>
    <w:p>
      <w:pPr>
        <w:pStyle w:val="FirstParagraph"/>
      </w:pPr>
      <w:r>
        <w:t xml:space="preserve">Arcelus (1984) argumentou que Esteban-Marquillas não</w:t>
      </w:r>
      <w:r>
        <w:t xml:space="preserve"> </w:t>
      </w:r>
      <w:r>
        <w:t xml:space="preserve">“explorou suficientemente”</w:t>
      </w:r>
      <w:r>
        <w:t xml:space="preserve"> </w:t>
      </w:r>
      <w:r>
        <w:t xml:space="preserve">a propriedade do emprego homotético, restringindo-a ao efeito competitivo. Sua proposta foi aplicar a mesma lógica de decomposição — separar um termo</w:t>
      </w:r>
      <w:r>
        <w:t xml:space="preserve"> </w:t>
      </w:r>
      <w:r>
        <w:t xml:space="preserve">“esperado”</w:t>
      </w:r>
      <w:r>
        <w:t xml:space="preserve"> </w:t>
      </w:r>
      <w:r>
        <w:t xml:space="preserve">(ponderado por</w:t>
      </w:r>
      <w:r>
        <w:t xml:space="preserve"> </w:t>
      </w:r>
      <m:oMath>
        <m:sSup>
          <m:e>
            <m:r>
              <m:t>E</m:t>
            </m:r>
          </m:e>
          <m:sup>
            <m:r>
              <m:rPr>
                <m:sty m:val="p"/>
              </m:rPr>
              <m:t>*</m:t>
            </m:r>
          </m:sup>
        </m:sSup>
      </m:oMath>
      <w:r>
        <w:t xml:space="preserve">) de um termo</w:t>
      </w:r>
      <w:r>
        <w:t xml:space="preserve"> </w:t>
      </w:r>
      <w:r>
        <w:t xml:space="preserve">“diferencial”</w:t>
      </w:r>
      <w:r>
        <w:t xml:space="preserve"> </w:t>
      </w:r>
      <w:r>
        <w:t xml:space="preserve">(ponderado por</w:t>
      </w:r>
      <w:r>
        <w:t xml:space="preserve"> </w:t>
      </w:r>
      <m:oMath>
        <m:sSub>
          <m:e>
            <m:r>
              <m:t>E</m:t>
            </m:r>
          </m:e>
          <m:sub>
            <m:r>
              <m:t>0</m:t>
            </m:r>
            <m:r>
              <m:rPr>
                <m:sty m:val="p"/>
              </m:rPr>
              <m:t>,</m:t>
            </m:r>
            <m:r>
              <m:t>r</m:t>
            </m:r>
            <m:r>
              <m:t>i</m:t>
            </m:r>
          </m:sub>
        </m:sSub>
        <m:r>
          <m:rPr>
            <m:sty m:val="p"/>
          </m:rPr>
          <m:t>−</m:t>
        </m:r>
        <m:sSubSup>
          <m:e>
            <m:r>
              <m:t>E</m:t>
            </m:r>
          </m:e>
          <m:sub>
            <m:r>
              <m:t>r</m:t>
            </m:r>
            <m:r>
              <m:t>i</m:t>
            </m:r>
          </m:sub>
          <m:sup>
            <m:r>
              <m:rPr>
                <m:sty m:val="p"/>
              </m:rPr>
              <m:t>*</m:t>
            </m:r>
          </m:sup>
        </m:sSubSup>
      </m:oMath>
      <w:r>
        <w:t xml:space="preserve">) — também ao efeito de crescimento nacional e ao efeito de composição setorial, produzindo quatro subcomponentes em vez de dois.</w:t>
      </w:r>
    </w:p>
    <w:bookmarkEnd w:id="20"/>
    <w:bookmarkStart w:id="21" w:name="formalização-1"/>
    <w:p>
      <w:pPr>
        <w:pStyle w:val="Heading3"/>
      </w:pPr>
      <w:r>
        <w:t xml:space="preserve">7.2 Formalização</w:t>
      </w:r>
    </w:p>
    <w:p>
      <w:pPr>
        <w:pStyle w:val="FirstParagraph"/>
      </w:pPr>
      <w:r>
        <w:t xml:space="preserve">Aplicando a mesma partição da Equação 4 aos dois primeiros termos da Equação 1:</w:t>
      </w:r>
    </w:p>
    <w:p>
      <w:pPr>
        <w:pStyle w:val="BodyText"/>
      </w:pPr>
      <m:oMathPara>
        <m:oMathParaPr>
          <m:jc m:val="center"/>
        </m:oMathParaPr>
        <m:oMath>
          <m:r>
            <m:t>N</m:t>
          </m:r>
          <m:sSub>
            <m:e>
              <m:r>
                <m:t>E</m:t>
              </m:r>
            </m:e>
            <m:sub>
              <m:r>
                <m:t>r</m:t>
              </m:r>
              <m:r>
                <m:t>i</m:t>
              </m:r>
            </m:sub>
          </m:sSub>
          <m:r>
            <m:rPr>
              <m:sty m:val="p"/>
            </m:rPr>
            <m:t>=</m:t>
          </m:r>
          <m:limLow>
            <m:e>
              <m:limLow>
                <m:e>
                  <m:sSubSup>
                    <m:e>
                      <m:r>
                        <m:t>E</m:t>
                      </m:r>
                    </m:e>
                    <m:sub>
                      <m:r>
                        <m:t>r</m:t>
                      </m:r>
                      <m:r>
                        <m:t>i</m:t>
                      </m:r>
                    </m:sub>
                    <m:sup>
                      <m:r>
                        <m:rPr>
                          <m:sty m:val="p"/>
                        </m:rPr>
                        <m:t>*</m:t>
                      </m:r>
                    </m:sup>
                  </m:sSubSup>
                  <m:r>
                    <m:t> </m:t>
                  </m:r>
                  <m:sSub>
                    <m:e>
                      <m:r>
                        <m:t>g</m:t>
                      </m:r>
                    </m:e>
                    <m:sub>
                      <m:r>
                        <m:t>n</m:t>
                      </m:r>
                    </m:sub>
                  </m:sSub>
                </m:e>
                <m:lim>
                  <m:r>
                    <m:rPr>
                      <m:sty m:val="p"/>
                    </m:rPr>
                    <m:t>⏟</m:t>
                  </m:r>
                </m:lim>
              </m:limLow>
            </m:e>
            <m:lim>
              <m:r>
                <m:t>E</m:t>
              </m:r>
              <m:sSub>
                <m:e>
                  <m:r>
                    <m:t>N</m:t>
                  </m:r>
                </m:e>
                <m:sub>
                  <m:r>
                    <m:t>r</m:t>
                  </m:r>
                  <m:r>
                    <m:t>i</m:t>
                  </m:r>
                </m:sub>
              </m:sSub>
            </m:lim>
          </m:limLow>
          <m:r>
            <m:rPr>
              <m:sty m:val="p"/>
            </m:rPr>
            <m:t>+</m:t>
          </m:r>
          <m:limLow>
            <m:e>
              <m:limLow>
                <m:e>
                  <m:r>
                    <m:rPr>
                      <m:sty m:val="p"/>
                    </m:rPr>
                    <m:t>(</m:t>
                  </m:r>
                  <m:sSub>
                    <m:e>
                      <m:r>
                        <m:t>E</m:t>
                      </m:r>
                    </m:e>
                    <m:sub>
                      <m:r>
                        <m:t>0</m:t>
                      </m:r>
                      <m:r>
                        <m:rPr>
                          <m:sty m:val="p"/>
                        </m:rPr>
                        <m:t>,</m:t>
                      </m:r>
                      <m:r>
                        <m:t>r</m:t>
                      </m:r>
                      <m:r>
                        <m:t>i</m:t>
                      </m:r>
                    </m:sub>
                  </m:sSub>
                  <m:r>
                    <m:rPr>
                      <m:sty m:val="p"/>
                    </m:rPr>
                    <m:t>−</m:t>
                  </m:r>
                  <m:sSubSup>
                    <m:e>
                      <m:r>
                        <m:t>E</m:t>
                      </m:r>
                    </m:e>
                    <m:sub>
                      <m:r>
                        <m:t>r</m:t>
                      </m:r>
                      <m:r>
                        <m:t>i</m:t>
                      </m:r>
                    </m:sub>
                    <m:sup>
                      <m:r>
                        <m:rPr>
                          <m:sty m:val="p"/>
                        </m:rPr>
                        <m:t>*</m:t>
                      </m:r>
                    </m:sup>
                  </m:sSubSup>
                  <m:r>
                    <m:rPr>
                      <m:sty m:val="p"/>
                    </m:rPr>
                    <m:t>)</m:t>
                  </m:r>
                  <m:r>
                    <m:t> </m:t>
                  </m:r>
                  <m:sSub>
                    <m:e>
                      <m:r>
                        <m:t>g</m:t>
                      </m:r>
                    </m:e>
                    <m:sub>
                      <m:r>
                        <m:t>n</m:t>
                      </m:r>
                    </m:sub>
                  </m:sSub>
                </m:e>
                <m:lim>
                  <m:r>
                    <m:rPr>
                      <m:sty m:val="p"/>
                    </m:rPr>
                    <m:t>⏟</m:t>
                  </m:r>
                </m:lim>
              </m:limLow>
            </m:e>
            <m:lim>
              <m:r>
                <m:t>D</m:t>
              </m:r>
              <m:sSub>
                <m:e>
                  <m:r>
                    <m:t>N</m:t>
                  </m:r>
                </m:e>
                <m:sub>
                  <m:r>
                    <m:t>r</m:t>
                  </m:r>
                  <m:r>
                    <m:t>i</m:t>
                  </m:r>
                </m:sub>
              </m:sSub>
            </m:lim>
          </m:limLow>
          <m:r>
            <m:t>  </m:t>
          </m:r>
          <m:r>
            <m:t>I</m:t>
          </m:r>
          <m:sSub>
            <m:e>
              <m:r>
                <m:t>M</m:t>
              </m:r>
            </m:e>
            <m:sub>
              <m:r>
                <m:t>r</m:t>
              </m:r>
              <m:r>
                <m:t>i</m:t>
              </m:r>
            </m:sub>
          </m:sSub>
          <m:r>
            <m:rPr>
              <m:sty m:val="p"/>
            </m:rPr>
            <m:t>=</m:t>
          </m:r>
          <m:limLow>
            <m:e>
              <m:limLow>
                <m:e>
                  <m:sSubSup>
                    <m:e>
                      <m:r>
                        <m:t>E</m:t>
                      </m:r>
                    </m:e>
                    <m:sub>
                      <m:r>
                        <m:t>r</m:t>
                      </m:r>
                      <m:r>
                        <m:t>i</m:t>
                      </m:r>
                    </m:sub>
                    <m:sup>
                      <m:r>
                        <m:rPr>
                          <m:sty m:val="p"/>
                        </m:rPr>
                        <m:t>*</m:t>
                      </m:r>
                    </m:sup>
                  </m:sSubSup>
                  <m:r>
                    <m:t> </m:t>
                  </m:r>
                  <m:r>
                    <m:rPr>
                      <m:sty m:val="p"/>
                    </m:rPr>
                    <m:t>(</m:t>
                  </m:r>
                  <m:sSub>
                    <m:e>
                      <m:r>
                        <m:t>g</m:t>
                      </m:r>
                    </m:e>
                    <m:sub>
                      <m:r>
                        <m:t>n</m:t>
                      </m:r>
                      <m:r>
                        <m:t>i</m:t>
                      </m:r>
                    </m:sub>
                  </m:sSub>
                  <m:r>
                    <m:rPr>
                      <m:sty m:val="p"/>
                    </m:rPr>
                    <m:t>−</m:t>
                  </m:r>
                  <m:sSub>
                    <m:e>
                      <m:r>
                        <m:t>g</m:t>
                      </m:r>
                    </m:e>
                    <m:sub>
                      <m:r>
                        <m:t>n</m:t>
                      </m:r>
                    </m:sub>
                  </m:sSub>
                  <m:r>
                    <m:rPr>
                      <m:sty m:val="p"/>
                    </m:rPr>
                    <m:t>)</m:t>
                  </m:r>
                </m:e>
                <m:lim>
                  <m:r>
                    <m:rPr>
                      <m:sty m:val="p"/>
                    </m:rPr>
                    <m:t>⏟</m:t>
                  </m:r>
                </m:lim>
              </m:limLow>
            </m:e>
            <m:lim>
              <m:r>
                <m:t>E</m:t>
              </m:r>
              <m:sSub>
                <m:e>
                  <m:r>
                    <m:t>M</m:t>
                  </m:r>
                </m:e>
                <m:sub>
                  <m:r>
                    <m:t>r</m:t>
                  </m:r>
                  <m:r>
                    <m:t>i</m:t>
                  </m:r>
                </m:sub>
              </m:sSub>
            </m:lim>
          </m:limLow>
          <m:r>
            <m:rPr>
              <m:sty m:val="p"/>
            </m:rPr>
            <m:t>+</m:t>
          </m:r>
          <m:limLow>
            <m:e>
              <m:limLow>
                <m:e>
                  <m:r>
                    <m:rPr>
                      <m:sty m:val="p"/>
                    </m:rPr>
                    <m:t>(</m:t>
                  </m:r>
                  <m:sSub>
                    <m:e>
                      <m:r>
                        <m:t>E</m:t>
                      </m:r>
                    </m:e>
                    <m:sub>
                      <m:r>
                        <m:t>0</m:t>
                      </m:r>
                      <m:r>
                        <m:rPr>
                          <m:sty m:val="p"/>
                        </m:rPr>
                        <m:t>,</m:t>
                      </m:r>
                      <m:r>
                        <m:t>r</m:t>
                      </m:r>
                      <m:r>
                        <m:t>i</m:t>
                      </m:r>
                    </m:sub>
                  </m:sSub>
                  <m:r>
                    <m:rPr>
                      <m:sty m:val="p"/>
                    </m:rPr>
                    <m:t>−</m:t>
                  </m:r>
                  <m:sSubSup>
                    <m:e>
                      <m:r>
                        <m:t>E</m:t>
                      </m:r>
                    </m:e>
                    <m:sub>
                      <m:r>
                        <m:t>r</m:t>
                      </m:r>
                      <m:r>
                        <m:t>i</m:t>
                      </m:r>
                    </m:sub>
                    <m:sup>
                      <m:r>
                        <m:rPr>
                          <m:sty m:val="p"/>
                        </m:rPr>
                        <m:t>*</m:t>
                      </m:r>
                    </m:sup>
                  </m:sSubSup>
                  <m:r>
                    <m:rPr>
                      <m:sty m:val="p"/>
                    </m:rPr>
                    <m:t>)</m:t>
                  </m:r>
                  <m:r>
                    <m:t> </m:t>
                  </m:r>
                  <m:r>
                    <m:rPr>
                      <m:sty m:val="p"/>
                    </m:rPr>
                    <m:t>(</m:t>
                  </m:r>
                  <m:sSub>
                    <m:e>
                      <m:r>
                        <m:t>g</m:t>
                      </m:r>
                    </m:e>
                    <m:sub>
                      <m:r>
                        <m:t>n</m:t>
                      </m:r>
                      <m:r>
                        <m:t>i</m:t>
                      </m:r>
                    </m:sub>
                  </m:sSub>
                  <m:r>
                    <m:rPr>
                      <m:sty m:val="p"/>
                    </m:rPr>
                    <m:t>−</m:t>
                  </m:r>
                  <m:sSub>
                    <m:e>
                      <m:r>
                        <m:t>g</m:t>
                      </m:r>
                    </m:e>
                    <m:sub>
                      <m:r>
                        <m:t>n</m:t>
                      </m:r>
                    </m:sub>
                  </m:sSub>
                  <m:r>
                    <m:rPr>
                      <m:sty m:val="p"/>
                    </m:rPr>
                    <m:t>)</m:t>
                  </m:r>
                </m:e>
                <m:lim>
                  <m:r>
                    <m:rPr>
                      <m:sty m:val="p"/>
                    </m:rPr>
                    <m:t>⏟</m:t>
                  </m:r>
                </m:lim>
              </m:limLow>
            </m:e>
            <m:lim>
              <m:r>
                <m:t>D</m:t>
              </m:r>
              <m:sSub>
                <m:e>
                  <m:r>
                    <m:t>M</m:t>
                  </m:r>
                </m:e>
                <m:sub>
                  <m:r>
                    <m:t>r</m:t>
                  </m:r>
                  <m:r>
                    <m:t>i</m:t>
                  </m:r>
                </m:sub>
              </m:sSub>
            </m:lim>
          </m:limLow>
        </m:oMath>
      </m:oMathPara>
    </w:p>
    <w:bookmarkEnd w:id="21"/>
    <w:bookmarkStart w:id="22" w:name="X30b7c0a11f3ac9a97e540ae667bb32b7df34c63"/>
    <w:p>
      <w:pPr>
        <w:pStyle w:val="Heading3"/>
      </w:pPr>
      <w:r>
        <w:t xml:space="preserve">7.3 Uma propriedade algébrica que qualifica a extensão</w:t>
      </w:r>
    </w:p>
    <w:p>
      <w:pPr>
        <w:pStyle w:val="FirstParagraph"/>
      </w:pPr>
      <w:r>
        <w:t xml:space="preserve">Somando a Equação 5 sobre os setores</w:t>
      </w:r>
      <w:r>
        <w:t xml:space="preserve"> </w:t>
      </w:r>
      <w:r>
        <w:rPr>
          <w:i/>
          <w:iCs/>
        </w:rPr>
        <w:t xml:space="preserve">i</w:t>
      </w:r>
      <w:r>
        <w:t xml:space="preserve"> </w:t>
      </w:r>
      <w:r>
        <w:t xml:space="preserve">de uma mesma região</w:t>
      </w:r>
      <w:r>
        <w:t xml:space="preserve"> </w:t>
      </w:r>
      <w:r>
        <w:rPr>
          <w:i/>
          <w:iCs/>
        </w:rPr>
        <w:t xml:space="preserve">r</w:t>
      </w:r>
      <w:r>
        <w:t xml:space="preserve">, duas propriedades emergem diretamente da definição de</w:t>
      </w:r>
      <w:r>
        <w:t xml:space="preserve"> </w:t>
      </w:r>
      <m:oMath>
        <m:sSup>
          <m:e>
            <m:r>
              <m:t>E</m:t>
            </m:r>
          </m:e>
          <m:sup>
            <m:r>
              <m:rPr>
                <m:sty m:val="p"/>
              </m:rPr>
              <m:t>*</m:t>
            </m:r>
          </m:sup>
        </m:sSup>
      </m:oMath>
      <w:r>
        <w:t xml:space="preserve"> </w:t>
      </w:r>
      <w:r>
        <w:t xml:space="preserve">na Equação 3: primeiro,</w:t>
      </w:r>
      <w:r>
        <w:t xml:space="preserve"> </w:t>
      </w:r>
      <m:oMath>
        <m:nary>
          <m:naryPr>
            <m:chr m:val="∑"/>
            <m:limLoc m:val="undOvr"/>
            <m:subHide m:val="off"/>
            <m:supHide m:val="on"/>
          </m:naryPr>
          <m:sub>
            <m:r>
              <m:t>i</m:t>
            </m:r>
          </m:sub>
          <m:sup>
            <m:r>
              <m:t>​</m:t>
            </m:r>
          </m:sup>
          <m:e>
            <m:r>
              <m:rPr>
                <m:sty m:val="p"/>
              </m:rPr>
              <m:t>(</m:t>
            </m:r>
          </m:e>
        </m:nary>
        <m:sSub>
          <m:e>
            <m:r>
              <m:t>E</m:t>
            </m:r>
          </m:e>
          <m:sub>
            <m:r>
              <m:t>0</m:t>
            </m:r>
            <m:r>
              <m:rPr>
                <m:sty m:val="p"/>
              </m:rPr>
              <m:t>,</m:t>
            </m:r>
            <m:r>
              <m:t>r</m:t>
            </m:r>
            <m:r>
              <m:t>i</m:t>
            </m:r>
          </m:sub>
        </m:sSub>
        <m:r>
          <m:rPr>
            <m:sty m:val="p"/>
          </m:rPr>
          <m:t>−</m:t>
        </m:r>
        <m:sSubSup>
          <m:e>
            <m:r>
              <m:t>E</m:t>
            </m:r>
          </m:e>
          <m:sub>
            <m:r>
              <m:t>r</m:t>
            </m:r>
            <m:r>
              <m:t>i</m:t>
            </m:r>
          </m:sub>
          <m:sup>
            <m:r>
              <m:rPr>
                <m:sty m:val="p"/>
              </m:rPr>
              <m:t>*</m:t>
            </m:r>
          </m:sup>
        </m:sSubSup>
        <m:r>
          <m:rPr>
            <m:sty m:val="p"/>
          </m:rPr>
          <m:t>)</m:t>
        </m:r>
        <m:r>
          <m:rPr>
            <m:sty m:val="p"/>
          </m:rPr>
          <m:t>≡</m:t>
        </m:r>
        <m:r>
          <m:t>0</m:t>
        </m:r>
      </m:oMath>
      <w:r>
        <w:t xml:space="preserve"> </w:t>
      </w:r>
      <w:r>
        <w:t xml:space="preserve">para qualquer região, porque o emprego homotético é construído para preservar exatamente o total regional (</w:t>
      </w:r>
      <m:oMath>
        <m:nary>
          <m:naryPr>
            <m:chr m:val="∑"/>
            <m:limLoc m:val="undOvr"/>
            <m:subHide m:val="off"/>
            <m:supHide m:val="on"/>
          </m:naryPr>
          <m:sub>
            <m:r>
              <m:t>i</m:t>
            </m:r>
          </m:sub>
          <m:sup>
            <m:r>
              <m:t>​</m:t>
            </m:r>
          </m:sup>
          <m:e>
            <m:sSubSup>
              <m:e>
                <m:r>
                  <m:t>E</m:t>
                </m:r>
              </m:e>
              <m:sub>
                <m:r>
                  <m:t>r</m:t>
                </m:r>
                <m:r>
                  <m:t>i</m:t>
                </m:r>
              </m:sub>
              <m:sup>
                <m:r>
                  <m:rPr>
                    <m:sty m:val="p"/>
                  </m:rPr>
                  <m:t>*</m:t>
                </m:r>
              </m:sup>
            </m:sSubSup>
          </m:e>
        </m:nary>
        <m:r>
          <m:rPr>
            <m:sty m:val="p"/>
          </m:rPr>
          <m:t>=</m:t>
        </m:r>
        <m:sSub>
          <m:e>
            <m:r>
              <m:t>E</m:t>
            </m:r>
          </m:e>
          <m:sub>
            <m:r>
              <m:t>0</m:t>
            </m:r>
            <m:r>
              <m:rPr>
                <m:sty m:val="p"/>
              </m:rPr>
              <m:t>,</m:t>
            </m:r>
            <m:r>
              <m:t>r</m:t>
            </m:r>
            <m:r>
              <m:rPr>
                <m:sty m:val="p"/>
              </m:rPr>
              <m:t>•</m:t>
            </m:r>
          </m:sub>
        </m:sSub>
      </m:oMath>
      <w:r>
        <w:t xml:space="preserve">); segundo,</w:t>
      </w:r>
      <w:r>
        <w:t xml:space="preserve"> </w:t>
      </w:r>
      <m:oMath>
        <m:nary>
          <m:naryPr>
            <m:chr m:val="∑"/>
            <m:limLoc m:val="undOvr"/>
            <m:subHide m:val="off"/>
            <m:supHide m:val="on"/>
          </m:naryPr>
          <m:sub>
            <m:r>
              <m:t>i</m:t>
            </m:r>
          </m:sub>
          <m:sup>
            <m:r>
              <m:t>​</m:t>
            </m:r>
          </m:sup>
          <m:e>
            <m:sSubSup>
              <m:e>
                <m:r>
                  <m:t>E</m:t>
                </m:r>
              </m:e>
              <m:sub>
                <m:r>
                  <m:t>r</m:t>
                </m:r>
                <m:r>
                  <m:t>i</m:t>
                </m:r>
              </m:sub>
              <m:sup>
                <m:r>
                  <m:rPr>
                    <m:sty m:val="p"/>
                  </m:rPr>
                  <m:t>*</m:t>
                </m:r>
              </m:sup>
            </m:sSubSup>
          </m:e>
        </m:nary>
        <m:r>
          <m:rPr>
            <m:sty m:val="p"/>
          </m:rPr>
          <m:t>(</m:t>
        </m:r>
        <m:sSub>
          <m:e>
            <m:r>
              <m:t>g</m:t>
            </m:r>
          </m:e>
          <m:sub>
            <m:r>
              <m:t>n</m:t>
            </m:r>
            <m:r>
              <m:t>i</m:t>
            </m:r>
          </m:sub>
        </m:sSub>
        <m:r>
          <m:rPr>
            <m:sty m:val="p"/>
          </m:rPr>
          <m:t>−</m:t>
        </m:r>
        <m:sSub>
          <m:e>
            <m:r>
              <m:t>g</m:t>
            </m:r>
          </m:e>
          <m:sub>
            <m:r>
              <m:t>n</m:t>
            </m:r>
          </m:sub>
        </m:sSub>
        <m:r>
          <m:rPr>
            <m:sty m:val="p"/>
          </m:rPr>
          <m:t>)</m:t>
        </m:r>
        <m:r>
          <m:rPr>
            <m:sty m:val="p"/>
          </m:rPr>
          <m:t>≡</m:t>
        </m:r>
        <m:r>
          <m:t>0</m:t>
        </m:r>
      </m:oMath>
      <w:r>
        <w:t xml:space="preserve"> </w:t>
      </w:r>
      <w:r>
        <w:t xml:space="preserve">para qualquer região, porque os pesos</w:t>
      </w:r>
      <w:r>
        <w:t xml:space="preserve"> </w:t>
      </w:r>
      <m:oMath>
        <m:sSubSup>
          <m:e>
            <m:r>
              <m:t>E</m:t>
            </m:r>
          </m:e>
          <m:sub>
            <m:r>
              <m:t>r</m:t>
            </m:r>
            <m:r>
              <m:t>i</m:t>
            </m:r>
          </m:sub>
          <m:sup>
            <m:r>
              <m:rPr>
                <m:sty m:val="p"/>
              </m:rPr>
              <m:t>*</m:t>
            </m:r>
          </m:sup>
        </m:sSubSup>
        <m:r>
          <m:rPr>
            <m:sty m:val="p"/>
          </m:rPr>
          <m:t>/</m:t>
        </m:r>
        <m:sSub>
          <m:e>
            <m:r>
              <m:t>E</m:t>
            </m:r>
          </m:e>
          <m:sub>
            <m:r>
              <m:t>0</m:t>
            </m:r>
            <m:r>
              <m:rPr>
                <m:sty m:val="p"/>
              </m:rPr>
              <m:t>,</m:t>
            </m:r>
            <m:r>
              <m:t>r</m:t>
            </m:r>
            <m:r>
              <m:rPr>
                <m:sty m:val="p"/>
              </m:rPr>
              <m:t>•</m:t>
            </m:r>
          </m:sub>
        </m:sSub>
      </m:oMath>
      <w:r>
        <w:t xml:space="preserve"> </w:t>
      </w:r>
      <w:r>
        <w:t xml:space="preserve">reproduzem exatamente as participações setoriais nacionais, e a média nacional ponderada por essas participações é, por definição,</w:t>
      </w:r>
      <w:r>
        <w:t xml:space="preserve"> </w:t>
      </w:r>
      <m:oMath>
        <m:sSub>
          <m:e>
            <m:r>
              <m:t>g</m:t>
            </m:r>
          </m:e>
          <m:sub>
            <m:r>
              <m:t>n</m:t>
            </m:r>
          </m:sub>
        </m:sSub>
      </m:oMath>
      <w:r>
        <w:t xml:space="preserve">. Segue que, somados por região,</w:t>
      </w:r>
      <w:r>
        <w:t xml:space="preserve"> </w:t>
      </w:r>
      <m:oMath>
        <m:r>
          <m:t>D</m:t>
        </m:r>
        <m:sSub>
          <m:e>
            <m:r>
              <m:t>N</m:t>
            </m:r>
          </m:e>
          <m:sub>
            <m:r>
              <m:t>r</m:t>
            </m:r>
          </m:sub>
        </m:sSub>
        <m:r>
          <m:rPr>
            <m:sty m:val="p"/>
          </m:rPr>
          <m:t>≡</m:t>
        </m:r>
        <m:r>
          <m:t>0</m:t>
        </m:r>
      </m:oMath>
      <w:r>
        <w:t xml:space="preserve"> </w:t>
      </w:r>
      <w:r>
        <w:t xml:space="preserve">e</w:t>
      </w:r>
      <w:r>
        <w:t xml:space="preserve"> </w:t>
      </w:r>
      <m:oMath>
        <m:r>
          <m:t>E</m:t>
        </m:r>
        <m:sSub>
          <m:e>
            <m:r>
              <m:t>M</m:t>
            </m:r>
          </m:e>
          <m:sub>
            <m:r>
              <m:t>r</m:t>
            </m:r>
          </m:sub>
        </m:sSub>
        <m:r>
          <m:rPr>
            <m:sty m:val="p"/>
          </m:rPr>
          <m:t>≡</m:t>
        </m:r>
        <m:r>
          <m:t>0</m:t>
        </m:r>
      </m:oMath>
      <w:r>
        <w:t xml:space="preserve"> </w:t>
      </w:r>
      <w:r>
        <w:rPr>
          <w:b/>
          <w:bCs/>
        </w:rPr>
        <w:t xml:space="preserve">identicamente</w:t>
      </w:r>
      <w:r>
        <w:t xml:space="preserve">, para qualquer conjunto de dados — não é um resultado deste exemplo específico, mas uma propriedade algébrica da construção. A Tabela 8 confirma isso numericamente.</w:t>
      </w:r>
    </w:p>
    <w:p>
      <w:pPr>
        <w:pStyle w:val="BodyText"/>
      </w:pPr>
      <w:r>
        <w:rPr>
          <w:b/>
          <w:bCs/>
        </w:rPr>
        <w:t xml:space="preserve">Tabela 8 — Extensão de Arcelus (1984): totais regionais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Região</w:t>
            </w:r>
          </w:p>
        </w:tc>
        <w:tc>
          <w:tcPr/>
          <w:p>
            <w:pPr>
              <w:pStyle w:val="Compact"/>
              <w:jc w:val="right"/>
            </w:pPr>
            <m:oMath>
              <m:r>
                <m:t>E</m:t>
              </m:r>
              <m:sSub>
                <m:e>
                  <m:r>
                    <m:t>N</m:t>
                  </m:r>
                </m:e>
                <m:sub>
                  <m:r>
                    <m:t>r</m:t>
                  </m:r>
                </m:sub>
              </m:sSub>
            </m:oMath>
            <w:r>
              <w:t xml:space="preserve">​</w:t>
            </w:r>
          </w:p>
        </w:tc>
        <w:tc>
          <w:tcPr/>
          <w:p>
            <w:pPr>
              <w:pStyle w:val="Compact"/>
              <w:jc w:val="right"/>
            </w:pPr>
            <m:oMath>
              <m:r>
                <m:t>D</m:t>
              </m:r>
              <m:sSub>
                <m:e>
                  <m:r>
                    <m:t>N</m:t>
                  </m:r>
                </m:e>
                <m:sub>
                  <m:r>
                    <m:t>r</m:t>
                  </m:r>
                </m:sub>
              </m:sSub>
            </m:oMath>
            <w:r>
              <w:t xml:space="preserve">​</w:t>
            </w:r>
          </w:p>
        </w:tc>
        <w:tc>
          <w:tcPr/>
          <w:p>
            <w:pPr>
              <w:pStyle w:val="Compact"/>
              <w:jc w:val="right"/>
            </w:pPr>
            <m:oMath>
              <m:r>
                <m:t>E</m:t>
              </m:r>
              <m:sSub>
                <m:e>
                  <m:r>
                    <m:t>M</m:t>
                  </m:r>
                </m:e>
                <m:sub>
                  <m:r>
                    <m:t>r</m:t>
                  </m:r>
                </m:sub>
              </m:sSub>
            </m:oMath>
            <w:r>
              <w:t xml:space="preserve">​</w:t>
            </w:r>
          </w:p>
        </w:tc>
        <w:tc>
          <w:tcPr/>
          <w:p>
            <w:pPr>
              <w:pStyle w:val="Compact"/>
              <w:jc w:val="right"/>
            </w:pPr>
            <m:oMath>
              <m:r>
                <m:t>D</m:t>
              </m:r>
              <m:sSub>
                <m:e>
                  <m:r>
                    <m:t>M</m:t>
                  </m:r>
                </m:e>
                <m:sub>
                  <m:r>
                    <m:t>r</m:t>
                  </m:r>
                </m:sub>
              </m:sSub>
            </m:oMath>
            <w:r>
              <w:t xml:space="preserve">​</w:t>
            </w:r>
          </w:p>
        </w:tc>
        <w:tc>
          <w:tcPr/>
          <w:p>
            <w:pPr>
              <w:pStyle w:val="Compact"/>
              <w:jc w:val="right"/>
            </w:pPr>
            <m:oMath>
              <m:r>
                <m:t>C</m:t>
              </m:r>
              <m:sSubSup>
                <m:e>
                  <m:r>
                    <m:t>E</m:t>
                  </m:r>
                </m:e>
                <m:sub>
                  <m:r>
                    <m:t>r</m:t>
                  </m:r>
                </m:sub>
                <m:sup>
                  <m:r>
                    <m:rPr>
                      <m:sty m:val="p"/>
                    </m:rPr>
                    <m:t>*</m:t>
                  </m:r>
                </m:sup>
              </m:sSubSup>
            </m:oMath>
            <w:r>
              <w:t xml:space="preserve">​</w:t>
            </w:r>
          </w:p>
        </w:tc>
        <w:tc>
          <w:tcPr/>
          <w:p>
            <w:pPr>
              <w:pStyle w:val="Compact"/>
              <w:jc w:val="right"/>
            </w:pPr>
            <m:oMath>
              <m:r>
                <m:t>A</m:t>
              </m:r>
              <m:sSub>
                <m:e>
                  <m:r>
                    <m:t>E</m:t>
                  </m:r>
                </m:e>
                <m:sub>
                  <m:r>
                    <m:t>r</m:t>
                  </m:r>
                </m:sub>
              </m:sSub>
            </m:oMath>
            <w:r>
              <w:t xml:space="preserve">​</w:t>
            </w:r>
          </w:p>
        </w:tc>
      </w:tr>
      <w:tr>
        <w:tc>
          <w:tcPr/>
          <w:p>
            <w:pPr>
              <w:pStyle w:val="Compact"/>
              <w:jc w:val="left"/>
            </w:pPr>
            <w:r>
              <w:t xml:space="preserve">PI</w:t>
            </w:r>
          </w:p>
        </w:tc>
        <w:tc>
          <w:tcPr/>
          <w:p>
            <w:pPr>
              <w:pStyle w:val="Compact"/>
              <w:jc w:val="right"/>
            </w:pPr>
            <w:r>
              <w:t xml:space="preserve">101,96</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−9,62</w:t>
            </w:r>
          </w:p>
        </w:tc>
        <w:tc>
          <w:tcPr/>
          <w:p>
            <w:pPr>
              <w:pStyle w:val="Compact"/>
              <w:jc w:val="right"/>
            </w:pPr>
            <w:r>
              <w:t xml:space="preserve">22,99</w:t>
            </w:r>
          </w:p>
        </w:tc>
        <w:tc>
          <w:tcPr/>
          <w:p>
            <w:pPr>
              <w:pStyle w:val="Compact"/>
              <w:jc w:val="right"/>
            </w:pPr>
            <w:r>
              <w:t xml:space="preserve">−1,33</w:t>
            </w:r>
          </w:p>
        </w:tc>
      </w:tr>
      <w:tr>
        <w:tc>
          <w:tcPr/>
          <w:p>
            <w:pPr>
              <w:pStyle w:val="Compact"/>
              <w:jc w:val="left"/>
            </w:pPr>
            <w:r>
              <w:t xml:space="preserve">CE</w:t>
            </w:r>
          </w:p>
        </w:tc>
        <w:tc>
          <w:tcPr/>
          <w:p>
            <w:pPr>
              <w:pStyle w:val="Compact"/>
              <w:jc w:val="right"/>
            </w:pPr>
            <w:r>
              <w:t xml:space="preserve">163,14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8,79</w:t>
            </w:r>
          </w:p>
        </w:tc>
        <w:tc>
          <w:tcPr/>
          <w:p>
            <w:pPr>
              <w:pStyle w:val="Compact"/>
              <w:jc w:val="right"/>
            </w:pPr>
            <w:r>
              <w:t xml:space="preserve">22,35</w:t>
            </w:r>
          </w:p>
        </w:tc>
        <w:tc>
          <w:tcPr/>
          <w:p>
            <w:pPr>
              <w:pStyle w:val="Compact"/>
              <w:jc w:val="right"/>
            </w:pPr>
            <w:r>
              <w:t xml:space="preserve">1,72</w:t>
            </w:r>
          </w:p>
        </w:tc>
      </w:tr>
      <w:tr>
        <w:tc>
          <w:tcPr/>
          <w:p>
            <w:pPr>
              <w:pStyle w:val="Compact"/>
              <w:jc w:val="left"/>
            </w:pPr>
            <w:r>
              <w:t xml:space="preserve">MA</w:t>
            </w:r>
          </w:p>
        </w:tc>
        <w:tc>
          <w:tcPr/>
          <w:p>
            <w:pPr>
              <w:pStyle w:val="Compact"/>
              <w:jc w:val="right"/>
            </w:pPr>
            <w:r>
              <w:t xml:space="preserve">91,77</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−16,52</w:t>
            </w:r>
          </w:p>
        </w:tc>
        <w:tc>
          <w:tcPr/>
          <w:p>
            <w:pPr>
              <w:pStyle w:val="Compact"/>
              <w:jc w:val="right"/>
            </w:pPr>
            <w:r>
              <w:t xml:space="preserve">−23,80</w:t>
            </w:r>
          </w:p>
        </w:tc>
        <w:tc>
          <w:tcPr/>
          <w:p>
            <w:pPr>
              <w:pStyle w:val="Compact"/>
              <w:jc w:val="right"/>
            </w:pPr>
            <w:r>
              <w:t xml:space="preserve">0,55</w:t>
            </w:r>
          </w:p>
        </w:tc>
      </w:tr>
      <w:tr>
        <w:tc>
          <w:tcPr/>
          <w:p>
            <w:pPr>
              <w:pStyle w:val="Compact"/>
              <w:jc w:val="left"/>
            </w:pPr>
            <w:r>
              <w:t xml:space="preserve">BA</w:t>
            </w:r>
          </w:p>
        </w:tc>
        <w:tc>
          <w:tcPr/>
          <w:p>
            <w:pPr>
              <w:pStyle w:val="Compact"/>
              <w:jc w:val="right"/>
            </w:pPr>
            <w:r>
              <w:t xml:space="preserve">230,44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0,85</w:t>
            </w:r>
          </w:p>
        </w:tc>
        <w:tc>
          <w:tcPr/>
          <w:p>
            <w:pPr>
              <w:pStyle w:val="Compact"/>
              <w:jc w:val="right"/>
            </w:pPr>
            <w:r>
              <w:t xml:space="preserve">−3,72</w:t>
            </w:r>
          </w:p>
        </w:tc>
        <w:tc>
          <w:tcPr/>
          <w:p>
            <w:pPr>
              <w:pStyle w:val="Compact"/>
              <w:jc w:val="right"/>
            </w:pPr>
            <w:r>
              <w:t xml:space="preserve">−0,57</w:t>
            </w:r>
          </w:p>
        </w:tc>
      </w:tr>
      <w:tr>
        <w:tc>
          <w:tcPr/>
          <w:p>
            <w:pPr>
              <w:pStyle w:val="Compact"/>
              <w:jc w:val="left"/>
            </w:pPr>
            <w:r>
              <w:t xml:space="preserve">PE</w:t>
            </w:r>
          </w:p>
        </w:tc>
        <w:tc>
          <w:tcPr/>
          <w:p>
            <w:pPr>
              <w:pStyle w:val="Compact"/>
              <w:jc w:val="right"/>
            </w:pPr>
            <w:r>
              <w:t xml:space="preserve">191,69</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16,49</w:t>
            </w:r>
          </w:p>
        </w:tc>
        <w:tc>
          <w:tcPr/>
          <w:p>
            <w:pPr>
              <w:pStyle w:val="Compact"/>
              <w:jc w:val="right"/>
            </w:pPr>
            <w:r>
              <w:t xml:space="preserve">−8,35</w:t>
            </w:r>
          </w:p>
        </w:tc>
        <w:tc>
          <w:tcPr/>
          <w:p>
            <w:pPr>
              <w:pStyle w:val="Compact"/>
              <w:jc w:val="right"/>
            </w:pPr>
            <w:r>
              <w:t xml:space="preserve">−9,83</w:t>
            </w:r>
          </w:p>
        </w:tc>
      </w:tr>
    </w:tbl>
    <w:p>
      <w:pPr>
        <w:pStyle w:val="BodyText"/>
      </w:pPr>
      <w:r>
        <w:t xml:space="preserve">Fonte: elaboração própria, Equação 5.</w:t>
      </w:r>
    </w:p>
    <w:p>
      <w:pPr>
        <w:pStyle w:val="BodyText"/>
      </w:pPr>
      <w:r>
        <w:t xml:space="preserve">Em outras palavras: ao nível regional agregado (a soma sobre setores), a homotetização de</w:t>
      </w:r>
      <w:r>
        <w:t xml:space="preserve"> </w:t>
      </w:r>
      <m:oMath>
        <m:r>
          <m:t>N</m:t>
        </m:r>
        <m:r>
          <m:t>E</m:t>
        </m:r>
      </m:oMath>
      <w:r>
        <w:t xml:space="preserve"> </w:t>
      </w:r>
      <w:r>
        <w:t xml:space="preserve">e</w:t>
      </w:r>
      <w:r>
        <w:t xml:space="preserve"> </w:t>
      </w:r>
      <m:oMath>
        <m:r>
          <m:t>I</m:t>
        </m:r>
        <m:r>
          <m:t>M</m:t>
        </m:r>
      </m:oMath>
      <w:r>
        <w:t xml:space="preserve"> </w:t>
      </w:r>
      <w:r>
        <w:t xml:space="preserve">não produz informação nova —</w:t>
      </w:r>
      <w:r>
        <w:t xml:space="preserve"> </w:t>
      </w:r>
      <m:oMath>
        <m:r>
          <m:t>E</m:t>
        </m:r>
        <m:sSub>
          <m:e>
            <m:r>
              <m:t>N</m:t>
            </m:r>
          </m:e>
          <m:sub>
            <m:r>
              <m:t>r</m:t>
            </m:r>
          </m:sub>
        </m:sSub>
      </m:oMath>
      <w:r>
        <w:t xml:space="preserve"> </w:t>
      </w:r>
      <w:r>
        <w:t xml:space="preserve">reproduz</w:t>
      </w:r>
      <w:r>
        <w:t xml:space="preserve"> </w:t>
      </w:r>
      <m:oMath>
        <m:r>
          <m:t>N</m:t>
        </m:r>
        <m:sSub>
          <m:e>
            <m:r>
              <m:t>E</m:t>
            </m:r>
          </m:e>
          <m:sub>
            <m:r>
              <m:t>r</m:t>
            </m:r>
          </m:sub>
        </m:sSub>
      </m:oMath>
      <w:r>
        <w:t xml:space="preserve"> </w:t>
      </w:r>
      <w:r>
        <w:t xml:space="preserve">e</w:t>
      </w:r>
      <w:r>
        <w:t xml:space="preserve"> </w:t>
      </w:r>
      <m:oMath>
        <m:r>
          <m:t>D</m:t>
        </m:r>
        <m:sSub>
          <m:e>
            <m:r>
              <m:t>M</m:t>
            </m:r>
          </m:e>
          <m:sub>
            <m:r>
              <m:t>r</m:t>
            </m:r>
          </m:sub>
        </m:sSub>
      </m:oMath>
      <w:r>
        <w:t xml:space="preserve"> </w:t>
      </w:r>
      <w:r>
        <w:t xml:space="preserve">reproduz</w:t>
      </w:r>
      <w:r>
        <w:t xml:space="preserve"> </w:t>
      </w:r>
      <m:oMath>
        <m:r>
          <m:t>I</m:t>
        </m:r>
        <m:sSub>
          <m:e>
            <m:r>
              <m:t>M</m:t>
            </m:r>
          </m:e>
          <m:sub>
            <m:r>
              <m:t>r</m:t>
            </m:r>
          </m:sub>
        </m:sSub>
      </m:oMath>
      <w:r>
        <w:t xml:space="preserve"> </w:t>
      </w:r>
      <w:r>
        <w:t xml:space="preserve">da Tabela 4, célula a célula. O ganho analítico da homotetização, como Esteban-Marquillas já havia percebido, está concentrado no efeito competitivo, onde</w:t>
      </w:r>
      <w:r>
        <w:t xml:space="preserve"> </w:t>
      </w:r>
      <m:oMath>
        <m:r>
          <m:rPr>
            <m:sty m:val="p"/>
          </m:rPr>
          <m:t>(</m:t>
        </m:r>
        <m:sSub>
          <m:e>
            <m:r>
              <m:t>g</m:t>
            </m:r>
          </m:e>
          <m:sub>
            <m:r>
              <m:t>r</m:t>
            </m:r>
            <m:r>
              <m:t>i</m:t>
            </m:r>
          </m:sub>
        </m:sSub>
        <m:r>
          <m:rPr>
            <m:sty m:val="p"/>
          </m:rPr>
          <m:t>−</m:t>
        </m:r>
        <m:sSub>
          <m:e>
            <m:r>
              <m:t>g</m:t>
            </m:r>
          </m:e>
          <m:sub>
            <m:r>
              <m:t>n</m:t>
            </m:r>
            <m:r>
              <m:t>i</m:t>
            </m:r>
          </m:sub>
        </m:sSub>
        <m:r>
          <m:rPr>
            <m:sty m:val="p"/>
          </m:rPr>
          <m:t>)</m:t>
        </m:r>
      </m:oMath>
      <w:r>
        <w:t xml:space="preserve"> </w:t>
      </w:r>
      <w:r>
        <w:t xml:space="preserve">varia célula a célula e não se anula ao somar. Esse resultado algébrico é consistente com — e ajuda a explicar — o achado empírico de Keil (1992), que, usando dados de Indiana (1977–1986), concluiu que as extensões homotéticas de Esteban-Marquillas e Arcelus</w:t>
      </w:r>
      <w:r>
        <w:t xml:space="preserve"> </w:t>
      </w:r>
      <w:r>
        <w:t xml:space="preserve">“lançam pouca luz sobre o crescimento regional total”</w:t>
      </w:r>
      <w:r>
        <w:t xml:space="preserve"> </w:t>
      </w:r>
      <w:r>
        <w:t xml:space="preserve">mesmo quando esclarecem taxas de indústrias individuais: o próprio arcabouço algébrico garante que dois dos quatro novos subcomponentes de Arcelus sejam nulos quando agregados por região. Arcelus (1984) propôs ainda um segundo modelo (Arcelus II), com um efeito de crescimento regional endógeno e um efeito de composição regional, que usa a taxa de crescimento</w:t>
      </w:r>
      <w:r>
        <w:t xml:space="preserve"> </w:t>
      </w:r>
      <w:r>
        <w:rPr>
          <w:i/>
          <w:iCs/>
        </w:rPr>
        <w:t xml:space="preserve">da própria região</w:t>
      </w:r>
      <w:r>
        <w:t xml:space="preserve"> </w:t>
      </w:r>
      <w:r>
        <w:t xml:space="preserve">como referência em vez da taxa nacional; por não termos acesso à formulação algébrica original da fonte primária, essa extensão é tratada aqui apenas conceitualmente, sem exemplo numérico — ver a ressalva na Seção 14.</w:t>
      </w:r>
    </w:p>
    <w:bookmarkEnd w:id="22"/>
    <w:bookmarkEnd w:id="23"/>
    <w:bookmarkStart w:id="27" w:name="shift-share-dinâmico-barff-knight-1988"/>
    <w:p>
      <w:pPr>
        <w:pStyle w:val="Heading2"/>
      </w:pPr>
      <w:r>
        <w:t xml:space="preserve">8 SHIFT-SHARE DINÂMICO: BARFF-KNIGHT (1988)</w:t>
      </w:r>
    </w:p>
    <w:bookmarkStart w:id="24" w:name="justificativa-2"/>
    <w:p>
      <w:pPr>
        <w:pStyle w:val="Heading3"/>
      </w:pPr>
      <w:r>
        <w:t xml:space="preserve">8.1 Justificativa</w:t>
      </w:r>
    </w:p>
    <w:p>
      <w:pPr>
        <w:pStyle w:val="FirstParagraph"/>
      </w:pPr>
      <w:r>
        <w:t xml:space="preserve">Todas as decomposições até aqui são</w:t>
      </w:r>
      <w:r>
        <w:t xml:space="preserve"> </w:t>
      </w:r>
      <w:r>
        <w:t xml:space="preserve">“estáticas comparativas”</w:t>
      </w:r>
      <w:r>
        <w:t xml:space="preserve">: comparam apenas os pontos</w:t>
      </w:r>
      <w:r>
        <w:t xml:space="preserve"> </w:t>
      </w:r>
      <m:oMath>
        <m:sSub>
          <m:e>
            <m:r>
              <m:t>t</m:t>
            </m:r>
          </m:e>
          <m:sub>
            <m:r>
              <m:t>0</m:t>
            </m:r>
          </m:sub>
        </m:sSub>
      </m:oMath>
      <w:r>
        <w:t xml:space="preserve"> </w:t>
      </w:r>
      <w:r>
        <w:t xml:space="preserve">e</w:t>
      </w:r>
      <w:r>
        <w:t xml:space="preserve"> </w:t>
      </w:r>
      <m:oMath>
        <m:sSub>
          <m:e>
            <m:r>
              <m:t>t</m:t>
            </m:r>
          </m:e>
          <m:sub>
            <m:r>
              <m:t>1</m:t>
            </m:r>
          </m:sub>
        </m:sSub>
      </m:oMath>
      <w:r>
        <w:t xml:space="preserve">, ignorando a trajetória entre eles. Barff e Knight (1988), retomando uma sugestão de Thirlwall (1967) de particionar o período em subperíodos, argumentaram que essa comparação de extremos é distorcida por crescimento composto e por mudanças na composição setorial</w:t>
      </w:r>
      <w:r>
        <w:t xml:space="preserve"> </w:t>
      </w:r>
      <w:r>
        <w:rPr>
          <w:i/>
          <w:iCs/>
        </w:rPr>
        <w:t xml:space="preserve">durante</w:t>
      </w:r>
      <w:r>
        <w:t xml:space="preserve"> </w:t>
      </w:r>
      <w:r>
        <w:t xml:space="preserve">o intervalo — um setor pode crescer rapidamente no início do período e desacelerar no fim (ou vice-versa) sem que a taxa ponta a ponta capture essa dinâmica.</w:t>
      </w:r>
    </w:p>
    <w:bookmarkEnd w:id="24"/>
    <w:bookmarkStart w:id="25" w:name="formalização-2"/>
    <w:p>
      <w:pPr>
        <w:pStyle w:val="Heading3"/>
      </w:pPr>
      <w:r>
        <w:t xml:space="preserve">8.2 Formalização</w:t>
      </w:r>
    </w:p>
    <w:p>
      <w:pPr>
        <w:pStyle w:val="FirstParagraph"/>
      </w:pPr>
      <w:r>
        <w:t xml:space="preserve">Particiona-se o intervalo</w:t>
      </w:r>
      <w:r>
        <w:t xml:space="preserve"> </w:t>
      </w:r>
      <m:oMath>
        <m:r>
          <m:rPr>
            <m:sty m:val="p"/>
          </m:rPr>
          <m:t>[</m:t>
        </m:r>
        <m:sSub>
          <m:e>
            <m:r>
              <m:t>t</m:t>
            </m:r>
          </m:e>
          <m:sub>
            <m:r>
              <m:t>0</m:t>
            </m:r>
          </m:sub>
        </m:sSub>
        <m:r>
          <m:rPr>
            <m:sty m:val="p"/>
          </m:rPr>
          <m:t>,</m:t>
        </m:r>
        <m:sSub>
          <m:e>
            <m:r>
              <m:t>t</m:t>
            </m:r>
          </m:e>
          <m:sub>
            <m:r>
              <m:t>1</m:t>
            </m:r>
          </m:sub>
        </m:sSub>
        <m:r>
          <m:rPr>
            <m:sty m:val="p"/>
          </m:rPr>
          <m:t>]</m:t>
        </m:r>
      </m:oMath>
      <w:r>
        <w:t xml:space="preserve"> </w:t>
      </w:r>
      <w:r>
        <w:t xml:space="preserve">em</w:t>
      </w:r>
      <w:r>
        <w:t xml:space="preserve"> </w:t>
      </w:r>
      <m:oMath>
        <m:r>
          <m:t>K</m:t>
        </m:r>
      </m:oMath>
      <w:r>
        <w:t xml:space="preserve"> </w:t>
      </w:r>
      <w:r>
        <w:t xml:space="preserve">subperíodos. Para cada subperíodo</w:t>
      </w:r>
      <w:r>
        <w:t xml:space="preserve"> </w:t>
      </w:r>
      <m:oMath>
        <m:r>
          <m:t>k</m:t>
        </m:r>
      </m:oMath>
      <w:r>
        <w:t xml:space="preserve">, calcula-se a decomposição clássica (Equação 1) usando o emprego do início do subperíodo como peso-base; o efeito competitivo dinâmico é a soma dos efeitos competitivos de cada subperíodo:</w:t>
      </w:r>
    </w:p>
    <w:p>
      <w:pPr>
        <w:pStyle w:val="BodyText"/>
      </w:pPr>
      <m:oMathPara>
        <m:oMathParaPr>
          <m:jc m:val="center"/>
        </m:oMathParaPr>
        <m:oMath>
          <m:r>
            <m:t>C</m:t>
          </m:r>
          <m:sSubSup>
            <m:e>
              <m:r>
                <m:t>E</m:t>
              </m:r>
            </m:e>
            <m:sub>
              <m:r>
                <m:t>r</m:t>
              </m:r>
              <m:r>
                <m:t>i</m:t>
              </m:r>
            </m:sub>
            <m:sup>
              <m:r>
                <m:rPr>
                  <m:nor/>
                  <m:sty m:val="p"/>
                </m:rPr>
                <m:t>din</m:t>
              </m:r>
            </m:sup>
          </m:sSubSup>
          <m:r>
            <m:rPr>
              <m:sty m:val="p"/>
            </m:rPr>
            <m:t>=</m:t>
          </m:r>
          <m:nary>
            <m:naryPr>
              <m:chr m:val="∑"/>
              <m:limLoc m:val="undOvr"/>
              <m:subHide m:val="off"/>
              <m:supHide m:val="off"/>
            </m:naryPr>
            <m:sub>
              <m:r>
                <m:t>k</m:t>
              </m:r>
              <m:r>
                <m:rPr>
                  <m:sty m:val="p"/>
                </m:rPr>
                <m:t>=</m:t>
              </m:r>
              <m:r>
                <m:t>1</m:t>
              </m:r>
            </m:sub>
            <m:sup>
              <m:r>
                <m:t>K</m:t>
              </m:r>
            </m:sup>
            <m:e>
              <m:sSub>
                <m:e>
                  <m:r>
                    <m:t>E</m:t>
                  </m:r>
                </m:e>
                <m:sub>
                  <m:r>
                    <m:t>k</m:t>
                  </m:r>
                  <m:r>
                    <m:rPr>
                      <m:sty m:val="p"/>
                    </m:rPr>
                    <m:t>−</m:t>
                  </m:r>
                  <m:r>
                    <m:t>1</m:t>
                  </m:r>
                  <m:r>
                    <m:rPr>
                      <m:sty m:val="p"/>
                    </m:rPr>
                    <m:t>,</m:t>
                  </m:r>
                  <m:r>
                    <m:t>r</m:t>
                  </m:r>
                  <m:r>
                    <m:t>i</m:t>
                  </m:r>
                </m:sub>
              </m:sSub>
            </m:e>
          </m:nary>
          <m:d>
            <m:dPr>
              <m:begChr m:val="("/>
              <m:sepChr m:val=""/>
              <m:endChr m:val=")"/>
              <m:grow/>
            </m:dPr>
            <m:e>
              <m:sSubSup>
                <m:e>
                  <m:r>
                    <m:t>g</m:t>
                  </m:r>
                </m:e>
                <m:sub>
                  <m:r>
                    <m:t>r</m:t>
                  </m:r>
                  <m:r>
                    <m:t>i</m:t>
                  </m:r>
                </m:sub>
                <m:sup>
                  <m:r>
                    <m:rPr>
                      <m:sty m:val="p"/>
                    </m:rPr>
                    <m:t>(</m:t>
                  </m:r>
                  <m:r>
                    <m:t>k</m:t>
                  </m:r>
                  <m:r>
                    <m:rPr>
                      <m:sty m:val="p"/>
                    </m:rPr>
                    <m:t>)</m:t>
                  </m:r>
                </m:sup>
              </m:sSubSup>
              <m:r>
                <m:rPr>
                  <m:sty m:val="p"/>
                </m:rPr>
                <m:t>−</m:t>
              </m:r>
              <m:sSubSup>
                <m:e>
                  <m:r>
                    <m:t>g</m:t>
                  </m:r>
                </m:e>
                <m:sub>
                  <m:r>
                    <m:t>n</m:t>
                  </m:r>
                  <m:r>
                    <m:t>i</m:t>
                  </m:r>
                </m:sub>
                <m:sup>
                  <m:r>
                    <m:rPr>
                      <m:sty m:val="p"/>
                    </m:rPr>
                    <m:t>(</m:t>
                  </m:r>
                  <m:r>
                    <m:t>k</m:t>
                  </m:r>
                  <m:r>
                    <m:rPr>
                      <m:sty m:val="p"/>
                    </m:rPr>
                    <m:t>)</m:t>
                  </m:r>
                </m:sup>
              </m:sSubSup>
            </m:e>
          </m:d>
        </m:oMath>
      </m:oMathPara>
    </w:p>
    <w:p>
      <w:pPr>
        <w:pStyle w:val="FirstParagraph"/>
      </w:pPr>
      <w:r>
        <w:t xml:space="preserve">em que</w:t>
      </w:r>
      <w:r>
        <w:t xml:space="preserve"> </w:t>
      </w:r>
      <m:oMath>
        <m:sSubSup>
          <m:e>
            <m:r>
              <m:t>g</m:t>
            </m:r>
          </m:e>
          <m:sub>
            <m:r>
              <m:t>r</m:t>
            </m:r>
            <m:r>
              <m:t>i</m:t>
            </m:r>
          </m:sub>
          <m:sup>
            <m:r>
              <m:rPr>
                <m:sty m:val="p"/>
              </m:rPr>
              <m:t>(</m:t>
            </m:r>
            <m:r>
              <m:t>k</m:t>
            </m:r>
            <m:r>
              <m:rPr>
                <m:sty m:val="p"/>
              </m:rPr>
              <m:t>)</m:t>
            </m:r>
          </m:sup>
        </m:sSubSup>
      </m:oMath>
      <w:r>
        <w:t xml:space="preserve"> </w:t>
      </w:r>
      <w:r>
        <w:t xml:space="preserve">e</w:t>
      </w:r>
      <w:r>
        <w:t xml:space="preserve"> </w:t>
      </w:r>
      <m:oMath>
        <m:sSubSup>
          <m:e>
            <m:r>
              <m:t>g</m:t>
            </m:r>
          </m:e>
          <m:sub>
            <m:r>
              <m:t>n</m:t>
            </m:r>
            <m:r>
              <m:t>i</m:t>
            </m:r>
          </m:sub>
          <m:sup>
            <m:r>
              <m:rPr>
                <m:sty m:val="p"/>
              </m:rPr>
              <m:t>(</m:t>
            </m:r>
            <m:r>
              <m:t>k</m:t>
            </m:r>
            <m:r>
              <m:rPr>
                <m:sty m:val="p"/>
              </m:rPr>
              <m:t>)</m:t>
            </m:r>
          </m:sup>
        </m:sSubSup>
      </m:oMath>
      <w:r>
        <w:t xml:space="preserve"> </w:t>
      </w:r>
      <w:r>
        <w:t xml:space="preserve">são as taxas regional-setorial e nacional-setorial calculadas apenas dentro do subperíodo</w:t>
      </w:r>
      <w:r>
        <w:t xml:space="preserve"> </w:t>
      </w:r>
      <m:oMath>
        <m:r>
          <m:t>k</m:t>
        </m:r>
      </m:oMath>
      <w:r>
        <w:t xml:space="preserve">, com peso-base</w:t>
      </w:r>
      <w:r>
        <w:t xml:space="preserve"> </w:t>
      </w:r>
      <m:oMath>
        <m:sSub>
          <m:e>
            <m:r>
              <m:t>E</m:t>
            </m:r>
          </m:e>
          <m:sub>
            <m:r>
              <m:t>k</m:t>
            </m:r>
            <m:r>
              <m:rPr>
                <m:sty m:val="p"/>
              </m:rPr>
              <m:t>−</m:t>
            </m:r>
            <m:r>
              <m:t>1</m:t>
            </m:r>
            <m:r>
              <m:rPr>
                <m:sty m:val="p"/>
              </m:rPr>
              <m:t>,</m:t>
            </m:r>
            <m:r>
              <m:t>r</m:t>
            </m:r>
            <m:r>
              <m:t>i</m:t>
            </m:r>
          </m:sub>
        </m:sSub>
      </m:oMath>
      <w:r>
        <w:t xml:space="preserve"> </w:t>
      </w:r>
      <w:r>
        <w:t xml:space="preserve">(o emprego no início daquele subperíodo, não o do início do período total). Compara-se</w:t>
      </w:r>
      <w:r>
        <w:t xml:space="preserve"> </w:t>
      </w:r>
      <m:oMath>
        <m:r>
          <m:t>C</m:t>
        </m:r>
        <m:sSubSup>
          <m:e>
            <m:r>
              <m:t>E</m:t>
            </m:r>
          </m:e>
          <m:sub>
            <m:r>
              <m:t>r</m:t>
            </m:r>
            <m:r>
              <m:t>i</m:t>
            </m:r>
          </m:sub>
          <m:sup>
            <m:r>
              <m:rPr>
                <m:nor/>
                <m:sty m:val="p"/>
              </m:rPr>
              <m:t>din</m:t>
            </m:r>
          </m:sup>
        </m:sSubSup>
      </m:oMath>
      <w:r>
        <w:t xml:space="preserve"> </w:t>
      </w:r>
      <w:r>
        <w:t xml:space="preserve">ao efeito competitivo estático</w:t>
      </w:r>
      <w:r>
        <w:t xml:space="preserve"> </w:t>
      </w:r>
      <m:oMath>
        <m:r>
          <m:t>C</m:t>
        </m:r>
        <m:sSubSup>
          <m:e>
            <m:r>
              <m:t>E</m:t>
            </m:r>
          </m:e>
          <m:sub>
            <m:r>
              <m:t>r</m:t>
            </m:r>
            <m:r>
              <m:t>i</m:t>
            </m:r>
          </m:sub>
          <m:sup>
            <m:r>
              <m:rPr>
                <m:nor/>
                <m:sty m:val="p"/>
              </m:rPr>
              <m:t>est</m:t>
            </m:r>
          </m:sup>
        </m:sSubSup>
      </m:oMath>
      <w:r>
        <w:t xml:space="preserve"> </w:t>
      </w:r>
      <w:r>
        <w:t xml:space="preserve">(Equação 1, aplicada diretamente a</w:t>
      </w:r>
      <w:r>
        <w:t xml:space="preserve"> </w:t>
      </w:r>
      <m:oMath>
        <m:sSub>
          <m:e>
            <m:r>
              <m:t>t</m:t>
            </m:r>
          </m:e>
          <m:sub>
            <m:r>
              <m:t>0</m:t>
            </m:r>
          </m:sub>
        </m:sSub>
      </m:oMath>
      <w:r>
        <w:t xml:space="preserve"> </w:t>
      </w:r>
      <w:r>
        <w:t xml:space="preserve">e</w:t>
      </w:r>
      <w:r>
        <w:t xml:space="preserve"> </w:t>
      </w:r>
      <m:oMath>
        <m:sSub>
          <m:e>
            <m:r>
              <m:t>t</m:t>
            </m:r>
          </m:e>
          <m:sub>
            <m:r>
              <m:t>1</m:t>
            </m:r>
          </m:sub>
        </m:sSub>
      </m:oMath>
      <w:r>
        <w:t xml:space="preserve">) para medir a magnitude da distorção de trajetória.</w:t>
      </w:r>
    </w:p>
    <w:bookmarkEnd w:id="25"/>
    <w:bookmarkStart w:id="26" w:name="aplicação"/>
    <w:p>
      <w:pPr>
        <w:pStyle w:val="Heading3"/>
      </w:pPr>
      <w:r>
        <w:t xml:space="preserve">8.3 Aplicação</w:t>
      </w:r>
    </w:p>
    <w:p>
      <w:pPr>
        <w:pStyle w:val="FirstParagraph"/>
      </w:pPr>
      <w:r>
        <w:t xml:space="preserve">Para ilustrar, o intervalo</w:t>
      </w:r>
      <w:r>
        <w:t xml:space="preserve"> </w:t>
      </w:r>
      <m:oMath>
        <m:r>
          <m:rPr>
            <m:sty m:val="p"/>
          </m:rPr>
          <m:t>[</m:t>
        </m:r>
        <m:sSub>
          <m:e>
            <m:r>
              <m:t>t</m:t>
            </m:r>
          </m:e>
          <m:sub>
            <m:r>
              <m:t>0</m:t>
            </m:r>
          </m:sub>
        </m:sSub>
        <m:r>
          <m:rPr>
            <m:sty m:val="p"/>
          </m:rPr>
          <m:t>,</m:t>
        </m:r>
        <m:sSub>
          <m:e>
            <m:r>
              <m:t>t</m:t>
            </m:r>
          </m:e>
          <m:sub>
            <m:r>
              <m:t>1</m:t>
            </m:r>
          </m:sub>
        </m:sSub>
        <m:r>
          <m:rPr>
            <m:sty m:val="p"/>
          </m:rPr>
          <m:t>]</m:t>
        </m:r>
      </m:oMath>
      <w:r>
        <w:t xml:space="preserve"> </w:t>
      </w:r>
      <w:r>
        <w:t xml:space="preserve">foi dividido em dois subperíodos (</w:t>
      </w:r>
      <m:oMath>
        <m:r>
          <m:t>K</m:t>
        </m:r>
        <m:r>
          <m:rPr>
            <m:sty m:val="p"/>
          </m:rPr>
          <m:t>=</m:t>
        </m:r>
        <m:r>
          <m:t>2</m:t>
        </m:r>
      </m:oMath>
      <w:r>
        <w:t xml:space="preserve">) com uma trajetória setorial deliberadamente desigual — crescimento industrial concentrado no primeiro subperíodo e crescimento de serviços concentrado no segundo, um padrão plausível de transição estrutural. A Tabela 9 compara o efeito competitivo dinâmico (soma dos dois subperíodos, Equação 6) ao estático (Equação 1).</w:t>
      </w:r>
    </w:p>
    <w:p>
      <w:pPr>
        <w:pStyle w:val="BodyText"/>
      </w:pPr>
      <w:r>
        <w:rPr>
          <w:b/>
          <w:bCs/>
        </w:rPr>
        <w:t xml:space="preserve">Tabela 9 — Efeito competitivo: decomposição dinâmica versus estática, totais regionais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Região</w:t>
            </w:r>
          </w:p>
        </w:tc>
        <w:tc>
          <w:tcPr/>
          <w:p>
            <w:pPr>
              <w:pStyle w:val="Compact"/>
              <w:jc w:val="right"/>
            </w:pPr>
            <m:oMath>
              <m:r>
                <m:t>C</m:t>
              </m:r>
              <m:sSubSup>
                <m:e>
                  <m:r>
                    <m:t>E</m:t>
                  </m:r>
                </m:e>
                <m:sub>
                  <m:r>
                    <m:t>r</m:t>
                  </m:r>
                </m:sub>
                <m:sup>
                  <m:r>
                    <m:rPr>
                      <m:nor/>
                      <m:sty m:val="p"/>
                    </m:rPr>
                    <m:t>din</m:t>
                  </m:r>
                </m:sup>
              </m:sSubSup>
            </m:oMath>
            <w:r>
              <w:t xml:space="preserve"> </w:t>
            </w:r>
            <w:r>
              <w:t xml:space="preserve">(soma de 2 subperíodos)</w:t>
            </w:r>
          </w:p>
        </w:tc>
        <w:tc>
          <w:tcPr/>
          <w:p>
            <w:pPr>
              <w:pStyle w:val="Compact"/>
              <w:jc w:val="right"/>
            </w:pPr>
            <m:oMath>
              <m:r>
                <m:t>C</m:t>
              </m:r>
              <m:sSubSup>
                <m:e>
                  <m:r>
                    <m:t>E</m:t>
                  </m:r>
                </m:e>
                <m:sub>
                  <m:r>
                    <m:t>r</m:t>
                  </m:r>
                </m:sub>
                <m:sup>
                  <m:r>
                    <m:rPr>
                      <m:nor/>
                      <m:sty m:val="p"/>
                    </m:rPr>
                    <m:t>est</m:t>
                  </m:r>
                </m:sup>
              </m:sSubSup>
            </m:oMath>
            <w:r>
              <w:t xml:space="preserve">​</w:t>
            </w:r>
          </w:p>
        </w:tc>
        <w:tc>
          <w:tcPr/>
          <w:p>
            <w:pPr>
              <w:pStyle w:val="Compact"/>
              <w:jc w:val="right"/>
            </w:pPr>
            <w:r>
              <w:t xml:space="preserve">Diferença</w:t>
            </w:r>
          </w:p>
        </w:tc>
      </w:tr>
      <w:tr>
        <w:tc>
          <w:tcPr/>
          <w:p>
            <w:pPr>
              <w:pStyle w:val="Compact"/>
              <w:jc w:val="left"/>
            </w:pPr>
            <w:r>
              <w:t xml:space="preserve">PI</w:t>
            </w:r>
          </w:p>
        </w:tc>
        <w:tc>
          <w:tcPr/>
          <w:p>
            <w:pPr>
              <w:pStyle w:val="Compact"/>
              <w:jc w:val="right"/>
            </w:pPr>
            <w:r>
              <w:t xml:space="preserve">23,55</w:t>
            </w:r>
          </w:p>
        </w:tc>
        <w:tc>
          <w:tcPr/>
          <w:p>
            <w:pPr>
              <w:pStyle w:val="Compact"/>
              <w:jc w:val="right"/>
            </w:pPr>
            <w:r>
              <w:t xml:space="preserve">25,65</w:t>
            </w:r>
          </w:p>
        </w:tc>
        <w:tc>
          <w:tcPr/>
          <w:p>
            <w:pPr>
              <w:pStyle w:val="Compact"/>
              <w:jc w:val="right"/>
            </w:pPr>
            <w:r>
              <w:t xml:space="preserve">−2,10</w:t>
            </w:r>
          </w:p>
        </w:tc>
      </w:tr>
      <w:tr>
        <w:tc>
          <w:tcPr/>
          <w:p>
            <w:pPr>
              <w:pStyle w:val="Compact"/>
              <w:jc w:val="left"/>
            </w:pPr>
            <w:r>
              <w:t xml:space="preserve">CE</w:t>
            </w:r>
          </w:p>
        </w:tc>
        <w:tc>
          <w:tcPr/>
          <w:p>
            <w:pPr>
              <w:pStyle w:val="Compact"/>
              <w:jc w:val="right"/>
            </w:pPr>
            <w:r>
              <w:t xml:space="preserve">25,08</w:t>
            </w:r>
          </w:p>
        </w:tc>
        <w:tc>
          <w:tcPr/>
          <w:p>
            <w:pPr>
              <w:pStyle w:val="Compact"/>
              <w:jc w:val="right"/>
            </w:pPr>
            <w:r>
              <w:t xml:space="preserve">25,93</w:t>
            </w:r>
          </w:p>
        </w:tc>
        <w:tc>
          <w:tcPr/>
          <w:p>
            <w:pPr>
              <w:pStyle w:val="Compact"/>
              <w:jc w:val="right"/>
            </w:pPr>
            <w:r>
              <w:t xml:space="preserve">−0,84</w:t>
            </w:r>
          </w:p>
        </w:tc>
      </w:tr>
      <w:tr>
        <w:tc>
          <w:tcPr/>
          <w:p>
            <w:pPr>
              <w:pStyle w:val="Compact"/>
              <w:jc w:val="left"/>
            </w:pPr>
            <w:r>
              <w:t xml:space="preserve">MA</w:t>
            </w:r>
          </w:p>
        </w:tc>
        <w:tc>
          <w:tcPr/>
          <w:p>
            <w:pPr>
              <w:pStyle w:val="Compact"/>
              <w:jc w:val="right"/>
            </w:pPr>
            <w:r>
              <w:t xml:space="preserve">−23,96</w:t>
            </w:r>
          </w:p>
        </w:tc>
        <w:tc>
          <w:tcPr/>
          <w:p>
            <w:pPr>
              <w:pStyle w:val="Compact"/>
              <w:jc w:val="right"/>
            </w:pPr>
            <w:r>
              <w:t xml:space="preserve">−24,97</w:t>
            </w:r>
          </w:p>
        </w:tc>
        <w:tc>
          <w:tcPr/>
          <w:p>
            <w:pPr>
              <w:pStyle w:val="Compact"/>
              <w:jc w:val="right"/>
            </w:pPr>
            <w:r>
              <w:t xml:space="preserve">1,01</w:t>
            </w:r>
          </w:p>
        </w:tc>
      </w:tr>
      <w:tr>
        <w:tc>
          <w:tcPr/>
          <w:p>
            <w:pPr>
              <w:pStyle w:val="Compact"/>
              <w:jc w:val="left"/>
            </w:pPr>
            <w:r>
              <w:t xml:space="preserve">BA</w:t>
            </w:r>
          </w:p>
        </w:tc>
        <w:tc>
          <w:tcPr/>
          <w:p>
            <w:pPr>
              <w:pStyle w:val="Compact"/>
              <w:jc w:val="right"/>
            </w:pPr>
            <w:r>
              <w:t xml:space="preserve">−4,96</w:t>
            </w:r>
          </w:p>
        </w:tc>
        <w:tc>
          <w:tcPr/>
          <w:p>
            <w:pPr>
              <w:pStyle w:val="Compact"/>
              <w:jc w:val="right"/>
            </w:pPr>
            <w:r>
              <w:t xml:space="preserve">−4,86</w:t>
            </w:r>
          </w:p>
        </w:tc>
        <w:tc>
          <w:tcPr/>
          <w:p>
            <w:pPr>
              <w:pStyle w:val="Compact"/>
              <w:jc w:val="right"/>
            </w:pPr>
            <w:r>
              <w:t xml:space="preserve">−0,09</w:t>
            </w:r>
          </w:p>
        </w:tc>
      </w:tr>
      <w:tr>
        <w:tc>
          <w:tcPr/>
          <w:p>
            <w:pPr>
              <w:pStyle w:val="Compact"/>
              <w:jc w:val="left"/>
            </w:pPr>
            <w:r>
              <w:t xml:space="preserve">PE</w:t>
            </w:r>
          </w:p>
        </w:tc>
        <w:tc>
          <w:tcPr/>
          <w:p>
            <w:pPr>
              <w:pStyle w:val="Compact"/>
              <w:jc w:val="right"/>
            </w:pPr>
            <w:r>
              <w:t xml:space="preserve">−19,71</w:t>
            </w:r>
          </w:p>
        </w:tc>
        <w:tc>
          <w:tcPr/>
          <w:p>
            <w:pPr>
              <w:pStyle w:val="Compact"/>
              <w:jc w:val="right"/>
            </w:pPr>
            <w:r>
              <w:t xml:space="preserve">−21,75</w:t>
            </w:r>
          </w:p>
        </w:tc>
        <w:tc>
          <w:tcPr/>
          <w:p>
            <w:pPr>
              <w:pStyle w:val="Compact"/>
              <w:jc w:val="right"/>
            </w:pPr>
            <w:r>
              <w:t xml:space="preserve">2,04</w:t>
            </w:r>
          </w:p>
        </w:tc>
      </w:tr>
    </w:tbl>
    <w:p>
      <w:pPr>
        <w:pStyle w:val="BodyText"/>
      </w:pPr>
      <w:r>
        <w:t xml:space="preserve">Fonte: elaboração própria, Equações 1 e 6, com trajetória hipotética de dois subperíodos.</w:t>
      </w:r>
    </w:p>
    <w:p>
      <w:pPr>
        <w:pStyle w:val="BodyText"/>
      </w:pPr>
      <w:r>
        <w:t xml:space="preserve">A diferença entre as duas formas não é uniforme entre regiões — nem em magnitude, nem em sinal. Para Piauí e Ceará, a forma estática superestima o efeito competitivo em relação à forma dinâmica (diferenças negativas); para Maranhão e Pernambuco, ocorre o oposto: a forma estática</w:t>
      </w:r>
      <w:r>
        <w:t xml:space="preserve"> </w:t>
      </w:r>
      <w:r>
        <w:rPr>
          <w:i/>
          <w:iCs/>
        </w:rPr>
        <w:t xml:space="preserve">subestima</w:t>
      </w:r>
      <w:r>
        <w:t xml:space="preserve"> </w:t>
      </w:r>
      <w:r>
        <w:t xml:space="preserve">o desempenho competitivo real ao concentrar toda a comparação nos dois pontos extremos. Isso confirma, neste exemplo reduzido, a advertência de Barff e Knight (1988): a decomposição ponto a ponto pode inverter o sinal relativo da vantagem competitiva entre regiões dependendo de como a mudança estrutural se distribuiu dentro do intervalo, sobretudo quando o período é longo ou volátil.</w:t>
      </w:r>
    </w:p>
    <w:bookmarkEnd w:id="26"/>
    <w:bookmarkEnd w:id="27"/>
    <w:bookmarkStart w:id="31" w:name="X2028b6a13ae7a0744a5a3182a6d001246cdad99"/>
    <w:p>
      <w:pPr>
        <w:pStyle w:val="Heading2"/>
      </w:pPr>
      <w:r>
        <w:t xml:space="preserve">9 FORMALIZAÇÃO INFERENCIAL: A ANOVA DE BERZEG (1978, 1984)</w:t>
      </w:r>
    </w:p>
    <w:bookmarkStart w:id="28" w:name="justificativa-3"/>
    <w:p>
      <w:pPr>
        <w:pStyle w:val="Heading3"/>
      </w:pPr>
      <w:r>
        <w:t xml:space="preserve">9.1 Justificativa</w:t>
      </w:r>
    </w:p>
    <w:p>
      <w:pPr>
        <w:pStyle w:val="FirstParagraph"/>
      </w:pPr>
      <w:r>
        <w:t xml:space="preserve">Como observam Selting e Loveridge (1992), por ser uma identidade determinística, nenhum componente da SSA clássica pode ser testado estatisticamente — não há erro-padrão, não há teste de hipótese, não há forma de dizer se um efeito competitivo de −4,29 (Bahia, Tabela 4) é</w:t>
      </w:r>
      <w:r>
        <w:t xml:space="preserve"> </w:t>
      </w:r>
      <w:r>
        <w:t xml:space="preserve">“significativamente”</w:t>
      </w:r>
      <w:r>
        <w:t xml:space="preserve"> </w:t>
      </w:r>
      <w:r>
        <w:t xml:space="preserve">diferente de zero ou apenas ruído amostral. Berzeg (1978, 1984) forneceu a fundamentação estatística definitiva ao recastar a identidade como um modelo linear de análise de variância (ANOVA), no qual o crescimento nacional é o intercepto, a composição setorial é um coeficiente estimado e o efeito competitivo é o</w:t>
      </w:r>
      <w:r>
        <w:t xml:space="preserve"> </w:t>
      </w:r>
      <w:r>
        <w:rPr>
          <w:b/>
          <w:bCs/>
        </w:rPr>
        <w:t xml:space="preserve">termo de erro</w:t>
      </w:r>
      <w:r>
        <w:t xml:space="preserve"> </w:t>
      </w:r>
      <w:r>
        <w:t xml:space="preserve">de uma regressão — passível, sob normalidade dos erros, de teste</w:t>
      </w:r>
      <w:r>
        <w:t xml:space="preserve"> </w:t>
      </w:r>
      <w:r>
        <w:rPr>
          <w:i/>
          <w:iCs/>
        </w:rPr>
        <w:t xml:space="preserve">t</w:t>
      </w:r>
      <w:r>
        <w:t xml:space="preserve">.</w:t>
      </w:r>
    </w:p>
    <w:bookmarkEnd w:id="28"/>
    <w:bookmarkStart w:id="29" w:name="formalização-3"/>
    <w:p>
      <w:pPr>
        <w:pStyle w:val="Heading3"/>
      </w:pPr>
      <w:r>
        <w:t xml:space="preserve">9.2 Formalização</w:t>
      </w:r>
    </w:p>
    <w:p>
      <w:pPr>
        <w:pStyle w:val="FirstParagraph"/>
      </w:pPr>
      <w:r>
        <w:t xml:space="preserve">Considere a regressão da taxa de crescimento regional-setorial em variáveis binárias (</w:t>
      </w:r>
      <w:r>
        <w:rPr>
          <w:i/>
          <w:iCs/>
        </w:rPr>
        <w:t xml:space="preserve">dummies</w:t>
      </w:r>
      <w:r>
        <w:t xml:space="preserve">) de setor, sem intercepto separado (conjunto completo de</w:t>
      </w:r>
      <w:r>
        <w:t xml:space="preserve"> </w:t>
      </w:r>
      <w:r>
        <w:rPr>
          <w:i/>
          <w:iCs/>
        </w:rPr>
        <w:t xml:space="preserve">dummies</w:t>
      </w:r>
      <w:r>
        <w:t xml:space="preserve">):</w:t>
      </w:r>
    </w:p>
    <w:p>
      <w:pPr>
        <w:pStyle w:val="BodyText"/>
      </w:pPr>
      <m:oMathPara>
        <m:oMathParaPr>
          <m:jc m:val="center"/>
        </m:oMathParaPr>
        <m:oMath>
          <m:sSub>
            <m:e>
              <m:r>
                <m:t>g</m:t>
              </m:r>
            </m:e>
            <m:sub>
              <m:r>
                <m:t>r</m:t>
              </m:r>
              <m:r>
                <m:t>i</m:t>
              </m:r>
            </m:sub>
          </m:sSub>
          <m:r>
            <m:rPr>
              <m:sty m:val="p"/>
            </m:rPr>
            <m:t>=</m:t>
          </m:r>
          <m:nary>
            <m:naryPr>
              <m:chr m:val="∑"/>
              <m:limLoc m:val="undOvr"/>
              <m:subHide m:val="off"/>
              <m:supHide m:val="off"/>
            </m:naryPr>
            <m:sub>
              <m:r>
                <m:t>i</m:t>
              </m:r>
              <m:r>
                <m:rPr>
                  <m:sty m:val="p"/>
                </m:rPr>
                <m:t>=</m:t>
              </m:r>
              <m:r>
                <m:t>1</m:t>
              </m:r>
            </m:sub>
            <m:sup>
              <m:r>
                <m:t>N</m:t>
              </m:r>
            </m:sup>
            <m:e>
              <m:sSub>
                <m:e>
                  <m:r>
                    <m:t>β</m:t>
                  </m:r>
                </m:e>
                <m:sub>
                  <m:r>
                    <m:t>i</m:t>
                  </m:r>
                </m:sub>
              </m:sSub>
            </m:e>
          </m:nary>
          <m:sSub>
            <m:e>
              <m:r>
                <m:t>D</m:t>
              </m:r>
            </m:e>
            <m:sub>
              <m:r>
                <m:t>i</m:t>
              </m:r>
            </m:sub>
          </m:sSub>
          <m:r>
            <m:rPr>
              <m:sty m:val="p"/>
            </m:rPr>
            <m:t>+</m:t>
          </m:r>
          <m:sSub>
            <m:e>
              <m:r>
                <m:t>u</m:t>
              </m:r>
            </m:e>
            <m:sub>
              <m:r>
                <m:t>r</m:t>
              </m:r>
              <m:r>
                <m:t>i</m:t>
              </m:r>
            </m:sub>
          </m:sSub>
        </m:oMath>
      </m:oMathPara>
    </w:p>
    <w:p>
      <w:pPr>
        <w:pStyle w:val="FirstParagraph"/>
      </w:pPr>
      <w:r>
        <w:t xml:space="preserve">em que</w:t>
      </w:r>
      <w:r>
        <w:t xml:space="preserve"> </w:t>
      </w:r>
      <m:oMath>
        <m:sSub>
          <m:e>
            <m:r>
              <m:t>D</m:t>
            </m:r>
          </m:e>
          <m:sub>
            <m:r>
              <m:t>i</m:t>
            </m:r>
          </m:sub>
        </m:sSub>
      </m:oMath>
      <w:r>
        <w:t xml:space="preserve"> </w:t>
      </w:r>
      <w:r>
        <w:t xml:space="preserve">é uma</w:t>
      </w:r>
      <w:r>
        <w:t xml:space="preserve"> </w:t>
      </w:r>
      <w:r>
        <w:rPr>
          <w:i/>
          <w:iCs/>
        </w:rPr>
        <w:t xml:space="preserve">dummy</w:t>
      </w:r>
      <w:r>
        <w:t xml:space="preserve"> </w:t>
      </w:r>
      <w:r>
        <w:t xml:space="preserve">igual a 1 se a observação pertence ao setor</w:t>
      </w:r>
      <w:r>
        <w:t xml:space="preserve"> </w:t>
      </w:r>
      <m:oMath>
        <m:r>
          <m:t>i</m:t>
        </m:r>
      </m:oMath>
      <w:r>
        <w:t xml:space="preserve"> </w:t>
      </w:r>
      <w:r>
        <w:t xml:space="preserve">e</w:t>
      </w:r>
      <w:r>
        <w:t xml:space="preserve"> </w:t>
      </w:r>
      <m:oMath>
        <m:sSub>
          <m:e>
            <m:r>
              <m:t>β</m:t>
            </m:r>
          </m:e>
          <m:sub>
            <m:r>
              <m:t>i</m:t>
            </m:r>
          </m:sub>
        </m:sSub>
      </m:oMath>
      <w:r>
        <w:t xml:space="preserve">, estimado por mínimos quadrados ordinários, é a média amostral de</w:t>
      </w:r>
      <w:r>
        <w:t xml:space="preserve"> </w:t>
      </w:r>
      <m:oMath>
        <m:sSub>
          <m:e>
            <m:r>
              <m:t>g</m:t>
            </m:r>
          </m:e>
          <m:sub>
            <m:r>
              <m:t>r</m:t>
            </m:r>
            <m:r>
              <m:t>i</m:t>
            </m:r>
          </m:sub>
        </m:sSub>
      </m:oMath>
      <w:r>
        <w:t xml:space="preserve"> </w:t>
      </w:r>
      <w:r>
        <w:t xml:space="preserve">no setor</w:t>
      </w:r>
      <w:r>
        <w:t xml:space="preserve"> </w:t>
      </w:r>
      <m:oMath>
        <m:r>
          <m:t>i</m:t>
        </m:r>
      </m:oMath>
      <w:r>
        <w:t xml:space="preserve"> </w:t>
      </w:r>
      <w:r>
        <w:t xml:space="preserve">— o análogo, nesta formulação, do parâmetro de composição setorial</w:t>
      </w:r>
      <w:r>
        <w:t xml:space="preserve"> </w:t>
      </w:r>
      <m:oMath>
        <m:sSub>
          <m:e>
            <m:r>
              <m:t>g</m:t>
            </m:r>
          </m:e>
          <m:sub>
            <m:r>
              <m:t>n</m:t>
            </m:r>
            <m:r>
              <m:t>i</m:t>
            </m:r>
          </m:sub>
        </m:sSub>
      </m:oMath>
      <w:r>
        <w:t xml:space="preserve">. O resíduo</w:t>
      </w:r>
      <w:r>
        <w:t xml:space="preserve"> </w:t>
      </w:r>
      <m:oMath>
        <m:sSub>
          <m:e>
            <m:r>
              <m:t>u</m:t>
            </m:r>
          </m:e>
          <m:sub>
            <m:r>
              <m:t>r</m:t>
            </m:r>
            <m:r>
              <m:t>i</m:t>
            </m:r>
          </m:sub>
        </m:sSub>
        <m:r>
          <m:rPr>
            <m:sty m:val="p"/>
          </m:rPr>
          <m:t>=</m:t>
        </m:r>
        <m:sSub>
          <m:e>
            <m:r>
              <m:t>g</m:t>
            </m:r>
          </m:e>
          <m:sub>
            <m:r>
              <m:t>r</m:t>
            </m:r>
            <m:r>
              <m:t>i</m:t>
            </m:r>
          </m:sub>
        </m:sSub>
        <m:r>
          <m:rPr>
            <m:sty m:val="p"/>
          </m:rPr>
          <m:t>−</m:t>
        </m:r>
        <m:sSub>
          <m:e>
            <m:acc>
              <m:accPr>
                <m:chr m:val="̂"/>
              </m:accPr>
              <m:e>
                <m:r>
                  <m:t>β</m:t>
                </m:r>
              </m:e>
            </m:acc>
          </m:e>
          <m:sub>
            <m:r>
              <m:t>i</m:t>
            </m:r>
          </m:sub>
        </m:sSub>
      </m:oMath>
      <w:r>
        <w:t xml:space="preserve"> </w:t>
      </w:r>
      <w:r>
        <w:t xml:space="preserve">é a</w:t>
      </w:r>
      <w:r>
        <w:t xml:space="preserve"> </w:t>
      </w:r>
      <w:r>
        <w:rPr>
          <w:b/>
          <w:bCs/>
        </w:rPr>
        <w:t xml:space="preserve">taxa competitiva estimada</w:t>
      </w:r>
      <w:r>
        <w:t xml:space="preserve">: sob a hipótese de erros normais e homocedásticos, a razão entre a média de</w:t>
      </w:r>
      <w:r>
        <w:t xml:space="preserve"> </w:t>
      </w:r>
      <m:oMath>
        <m:sSub>
          <m:e>
            <m:r>
              <m:t>u</m:t>
            </m:r>
          </m:e>
          <m:sub>
            <m:r>
              <m:t>r</m:t>
            </m:r>
            <m:r>
              <m:t>i</m:t>
            </m:r>
          </m:sub>
        </m:sSub>
      </m:oMath>
      <w:r>
        <w:t xml:space="preserve"> </w:t>
      </w:r>
      <w:r>
        <w:t xml:space="preserve">em uma região e seu erro-padrão segue distribuição</w:t>
      </w:r>
      <w:r>
        <w:t xml:space="preserve"> </w:t>
      </w:r>
      <w:r>
        <w:rPr>
          <w:i/>
          <w:iCs/>
        </w:rPr>
        <w:t xml:space="preserve">t</w:t>
      </w:r>
      <w:r>
        <w:t xml:space="preserve"> </w:t>
      </w:r>
      <w:r>
        <w:t xml:space="preserve">de Student,</w:t>
      </w:r>
    </w:p>
    <w:p>
      <w:pPr>
        <w:pStyle w:val="BodyText"/>
      </w:pPr>
      <m:oMathPara>
        <m:oMathParaPr>
          <m:jc m:val="center"/>
        </m:oMathParaPr>
        <m:oMath>
          <m:sSub>
            <m:e>
              <m:r>
                <m:t>t</m:t>
              </m:r>
            </m:e>
            <m:sub>
              <m:r>
                <m:t>r</m:t>
              </m:r>
            </m:sub>
          </m:sSub>
          <m:r>
            <m:rPr>
              <m:sty m:val="p"/>
            </m:rPr>
            <m:t>=</m:t>
          </m:r>
          <m:f>
            <m:fPr>
              <m:type m:val="bar"/>
            </m:fPr>
            <m:num>
              <m:sSub>
                <m:e>
                  <m:acc>
                    <m:accPr>
                      <m:chr m:val="‾"/>
                    </m:accPr>
                    <m:e>
                      <m:r>
                        <m:t>u</m:t>
                      </m:r>
                    </m:e>
                  </m:acc>
                </m:e>
                <m:sub>
                  <m:r>
                    <m:t>r</m:t>
                  </m:r>
                </m:sub>
              </m:sSub>
            </m:num>
            <m:den>
              <m:r>
                <m:t>s</m:t>
              </m:r>
              <m:r>
                <m:rPr>
                  <m:sty m:val="p"/>
                </m:rPr>
                <m:t>/</m:t>
              </m:r>
              <m:rad>
                <m:radPr>
                  <m:degHide m:val="on"/>
                </m:radPr>
                <m:deg/>
                <m:e>
                  <m:sSub>
                    <m:e>
                      <m:r>
                        <m:t>n</m:t>
                      </m:r>
                    </m:e>
                    <m:sub>
                      <m:r>
                        <m:t>r</m:t>
                      </m:r>
                    </m:sub>
                  </m:sSub>
                </m:e>
              </m:rad>
            </m:den>
          </m:f>
        </m:oMath>
      </m:oMathPara>
    </w:p>
    <w:p>
      <w:pPr>
        <w:pStyle w:val="FirstParagraph"/>
      </w:pPr>
      <w:r>
        <w:t xml:space="preserve">com</w:t>
      </w:r>
      <w:r>
        <w:t xml:space="preserve"> </w:t>
      </w:r>
      <m:oMath>
        <m:r>
          <m:t>s</m:t>
        </m:r>
      </m:oMath>
      <w:r>
        <w:t xml:space="preserve"> </w:t>
      </w:r>
      <w:r>
        <w:t xml:space="preserve">o desvio-padrão residual do modelo (Equação 7) e</w:t>
      </w:r>
      <w:r>
        <w:t xml:space="preserve"> </w:t>
      </w:r>
      <m:oMath>
        <m:sSub>
          <m:e>
            <m:r>
              <m:t>n</m:t>
            </m:r>
          </m:e>
          <m:sub>
            <m:r>
              <m:t>r</m:t>
            </m:r>
          </m:sub>
        </m:sSub>
      </m:oMath>
      <w:r>
        <w:t xml:space="preserve"> </w:t>
      </w:r>
      <w:r>
        <w:t xml:space="preserve">o número de observações setoriais na região</w:t>
      </w:r>
      <w:r>
        <w:t xml:space="preserve"> </w:t>
      </w:r>
      <m:oMath>
        <m:r>
          <m:t>r</m:t>
        </m:r>
      </m:oMath>
      <w:r>
        <w:t xml:space="preserve"> </w:t>
      </w:r>
      <w:r>
        <w:t xml:space="preserve">— permitindo testar</w:t>
      </w:r>
      <w:r>
        <w:t xml:space="preserve"> </w:t>
      </w:r>
      <m:oMath>
        <m:sSub>
          <m:e>
            <m:r>
              <m:t>H</m:t>
            </m:r>
          </m:e>
          <m:sub>
            <m:r>
              <m:t>0</m:t>
            </m:r>
          </m:sub>
        </m:sSub>
        <m:r>
          <m:rPr>
            <m:sty m:val="p"/>
          </m:rPr>
          <m:t>:</m:t>
        </m:r>
        <m:sSub>
          <m:e>
            <m:acc>
              <m:accPr>
                <m:chr m:val="‾"/>
              </m:accPr>
              <m:e>
                <m:r>
                  <m:t>u</m:t>
                </m:r>
              </m:e>
            </m:acc>
          </m:e>
          <m:sub>
            <m:r>
              <m:t>r</m:t>
            </m:r>
          </m:sub>
        </m:sSub>
        <m:r>
          <m:rPr>
            <m:sty m:val="p"/>
          </m:rPr>
          <m:t>=</m:t>
        </m:r>
        <m:r>
          <m:t>0</m:t>
        </m:r>
      </m:oMath>
      <w:r>
        <w:t xml:space="preserve">, isto é, se a região tem, em média, desempenho competitivo estatisticamente distinguível de zero.</w:t>
      </w:r>
    </w:p>
    <w:bookmarkEnd w:id="29"/>
    <w:bookmarkStart w:id="30" w:name="aplicação-1"/>
    <w:p>
      <w:pPr>
        <w:pStyle w:val="Heading3"/>
      </w:pPr>
      <w:r>
        <w:t xml:space="preserve">9.3 Aplicação</w:t>
      </w:r>
    </w:p>
    <w:p>
      <w:pPr>
        <w:pStyle w:val="FirstParagraph"/>
      </w:pPr>
      <w:r>
        <w:t xml:space="preserve">A Tabela 10 mostra a decomposição célula a célula da Equação 7 aplicada ao painel de 15 observações (5 regiões × 3 setores) das Tabelas 1–2. A Tabela 11 aplica o teste da Equação 8 por região.</w:t>
      </w:r>
    </w:p>
    <w:p>
      <w:pPr>
        <w:pStyle w:val="BodyText"/>
      </w:pPr>
      <w:r>
        <w:rPr>
          <w:b/>
          <w:bCs/>
        </w:rPr>
        <w:t xml:space="preserve">Tabela 10 — Regressão de Berzeg: taxa observada, componente de composição estimado e resíduo competitivo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Região</w:t>
            </w:r>
          </w:p>
        </w:tc>
        <w:tc>
          <w:tcPr/>
          <w:p>
            <w:pPr>
              <w:pStyle w:val="Compact"/>
              <w:jc w:val="left"/>
            </w:pPr>
            <w:r>
              <w:t xml:space="preserve">Setor</w:t>
            </w:r>
          </w:p>
        </w:tc>
        <w:tc>
          <w:tcPr/>
          <w:p>
            <w:pPr>
              <w:pStyle w:val="Compact"/>
              <w:jc w:val="right"/>
            </w:pPr>
            <m:oMath>
              <m:sSub>
                <m:e>
                  <m:r>
                    <m:t>g</m:t>
                  </m:r>
                </m:e>
                <m:sub>
                  <m:r>
                    <m:t>r</m:t>
                  </m:r>
                  <m:r>
                    <m:t>i</m:t>
                  </m:r>
                </m:sub>
              </m:sSub>
            </m:oMath>
            <w:r>
              <w:t xml:space="preserve">​</w:t>
            </w:r>
          </w:p>
        </w:tc>
        <w:tc>
          <w:tcPr/>
          <w:p>
            <w:pPr>
              <w:pStyle w:val="Compact"/>
              <w:jc w:val="right"/>
            </w:pPr>
            <m:oMath>
              <m:sSub>
                <m:e>
                  <m:acc>
                    <m:accPr>
                      <m:chr m:val="̂"/>
                    </m:accPr>
                    <m:e>
                      <m:r>
                        <m:t>β</m:t>
                      </m:r>
                    </m:e>
                  </m:acc>
                </m:e>
                <m:sub>
                  <m:r>
                    <m:t>i</m:t>
                  </m:r>
                </m:sub>
              </m:sSub>
            </m:oMath>
            <w:r>
              <w:t xml:space="preserve"> </w:t>
            </w:r>
            <w:r>
              <w:t xml:space="preserve">(mix estimado)</w:t>
            </w:r>
          </w:p>
        </w:tc>
        <w:tc>
          <w:tcPr/>
          <w:p>
            <w:pPr>
              <w:pStyle w:val="Compact"/>
              <w:jc w:val="right"/>
            </w:pPr>
            <m:oMath>
              <m:sSub>
                <m:e>
                  <m:r>
                    <m:t>u</m:t>
                  </m:r>
                </m:e>
                <m:sub>
                  <m:r>
                    <m:t>r</m:t>
                  </m:r>
                  <m:r>
                    <m:t>i</m:t>
                  </m:r>
                </m:sub>
              </m:sSub>
            </m:oMath>
            <w:r>
              <w:t xml:space="preserve"> </w:t>
            </w:r>
            <w:r>
              <w:t xml:space="preserve">(competitivo)</w:t>
            </w:r>
          </w:p>
        </w:tc>
      </w:tr>
      <w:tr>
        <w:tc>
          <w:tcPr/>
          <w:p>
            <w:pPr>
              <w:pStyle w:val="Compact"/>
              <w:jc w:val="left"/>
            </w:pPr>
            <w:r>
              <w:t xml:space="preserve">PI</w:t>
            </w:r>
          </w:p>
        </w:tc>
        <w:tc>
          <w:tcPr/>
          <w:p>
            <w:pPr>
              <w:pStyle w:val="Compact"/>
              <w:jc w:val="left"/>
            </w:pPr>
            <w:r>
              <w:t xml:space="preserve">AGR</w:t>
            </w:r>
          </w:p>
        </w:tc>
        <w:tc>
          <w:tcPr/>
          <w:p>
            <w:pPr>
              <w:pStyle w:val="Compact"/>
              <w:jc w:val="right"/>
            </w:pPr>
            <w:r>
              <w:t xml:space="preserve">0,0500</w:t>
            </w:r>
          </w:p>
        </w:tc>
        <w:tc>
          <w:tcPr/>
          <w:p>
            <w:pPr>
              <w:pStyle w:val="Compact"/>
              <w:jc w:val="right"/>
            </w:pPr>
            <w:r>
              <w:t xml:space="preserve">0,0564</w:t>
            </w:r>
          </w:p>
        </w:tc>
        <w:tc>
          <w:tcPr/>
          <w:p>
            <w:pPr>
              <w:pStyle w:val="Compact"/>
              <w:jc w:val="right"/>
            </w:pPr>
            <w:r>
              <w:t xml:space="preserve">−0,0064</w:t>
            </w:r>
          </w:p>
        </w:tc>
      </w:tr>
      <w:tr>
        <w:tc>
          <w:tcPr/>
          <w:p>
            <w:pPr>
              <w:pStyle w:val="Compact"/>
              <w:jc w:val="left"/>
            </w:pPr>
            <w:r>
              <w:t xml:space="preserve">PI</w:t>
            </w:r>
          </w:p>
        </w:tc>
        <w:tc>
          <w:tcPr/>
          <w:p>
            <w:pPr>
              <w:pStyle w:val="Compact"/>
              <w:jc w:val="left"/>
            </w:pPr>
            <w:r>
              <w:t xml:space="preserve">IND</w:t>
            </w:r>
          </w:p>
        </w:tc>
        <w:tc>
          <w:tcPr/>
          <w:p>
            <w:pPr>
              <w:pStyle w:val="Compact"/>
              <w:jc w:val="right"/>
            </w:pPr>
            <w:r>
              <w:t xml:space="preserve">0,1444</w:t>
            </w:r>
          </w:p>
        </w:tc>
        <w:tc>
          <w:tcPr/>
          <w:p>
            <w:pPr>
              <w:pStyle w:val="Compact"/>
              <w:jc w:val="right"/>
            </w:pPr>
            <w:r>
              <w:t xml:space="preserve">0,1622</w:t>
            </w:r>
          </w:p>
        </w:tc>
        <w:tc>
          <w:tcPr/>
          <w:p>
            <w:pPr>
              <w:pStyle w:val="Compact"/>
              <w:jc w:val="right"/>
            </w:pPr>
            <w:r>
              <w:t xml:space="preserve">−0,0178</w:t>
            </w:r>
          </w:p>
        </w:tc>
      </w:tr>
      <w:tr>
        <w:tc>
          <w:tcPr/>
          <w:p>
            <w:pPr>
              <w:pStyle w:val="Compact"/>
              <w:jc w:val="left"/>
            </w:pPr>
            <w:r>
              <w:t xml:space="preserve">PI</w:t>
            </w:r>
          </w:p>
        </w:tc>
        <w:tc>
          <w:tcPr/>
          <w:p>
            <w:pPr>
              <w:pStyle w:val="Compact"/>
              <w:jc w:val="left"/>
            </w:pPr>
            <w:r>
              <w:t xml:space="preserve">SER</w:t>
            </w:r>
          </w:p>
        </w:tc>
        <w:tc>
          <w:tcPr/>
          <w:p>
            <w:pPr>
              <w:pStyle w:val="Compact"/>
              <w:jc w:val="right"/>
            </w:pPr>
            <w:r>
              <w:t xml:space="preserve">0,4000</w:t>
            </w:r>
          </w:p>
        </w:tc>
        <w:tc>
          <w:tcPr/>
          <w:p>
            <w:pPr>
              <w:pStyle w:val="Compact"/>
              <w:jc w:val="right"/>
            </w:pPr>
            <w:r>
              <w:t xml:space="preserve">0,3000</w:t>
            </w:r>
          </w:p>
        </w:tc>
        <w:tc>
          <w:tcPr/>
          <w:p>
            <w:pPr>
              <w:pStyle w:val="Compact"/>
              <w:jc w:val="right"/>
            </w:pPr>
            <w:r>
              <w:t xml:space="preserve">0,1000</w:t>
            </w:r>
          </w:p>
        </w:tc>
      </w:tr>
      <w:tr>
        <w:tc>
          <w:tcPr/>
          <w:p>
            <w:pPr>
              <w:pStyle w:val="Compact"/>
              <w:jc w:val="left"/>
            </w:pPr>
            <w:r>
              <w:t xml:space="preserve">CE</w:t>
            </w:r>
          </w:p>
        </w:tc>
        <w:tc>
          <w:tcPr/>
          <w:p>
            <w:pPr>
              <w:pStyle w:val="Compact"/>
              <w:jc w:val="left"/>
            </w:pPr>
            <w:r>
              <w:t xml:space="preserve">AGR</w:t>
            </w:r>
          </w:p>
        </w:tc>
        <w:tc>
          <w:tcPr/>
          <w:p>
            <w:pPr>
              <w:pStyle w:val="Compact"/>
              <w:jc w:val="right"/>
            </w:pPr>
            <w:r>
              <w:t xml:space="preserve">0,0533</w:t>
            </w:r>
          </w:p>
        </w:tc>
        <w:tc>
          <w:tcPr/>
          <w:p>
            <w:pPr>
              <w:pStyle w:val="Compact"/>
              <w:jc w:val="right"/>
            </w:pPr>
            <w:r>
              <w:t xml:space="preserve">0,0564</w:t>
            </w:r>
          </w:p>
        </w:tc>
        <w:tc>
          <w:tcPr/>
          <w:p>
            <w:pPr>
              <w:pStyle w:val="Compact"/>
              <w:jc w:val="right"/>
            </w:pPr>
            <w:r>
              <w:t xml:space="preserve">−0,0030</w:t>
            </w:r>
          </w:p>
        </w:tc>
      </w:tr>
      <w:tr>
        <w:tc>
          <w:tcPr/>
          <w:p>
            <w:pPr>
              <w:pStyle w:val="Compact"/>
              <w:jc w:val="left"/>
            </w:pPr>
            <w:r>
              <w:t xml:space="preserve">CE</w:t>
            </w:r>
          </w:p>
        </w:tc>
        <w:tc>
          <w:tcPr/>
          <w:p>
            <w:pPr>
              <w:pStyle w:val="Compact"/>
              <w:jc w:val="left"/>
            </w:pPr>
            <w:r>
              <w:t xml:space="preserve">IND</w:t>
            </w:r>
          </w:p>
        </w:tc>
        <w:tc>
          <w:tcPr/>
          <w:p>
            <w:pPr>
              <w:pStyle w:val="Compact"/>
              <w:jc w:val="right"/>
            </w:pPr>
            <w:r>
              <w:t xml:space="preserve">0,2682</w:t>
            </w:r>
          </w:p>
        </w:tc>
        <w:tc>
          <w:tcPr/>
          <w:p>
            <w:pPr>
              <w:pStyle w:val="Compact"/>
              <w:jc w:val="right"/>
            </w:pPr>
            <w:r>
              <w:t xml:space="preserve">0,1622</w:t>
            </w:r>
          </w:p>
        </w:tc>
        <w:tc>
          <w:tcPr/>
          <w:p>
            <w:pPr>
              <w:pStyle w:val="Compact"/>
              <w:jc w:val="right"/>
            </w:pPr>
            <w:r>
              <w:t xml:space="preserve">0,1060</w:t>
            </w:r>
          </w:p>
        </w:tc>
      </w:tr>
      <w:tr>
        <w:tc>
          <w:tcPr/>
          <w:p>
            <w:pPr>
              <w:pStyle w:val="Compact"/>
              <w:jc w:val="left"/>
            </w:pPr>
            <w:r>
              <w:t xml:space="preserve">CE</w:t>
            </w:r>
          </w:p>
        </w:tc>
        <w:tc>
          <w:tcPr/>
          <w:p>
            <w:pPr>
              <w:pStyle w:val="Compact"/>
              <w:jc w:val="left"/>
            </w:pPr>
            <w:r>
              <w:t xml:space="preserve">SER</w:t>
            </w:r>
          </w:p>
        </w:tc>
        <w:tc>
          <w:tcPr/>
          <w:p>
            <w:pPr>
              <w:pStyle w:val="Compact"/>
              <w:jc w:val="right"/>
            </w:pPr>
            <w:r>
              <w:t xml:space="preserve">0,3000</w:t>
            </w:r>
          </w:p>
        </w:tc>
        <w:tc>
          <w:tcPr/>
          <w:p>
            <w:pPr>
              <w:pStyle w:val="Compact"/>
              <w:jc w:val="right"/>
            </w:pPr>
            <w:r>
              <w:t xml:space="preserve">0,3000</w:t>
            </w:r>
          </w:p>
        </w:tc>
        <w:tc>
          <w:tcPr/>
          <w:p>
            <w:pPr>
              <w:pStyle w:val="Compact"/>
              <w:jc w:val="right"/>
            </w:pPr>
            <w:r>
              <w:t xml:space="preserve">0,0000</w:t>
            </w:r>
          </w:p>
        </w:tc>
      </w:tr>
      <w:tr>
        <w:tc>
          <w:tcPr/>
          <w:p>
            <w:pPr>
              <w:pStyle w:val="Compact"/>
              <w:jc w:val="left"/>
            </w:pPr>
            <w:r>
              <w:t xml:space="preserve">MA</w:t>
            </w:r>
          </w:p>
        </w:tc>
        <w:tc>
          <w:tcPr/>
          <w:p>
            <w:pPr>
              <w:pStyle w:val="Compact"/>
              <w:jc w:val="left"/>
            </w:pPr>
            <w:r>
              <w:t xml:space="preserve">AGR</w:t>
            </w:r>
          </w:p>
        </w:tc>
        <w:tc>
          <w:tcPr/>
          <w:p>
            <w:pPr>
              <w:pStyle w:val="Compact"/>
              <w:jc w:val="right"/>
            </w:pPr>
            <w:r>
              <w:t xml:space="preserve">0,0000</w:t>
            </w:r>
          </w:p>
        </w:tc>
        <w:tc>
          <w:tcPr/>
          <w:p>
            <w:pPr>
              <w:pStyle w:val="Compact"/>
              <w:jc w:val="right"/>
            </w:pPr>
            <w:r>
              <w:t xml:space="preserve">0,0564</w:t>
            </w:r>
          </w:p>
        </w:tc>
        <w:tc>
          <w:tcPr/>
          <w:p>
            <w:pPr>
              <w:pStyle w:val="Compact"/>
              <w:jc w:val="right"/>
            </w:pPr>
            <w:r>
              <w:t xml:space="preserve">−0,0564</w:t>
            </w:r>
          </w:p>
        </w:tc>
      </w:tr>
      <w:tr>
        <w:tc>
          <w:tcPr/>
          <w:p>
            <w:pPr>
              <w:pStyle w:val="Compact"/>
              <w:jc w:val="left"/>
            </w:pPr>
            <w:r>
              <w:t xml:space="preserve">MA</w:t>
            </w:r>
          </w:p>
        </w:tc>
        <w:tc>
          <w:tcPr/>
          <w:p>
            <w:pPr>
              <w:pStyle w:val="Compact"/>
              <w:jc w:val="left"/>
            </w:pPr>
            <w:r>
              <w:t xml:space="preserve">IND</w:t>
            </w:r>
          </w:p>
        </w:tc>
        <w:tc>
          <w:tcPr/>
          <w:p>
            <w:pPr>
              <w:pStyle w:val="Compact"/>
              <w:jc w:val="right"/>
            </w:pPr>
            <w:r>
              <w:t xml:space="preserve">0,1000</w:t>
            </w:r>
          </w:p>
        </w:tc>
        <w:tc>
          <w:tcPr/>
          <w:p>
            <w:pPr>
              <w:pStyle w:val="Compact"/>
              <w:jc w:val="right"/>
            </w:pPr>
            <w:r>
              <w:t xml:space="preserve">0,1622</w:t>
            </w:r>
          </w:p>
        </w:tc>
        <w:tc>
          <w:tcPr/>
          <w:p>
            <w:pPr>
              <w:pStyle w:val="Compact"/>
              <w:jc w:val="right"/>
            </w:pPr>
            <w:r>
              <w:t xml:space="preserve">−0,0622</w:t>
            </w:r>
          </w:p>
        </w:tc>
      </w:tr>
      <w:tr>
        <w:tc>
          <w:tcPr/>
          <w:p>
            <w:pPr>
              <w:pStyle w:val="Compact"/>
              <w:jc w:val="left"/>
            </w:pPr>
            <w:r>
              <w:t xml:space="preserve">MA</w:t>
            </w:r>
          </w:p>
        </w:tc>
        <w:tc>
          <w:tcPr/>
          <w:p>
            <w:pPr>
              <w:pStyle w:val="Compact"/>
              <w:jc w:val="left"/>
            </w:pPr>
            <w:r>
              <w:t xml:space="preserve">SER</w:t>
            </w:r>
          </w:p>
        </w:tc>
        <w:tc>
          <w:tcPr/>
          <w:p>
            <w:pPr>
              <w:pStyle w:val="Compact"/>
              <w:jc w:val="right"/>
            </w:pPr>
            <w:r>
              <w:t xml:space="preserve">0,2500</w:t>
            </w:r>
          </w:p>
        </w:tc>
        <w:tc>
          <w:tcPr/>
          <w:p>
            <w:pPr>
              <w:pStyle w:val="Compact"/>
              <w:jc w:val="right"/>
            </w:pPr>
            <w:r>
              <w:t xml:space="preserve">0,3000</w:t>
            </w:r>
          </w:p>
        </w:tc>
        <w:tc>
          <w:tcPr/>
          <w:p>
            <w:pPr>
              <w:pStyle w:val="Compact"/>
              <w:jc w:val="right"/>
            </w:pPr>
            <w:r>
              <w:t xml:space="preserve">−0,0500</w:t>
            </w:r>
          </w:p>
        </w:tc>
      </w:tr>
      <w:tr>
        <w:tc>
          <w:tcPr/>
          <w:p>
            <w:pPr>
              <w:pStyle w:val="Compact"/>
              <w:jc w:val="left"/>
            </w:pPr>
            <w:r>
              <w:t xml:space="preserve">BA</w:t>
            </w:r>
          </w:p>
        </w:tc>
        <w:tc>
          <w:tcPr/>
          <w:p>
            <w:pPr>
              <w:pStyle w:val="Compact"/>
              <w:jc w:val="left"/>
            </w:pPr>
            <w:r>
              <w:t xml:space="preserve">AGR</w:t>
            </w:r>
          </w:p>
        </w:tc>
        <w:tc>
          <w:tcPr/>
          <w:p>
            <w:pPr>
              <w:pStyle w:val="Compact"/>
              <w:jc w:val="right"/>
            </w:pPr>
            <w:r>
              <w:t xml:space="preserve">0,0500</w:t>
            </w:r>
          </w:p>
        </w:tc>
        <w:tc>
          <w:tcPr/>
          <w:p>
            <w:pPr>
              <w:pStyle w:val="Compact"/>
              <w:jc w:val="right"/>
            </w:pPr>
            <w:r>
              <w:t xml:space="preserve">0,0564</w:t>
            </w:r>
          </w:p>
        </w:tc>
        <w:tc>
          <w:tcPr/>
          <w:p>
            <w:pPr>
              <w:pStyle w:val="Compact"/>
              <w:jc w:val="right"/>
            </w:pPr>
            <w:r>
              <w:t xml:space="preserve">−0,0064</w:t>
            </w:r>
          </w:p>
        </w:tc>
      </w:tr>
      <w:tr>
        <w:tc>
          <w:tcPr/>
          <w:p>
            <w:pPr>
              <w:pStyle w:val="Compact"/>
              <w:jc w:val="left"/>
            </w:pPr>
            <w:r>
              <w:t xml:space="preserve">BA</w:t>
            </w:r>
          </w:p>
        </w:tc>
        <w:tc>
          <w:tcPr/>
          <w:p>
            <w:pPr>
              <w:pStyle w:val="Compact"/>
              <w:jc w:val="left"/>
            </w:pPr>
            <w:r>
              <w:t xml:space="preserve">IND</w:t>
            </w:r>
          </w:p>
        </w:tc>
        <w:tc>
          <w:tcPr/>
          <w:p>
            <w:pPr>
              <w:pStyle w:val="Compact"/>
              <w:jc w:val="right"/>
            </w:pPr>
            <w:r>
              <w:t xml:space="preserve">0,1484</w:t>
            </w:r>
          </w:p>
        </w:tc>
        <w:tc>
          <w:tcPr/>
          <w:p>
            <w:pPr>
              <w:pStyle w:val="Compact"/>
              <w:jc w:val="right"/>
            </w:pPr>
            <w:r>
              <w:t xml:space="preserve">0,1622</w:t>
            </w:r>
          </w:p>
        </w:tc>
        <w:tc>
          <w:tcPr/>
          <w:p>
            <w:pPr>
              <w:pStyle w:val="Compact"/>
              <w:jc w:val="right"/>
            </w:pPr>
            <w:r>
              <w:t xml:space="preserve">−0,0138</w:t>
            </w:r>
          </w:p>
        </w:tc>
      </w:tr>
      <w:tr>
        <w:tc>
          <w:tcPr/>
          <w:p>
            <w:pPr>
              <w:pStyle w:val="Compact"/>
              <w:jc w:val="left"/>
            </w:pPr>
            <w:r>
              <w:t xml:space="preserve">BA</w:t>
            </w:r>
          </w:p>
        </w:tc>
        <w:tc>
          <w:tcPr/>
          <w:p>
            <w:pPr>
              <w:pStyle w:val="Compact"/>
              <w:jc w:val="left"/>
            </w:pPr>
            <w:r>
              <w:t xml:space="preserve">SER</w:t>
            </w:r>
          </w:p>
        </w:tc>
        <w:tc>
          <w:tcPr/>
          <w:p>
            <w:pPr>
              <w:pStyle w:val="Compact"/>
              <w:jc w:val="right"/>
            </w:pPr>
            <w:r>
              <w:t xml:space="preserve">0,3000</w:t>
            </w:r>
          </w:p>
        </w:tc>
        <w:tc>
          <w:tcPr/>
          <w:p>
            <w:pPr>
              <w:pStyle w:val="Compact"/>
              <w:jc w:val="right"/>
            </w:pPr>
            <w:r>
              <w:t xml:space="preserve">0,3000</w:t>
            </w:r>
          </w:p>
        </w:tc>
        <w:tc>
          <w:tcPr/>
          <w:p>
            <w:pPr>
              <w:pStyle w:val="Compact"/>
              <w:jc w:val="right"/>
            </w:pPr>
            <w:r>
              <w:t xml:space="preserve">0,0000</w:t>
            </w:r>
          </w:p>
        </w:tc>
      </w:tr>
      <w:tr>
        <w:tc>
          <w:tcPr/>
          <w:p>
            <w:pPr>
              <w:pStyle w:val="Compact"/>
              <w:jc w:val="left"/>
            </w:pPr>
            <w:r>
              <w:t xml:space="preserve">PE</w:t>
            </w:r>
          </w:p>
        </w:tc>
        <w:tc>
          <w:tcPr/>
          <w:p>
            <w:pPr>
              <w:pStyle w:val="Compact"/>
              <w:jc w:val="left"/>
            </w:pPr>
            <w:r>
              <w:t xml:space="preserve">AGR</w:t>
            </w:r>
          </w:p>
        </w:tc>
        <w:tc>
          <w:tcPr/>
          <w:p>
            <w:pPr>
              <w:pStyle w:val="Compact"/>
              <w:jc w:val="right"/>
            </w:pPr>
            <w:r>
              <w:t xml:space="preserve">0,1286</w:t>
            </w:r>
          </w:p>
        </w:tc>
        <w:tc>
          <w:tcPr/>
          <w:p>
            <w:pPr>
              <w:pStyle w:val="Compact"/>
              <w:jc w:val="right"/>
            </w:pPr>
            <w:r>
              <w:t xml:space="preserve">0,0564</w:t>
            </w:r>
          </w:p>
        </w:tc>
        <w:tc>
          <w:tcPr/>
          <w:p>
            <w:pPr>
              <w:pStyle w:val="Compact"/>
              <w:jc w:val="right"/>
            </w:pPr>
            <w:r>
              <w:t xml:space="preserve">0,0722</w:t>
            </w:r>
          </w:p>
        </w:tc>
      </w:tr>
      <w:tr>
        <w:tc>
          <w:tcPr/>
          <w:p>
            <w:pPr>
              <w:pStyle w:val="Compact"/>
              <w:jc w:val="left"/>
            </w:pPr>
            <w:r>
              <w:t xml:space="preserve">PE</w:t>
            </w:r>
          </w:p>
        </w:tc>
        <w:tc>
          <w:tcPr/>
          <w:p>
            <w:pPr>
              <w:pStyle w:val="Compact"/>
              <w:jc w:val="left"/>
            </w:pPr>
            <w:r>
              <w:t xml:space="preserve">IND</w:t>
            </w:r>
          </w:p>
        </w:tc>
        <w:tc>
          <w:tcPr/>
          <w:p>
            <w:pPr>
              <w:pStyle w:val="Compact"/>
              <w:jc w:val="right"/>
            </w:pPr>
            <w:r>
              <w:t xml:space="preserve">0,1500</w:t>
            </w:r>
          </w:p>
        </w:tc>
        <w:tc>
          <w:tcPr/>
          <w:p>
            <w:pPr>
              <w:pStyle w:val="Compact"/>
              <w:jc w:val="right"/>
            </w:pPr>
            <w:r>
              <w:t xml:space="preserve">0,1622</w:t>
            </w:r>
          </w:p>
        </w:tc>
        <w:tc>
          <w:tcPr/>
          <w:p>
            <w:pPr>
              <w:pStyle w:val="Compact"/>
              <w:jc w:val="right"/>
            </w:pPr>
            <w:r>
              <w:t xml:space="preserve">−0,0122</w:t>
            </w:r>
          </w:p>
        </w:tc>
      </w:tr>
      <w:tr>
        <w:tc>
          <w:tcPr/>
          <w:p>
            <w:pPr>
              <w:pStyle w:val="Compact"/>
              <w:jc w:val="left"/>
            </w:pPr>
            <w:r>
              <w:t xml:space="preserve">PE</w:t>
            </w:r>
          </w:p>
        </w:tc>
        <w:tc>
          <w:tcPr/>
          <w:p>
            <w:pPr>
              <w:pStyle w:val="Compact"/>
              <w:jc w:val="left"/>
            </w:pPr>
            <w:r>
              <w:t xml:space="preserve">SER</w:t>
            </w:r>
          </w:p>
        </w:tc>
        <w:tc>
          <w:tcPr/>
          <w:p>
            <w:pPr>
              <w:pStyle w:val="Compact"/>
              <w:jc w:val="right"/>
            </w:pPr>
            <w:r>
              <w:t xml:space="preserve">0,2500</w:t>
            </w:r>
          </w:p>
        </w:tc>
        <w:tc>
          <w:tcPr/>
          <w:p>
            <w:pPr>
              <w:pStyle w:val="Compact"/>
              <w:jc w:val="right"/>
            </w:pPr>
            <w:r>
              <w:t xml:space="preserve">0,3000</w:t>
            </w:r>
          </w:p>
        </w:tc>
        <w:tc>
          <w:tcPr/>
          <w:p>
            <w:pPr>
              <w:pStyle w:val="Compact"/>
              <w:jc w:val="right"/>
            </w:pPr>
            <w:r>
              <w:t xml:space="preserve">−0,0500</w:t>
            </w:r>
          </w:p>
        </w:tc>
      </w:tr>
    </w:tbl>
    <w:p>
      <w:pPr>
        <w:pStyle w:val="BodyText"/>
      </w:pPr>
      <w:r>
        <w:t xml:space="preserve">Fonte: elaboração própria, Equação 7, mínimos quadrados ordinários com 15 observações.</w:t>
      </w:r>
    </w:p>
    <w:p>
      <w:pPr>
        <w:pStyle w:val="BodyText"/>
      </w:pPr>
      <w:r>
        <w:rPr>
          <w:b/>
          <w:bCs/>
        </w:rPr>
        <w:t xml:space="preserve">Tabela 11 — Teste</w:t>
      </w:r>
      <w:r>
        <w:rPr>
          <w:b/>
          <w:bCs/>
        </w:rPr>
        <w:t xml:space="preserve"> </w:t>
      </w:r>
      <w:r>
        <w:rPr>
          <w:b/>
          <w:bCs/>
          <w:i/>
          <w:iCs/>
        </w:rPr>
        <w:t xml:space="preserve">t</w:t>
      </w:r>
      <w:r>
        <w:rPr>
          <w:b/>
          <w:bCs/>
        </w:rPr>
        <w:t xml:space="preserve"> </w:t>
      </w:r>
      <w:r>
        <w:rPr>
          <w:b/>
          <w:bCs/>
        </w:rPr>
        <w:t xml:space="preserve">do desempenho competitivo médio por região (</w:t>
      </w:r>
      <m:oMath>
        <m:sSub>
          <m:e>
            <m:r>
              <m:t>H</m:t>
            </m:r>
          </m:e>
          <m:sub>
            <m:r>
              <m:t>0</m:t>
            </m:r>
          </m:sub>
        </m:sSub>
        <m:r>
          <m:rPr>
            <m:sty m:val="p"/>
          </m:rPr>
          <m:t>:</m:t>
        </m:r>
        <m:sSub>
          <m:e>
            <m:acc>
              <m:accPr>
                <m:chr m:val="‾"/>
              </m:accPr>
              <m:e>
                <m:r>
                  <m:t>u</m:t>
                </m:r>
              </m:e>
            </m:acc>
          </m:e>
          <m:sub>
            <m:r>
              <m:t>r</m:t>
            </m:r>
          </m:sub>
        </m:sSub>
        <m:r>
          <m:rPr>
            <m:sty m:val="p"/>
          </m:rPr>
          <m:t>=</m:t>
        </m:r>
        <m:r>
          <m:t>0</m:t>
        </m:r>
      </m:oMath>
      <w:r>
        <w:rPr>
          <w:b/>
          <w:bCs/>
        </w:rPr>
        <w:t xml:space="preserve">; graus de liberdade = 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Região</w:t>
            </w:r>
          </w:p>
        </w:tc>
        <w:tc>
          <w:tcPr/>
          <w:p>
            <w:pPr>
              <w:pStyle w:val="Compact"/>
              <w:jc w:val="right"/>
            </w:pPr>
            <m:oMath>
              <m:sSub>
                <m:e>
                  <m:acc>
                    <m:accPr>
                      <m:chr m:val="‾"/>
                    </m:accPr>
                    <m:e>
                      <m:r>
                        <m:t>u</m:t>
                      </m:r>
                    </m:e>
                  </m:acc>
                </m:e>
                <m:sub>
                  <m:r>
                    <m:t>r</m:t>
                  </m:r>
                </m:sub>
              </m:sSub>
            </m:oMath>
            <w:r>
              <w:t xml:space="preserve">​</w:t>
            </w:r>
          </w:p>
        </w:tc>
        <w:tc>
          <w:tcPr/>
          <w:p>
            <w:pPr>
              <w:pStyle w:val="Compact"/>
              <w:jc w:val="right"/>
            </w:pPr>
            <m:oMath>
              <m:sSub>
                <m:e>
                  <m:r>
                    <m:t>t</m:t>
                  </m:r>
                </m:e>
                <m:sub>
                  <m:r>
                    <m:t>r</m:t>
                  </m:r>
                </m:sub>
              </m:sSub>
            </m:oMath>
            <w:r>
              <w:t xml:space="preserve">​</w:t>
            </w:r>
          </w:p>
        </w:tc>
        <w:tc>
          <w:tcPr/>
          <w:p>
            <w:pPr>
              <w:pStyle w:val="Compact"/>
              <w:jc w:val="right"/>
            </w:pPr>
            <w:r>
              <w:t xml:space="preserve">valor-</w:t>
            </w:r>
            <w:r>
              <w:rPr>
                <w:i/>
                <w:iCs/>
              </w:rPr>
              <w:t xml:space="preserve">p</w:t>
            </w:r>
          </w:p>
        </w:tc>
      </w:tr>
      <w:tr>
        <w:tc>
          <w:tcPr/>
          <w:p>
            <w:pPr>
              <w:pStyle w:val="Compact"/>
              <w:jc w:val="left"/>
            </w:pPr>
            <w:r>
              <w:t xml:space="preserve">PI</w:t>
            </w:r>
          </w:p>
        </w:tc>
        <w:tc>
          <w:tcPr/>
          <w:p>
            <w:pPr>
              <w:pStyle w:val="Compact"/>
              <w:jc w:val="right"/>
            </w:pPr>
            <w:r>
              <w:t xml:space="preserve">0,0253</w:t>
            </w:r>
          </w:p>
        </w:tc>
        <w:tc>
          <w:tcPr/>
          <w:p>
            <w:pPr>
              <w:pStyle w:val="Compact"/>
              <w:jc w:val="right"/>
            </w:pPr>
            <w:r>
              <w:t xml:space="preserve">0,7659</w:t>
            </w:r>
          </w:p>
        </w:tc>
        <w:tc>
          <w:tcPr/>
          <w:p>
            <w:pPr>
              <w:pStyle w:val="Compact"/>
              <w:jc w:val="right"/>
            </w:pPr>
            <w:r>
              <w:t xml:space="preserve">0,4585</w:t>
            </w:r>
          </w:p>
        </w:tc>
      </w:tr>
      <w:tr>
        <w:tc>
          <w:tcPr/>
          <w:p>
            <w:pPr>
              <w:pStyle w:val="Compact"/>
              <w:jc w:val="left"/>
            </w:pPr>
            <w:r>
              <w:t xml:space="preserve">CE</w:t>
            </w:r>
          </w:p>
        </w:tc>
        <w:tc>
          <w:tcPr/>
          <w:p>
            <w:pPr>
              <w:pStyle w:val="Compact"/>
              <w:jc w:val="right"/>
            </w:pPr>
            <w:r>
              <w:t xml:space="preserve">0,0343</w:t>
            </w:r>
          </w:p>
        </w:tc>
        <w:tc>
          <w:tcPr/>
          <w:p>
            <w:pPr>
              <w:pStyle w:val="Compact"/>
              <w:jc w:val="right"/>
            </w:pPr>
            <w:r>
              <w:t xml:space="preserve">1,0393</w:t>
            </w:r>
          </w:p>
        </w:tc>
        <w:tc>
          <w:tcPr/>
          <w:p>
            <w:pPr>
              <w:pStyle w:val="Compact"/>
              <w:jc w:val="right"/>
            </w:pPr>
            <w:r>
              <w:t xml:space="preserve">0,3192</w:t>
            </w:r>
          </w:p>
        </w:tc>
      </w:tr>
      <w:tr>
        <w:tc>
          <w:tcPr/>
          <w:p>
            <w:pPr>
              <w:pStyle w:val="Compact"/>
              <w:jc w:val="left"/>
            </w:pPr>
            <w:r>
              <w:t xml:space="preserve">MA</w:t>
            </w:r>
          </w:p>
        </w:tc>
        <w:tc>
          <w:tcPr/>
          <w:p>
            <w:pPr>
              <w:pStyle w:val="Compact"/>
              <w:jc w:val="right"/>
            </w:pPr>
            <w:r>
              <w:t xml:space="preserve">−0,0562</w:t>
            </w:r>
          </w:p>
        </w:tc>
        <w:tc>
          <w:tcPr/>
          <w:p>
            <w:pPr>
              <w:pStyle w:val="Compact"/>
              <w:jc w:val="right"/>
            </w:pPr>
            <w:r>
              <w:t xml:space="preserve">−1,7022</w:t>
            </w:r>
          </w:p>
        </w:tc>
        <w:tc>
          <w:tcPr/>
          <w:p>
            <w:pPr>
              <w:pStyle w:val="Compact"/>
              <w:jc w:val="right"/>
            </w:pPr>
            <w:r>
              <w:t xml:space="preserve">0,1145</w:t>
            </w:r>
          </w:p>
        </w:tc>
      </w:tr>
      <w:tr>
        <w:tc>
          <w:tcPr/>
          <w:p>
            <w:pPr>
              <w:pStyle w:val="Compact"/>
              <w:jc w:val="left"/>
            </w:pPr>
            <w:r>
              <w:t xml:space="preserve">BA</w:t>
            </w:r>
          </w:p>
        </w:tc>
        <w:tc>
          <w:tcPr/>
          <w:p>
            <w:pPr>
              <w:pStyle w:val="Compact"/>
              <w:jc w:val="right"/>
            </w:pPr>
            <w:r>
              <w:t xml:space="preserve">−0,0067</w:t>
            </w:r>
          </w:p>
        </w:tc>
        <w:tc>
          <w:tcPr/>
          <w:p>
            <w:pPr>
              <w:pStyle w:val="Compact"/>
              <w:jc w:val="right"/>
            </w:pPr>
            <w:r>
              <w:t xml:space="preserve">−0,2039</w:t>
            </w:r>
          </w:p>
        </w:tc>
        <w:tc>
          <w:tcPr/>
          <w:p>
            <w:pPr>
              <w:pStyle w:val="Compact"/>
              <w:jc w:val="right"/>
            </w:pPr>
            <w:r>
              <w:t xml:space="preserve">0,8418</w:t>
            </w:r>
          </w:p>
        </w:tc>
      </w:tr>
      <w:tr>
        <w:tc>
          <w:tcPr/>
          <w:p>
            <w:pPr>
              <w:pStyle w:val="Compact"/>
              <w:jc w:val="left"/>
            </w:pPr>
            <w:r>
              <w:t xml:space="preserve">PE</w:t>
            </w:r>
          </w:p>
        </w:tc>
        <w:tc>
          <w:tcPr/>
          <w:p>
            <w:pPr>
              <w:pStyle w:val="Compact"/>
              <w:jc w:val="right"/>
            </w:pPr>
            <w:r>
              <w:t xml:space="preserve">0,0033</w:t>
            </w:r>
          </w:p>
        </w:tc>
        <w:tc>
          <w:tcPr/>
          <w:p>
            <w:pPr>
              <w:pStyle w:val="Compact"/>
              <w:jc w:val="right"/>
            </w:pPr>
            <w:r>
              <w:t xml:space="preserve">0,1008</w:t>
            </w:r>
          </w:p>
        </w:tc>
        <w:tc>
          <w:tcPr/>
          <w:p>
            <w:pPr>
              <w:pStyle w:val="Compact"/>
              <w:jc w:val="right"/>
            </w:pPr>
            <w:r>
              <w:t xml:space="preserve">0,9213</w:t>
            </w:r>
          </w:p>
        </w:tc>
      </w:tr>
    </w:tbl>
    <w:p>
      <w:pPr>
        <w:pStyle w:val="BodyText"/>
      </w:pPr>
      <w:r>
        <w:t xml:space="preserve">Fonte: elaboração própria, Equação 8.</w:t>
      </w:r>
    </w:p>
    <w:p>
      <w:pPr>
        <w:pStyle w:val="BodyText"/>
      </w:pPr>
      <w:r>
        <w:t xml:space="preserve">Nenhuma região atinge significância convencional de 5% neste exemplo — o mais próximo é o Maranhão, com</w:t>
      </w:r>
      <w:r>
        <w:t xml:space="preserve"> </w:t>
      </w:r>
      <m:oMath>
        <m:r>
          <m:t>t</m:t>
        </m:r>
        <m:r>
          <m:rPr>
            <m:sty m:val="p"/>
          </m:rPr>
          <m:t>=</m:t>
        </m:r>
        <m:r>
          <m:rPr>
            <m:sty m:val="p"/>
          </m:rPr>
          <m:t>−</m:t>
        </m:r>
        <m:r>
          <m:t>1</m:t>
        </m:r>
        <m:r>
          <m:rPr>
            <m:sty m:val="p"/>
          </m:rPr>
          <m:t>,</m:t>
        </m:r>
        <m:r>
          <m:t>70</m:t>
        </m:r>
      </m:oMath>
      <w:r>
        <w:t xml:space="preserve"> </w:t>
      </w:r>
      <w:r>
        <w:t xml:space="preserve">e valor-</w:t>
      </w:r>
      <w:r>
        <w:rPr>
          <w:i/>
          <w:iCs/>
        </w:rPr>
        <w:t xml:space="preserve">p</w:t>
      </w:r>
      <w:r>
        <w:t xml:space="preserve">=0,11, sugerindo desvantagem competitiva sistemática, mas não conclusiva na amostra. Esse resultado ilustra, mais do que qualquer conclusão substantiva sobre as regiões fictícias, a própria lição metodológica da Seção 9.1: a decomposição clássica (Tabela 4) mostraria o efeito competitivo do Maranhão como um número aparentemente grande e</w:t>
      </w:r>
      <w:r>
        <w:t xml:space="preserve"> </w:t>
      </w:r>
      <w:r>
        <w:t xml:space="preserve">“real”</w:t>
      </w:r>
      <w:r>
        <w:t xml:space="preserve"> </w:t>
      </w:r>
      <w:r>
        <w:t xml:space="preserve">(−23,25), mas a formalização de Berzeg revela que, com apenas três observações setoriais por região, esse número não é estatisticamente distinguível de zero ao nível de 5% — exatamente o tipo de afirmação que a SSA clássica é incapaz de fazer e que o limiar de significância listado no Quadro de Parâmetros Consolidados (Seção 13) torna operacional.</w:t>
      </w:r>
    </w:p>
    <w:bookmarkEnd w:id="30"/>
    <w:bookmarkEnd w:id="31"/>
    <w:bookmarkStart w:id="35" w:name="Xf8de724c37ff196487683d93da19f77e9089221"/>
    <w:p>
      <w:pPr>
        <w:pStyle w:val="Heading2"/>
      </w:pPr>
      <w:r>
        <w:t xml:space="preserve">10 KNUDSEN (2000): AS DUAS FORMAS PROBABILÍSTICAS, ANOVA E TEORIA DA INFORMAÇÃO</w:t>
      </w:r>
    </w:p>
    <w:bookmarkStart w:id="32" w:name="justificativa-4"/>
    <w:p>
      <w:pPr>
        <w:pStyle w:val="Heading3"/>
      </w:pPr>
      <w:r>
        <w:t xml:space="preserve">10.1 Justificativa</w:t>
      </w:r>
    </w:p>
    <w:p>
      <w:pPr>
        <w:pStyle w:val="FirstParagraph"/>
      </w:pPr>
      <w:r>
        <w:t xml:space="preserve">Knudsen (2000) classifica os métodos de SSA em três famílias: os modelos contábeis tradicionais, os modelos de análise de variância (ANOVA) e os modelos de teoria da informação. As duas últimas são as</w:t>
      </w:r>
      <w:r>
        <w:t xml:space="preserve"> </w:t>
      </w:r>
      <w:r>
        <w:t xml:space="preserve">“duas formas probabilísticas”</w:t>
      </w:r>
      <w:r>
        <w:t xml:space="preserve"> </w:t>
      </w:r>
      <w:r>
        <w:t xml:space="preserve">que o artigo apresenta. A primeira é a ANOVA de Berzeg (1978, 1984), que o autor reescreve nas versões simples, com a extensão de Arcelus e dinâmica (equações 4 a 6 do artigo). A segunda é o</w:t>
      </w:r>
      <w:r>
        <w:t xml:space="preserve"> </w:t>
      </w:r>
      <w:r>
        <w:rPr>
          <w:i/>
          <w:iCs/>
        </w:rPr>
        <w:t xml:space="preserve">shift-share</w:t>
      </w:r>
      <w:r>
        <w:t xml:space="preserve"> </w:t>
      </w:r>
      <w:r>
        <w:t xml:space="preserve">de teoria da informação, derivado do princípio de mínima informação discriminante (MDI) (equações 7 a 19), ao qual o artigo acrescenta um modelo misto, com variável exógena contínua, para mostrar a flexibilidade da abordagem (equações 20 a 24). A ideia de fundo é ler o problema da SSA como a partição da variação de uma tabela de contingência com três dimensões (setor, região e ano). Assim lida, a SSA é um caso particular da classe de modelos para dados tabulares agregados usada em planejamento, geografia e ciência regional, e passa a admitir testes de hipótese sobre a variação do emprego por região ou setor.</w:t>
      </w:r>
    </w:p>
    <w:p>
      <w:pPr>
        <w:pStyle w:val="BodyText"/>
      </w:pPr>
      <w:r>
        <w:t xml:space="preserve">O artigo também qualifica a equivalência entre a identidade contábil (Equação 1) e a forma ANOVA (Equação 7). As duas são matematicamente equivalentes, mas a regressão estimada não reproduz os componentes contábeis, por duas razões: ela é medida em taxas, e não em empregos, de modo que os termos diferem pelo fator</w:t>
      </w:r>
      <w:r>
        <w:t xml:space="preserve"> </w:t>
      </w:r>
      <m:oMath>
        <m:sSub>
          <m:e>
            <m:r>
              <m:t>E</m:t>
            </m:r>
          </m:e>
          <m:sub>
            <m:r>
              <m:t>0</m:t>
            </m:r>
            <m:r>
              <m:rPr>
                <m:sty m:val="p"/>
              </m:rPr>
              <m:t>,</m:t>
            </m:r>
            <m:r>
              <m:t>r</m:t>
            </m:r>
            <m:r>
              <m:t>i</m:t>
            </m:r>
          </m:sub>
        </m:sSub>
      </m:oMath>
      <w:r>
        <w:t xml:space="preserve">; e seus erros são heterocedásticos. Segundo Knudsen (2000), Berzeg (1978, 1984) mostra que as estimativas coincidem quando se supõe</w:t>
      </w:r>
      <w:r>
        <w:t xml:space="preserve"> </w:t>
      </w:r>
      <m:oMath>
        <m:r>
          <m:t>E</m:t>
        </m:r>
        <m:r>
          <m:rPr>
            <m:sty m:val="p"/>
          </m:rPr>
          <m:t>[</m:t>
        </m:r>
        <m:sSubSup>
          <m:e>
            <m:r>
              <m:t>e</m:t>
            </m:r>
          </m:e>
          <m:sub>
            <m:r>
              <m:t>r</m:t>
            </m:r>
            <m:r>
              <m:t>i</m:t>
            </m:r>
          </m:sub>
          <m:sup>
            <m:r>
              <m:t>2</m:t>
            </m:r>
          </m:sup>
        </m:sSubSup>
        <m:r>
          <m:rPr>
            <m:sty m:val="p"/>
          </m:rPr>
          <m:t>]</m:t>
        </m:r>
        <m:r>
          <m:rPr>
            <m:sty m:val="p"/>
          </m:rPr>
          <m:t>=</m:t>
        </m:r>
        <m:sSup>
          <m:e>
            <m:r>
              <m:t>σ</m:t>
            </m:r>
          </m:e>
          <m:sup>
            <m:r>
              <m:t>2</m:t>
            </m:r>
          </m:sup>
        </m:sSup>
        <m:r>
          <m:rPr>
            <m:sty m:val="p"/>
          </m:rPr>
          <m:t>/</m:t>
        </m:r>
        <m:sSub>
          <m:e>
            <m:r>
              <m:t>w</m:t>
            </m:r>
          </m:e>
          <m:sub>
            <m:r>
              <m:t>r</m:t>
            </m:r>
            <m:r>
              <m:t>i</m:t>
            </m:r>
          </m:sub>
        </m:sSub>
      </m:oMath>
      <w:r>
        <w:t xml:space="preserve">, com</w:t>
      </w:r>
      <w:r>
        <w:t xml:space="preserve"> </w:t>
      </w:r>
      <m:oMath>
        <m:sSub>
          <m:e>
            <m:r>
              <m:t>w</m:t>
            </m:r>
          </m:e>
          <m:sub>
            <m:r>
              <m:t>r</m:t>
            </m:r>
            <m:r>
              <m:t>i</m:t>
            </m:r>
          </m:sub>
        </m:sSub>
        <m:r>
          <m:rPr>
            <m:sty m:val="p"/>
          </m:rPr>
          <m:t>=</m:t>
        </m:r>
        <m:sSub>
          <m:e>
            <m:r>
              <m:t>E</m:t>
            </m:r>
          </m:e>
          <m:sub>
            <m:r>
              <m:t>0</m:t>
            </m:r>
            <m:r>
              <m:rPr>
                <m:sty m:val="p"/>
              </m:rPr>
              <m:t>,</m:t>
            </m:r>
            <m:r>
              <m:t>r</m:t>
            </m:r>
            <m:r>
              <m:t>i</m:t>
            </m:r>
          </m:sub>
        </m:sSub>
        <m:r>
          <m:rPr>
            <m:sty m:val="p"/>
          </m:rPr>
          <m:t>/</m:t>
        </m:r>
        <m:nary>
          <m:naryPr>
            <m:chr m:val="∑"/>
            <m:limLoc m:val="undOvr"/>
            <m:subHide m:val="off"/>
            <m:supHide m:val="on"/>
          </m:naryPr>
          <m:sub>
            <m:r>
              <m:t>r</m:t>
            </m:r>
            <m:r>
              <m:rPr>
                <m:sty m:val="p"/>
              </m:rPr>
              <m:t>,</m:t>
            </m:r>
            <m:r>
              <m:t>i</m:t>
            </m:r>
          </m:sub>
          <m:sup>
            <m:r>
              <m:t>​</m:t>
            </m:r>
          </m:sup>
          <m:e>
            <m:sSub>
              <m:e>
                <m:r>
                  <m:t>E</m:t>
                </m:r>
              </m:e>
              <m:sub>
                <m:r>
                  <m:t>0</m:t>
                </m:r>
                <m:r>
                  <m:rPr>
                    <m:sty m:val="p"/>
                  </m:rPr>
                  <m:t>,</m:t>
                </m:r>
                <m:r>
                  <m:t>r</m:t>
                </m:r>
                <m:r>
                  <m:t>i</m:t>
                </m:r>
              </m:sub>
            </m:sSub>
          </m:e>
        </m:nary>
      </m:oMath>
      <w:r>
        <w:t xml:space="preserve">, e se estima por mínimos quadrados ponderados. A regressão da Seção 9, estimada por mínimos quadrados ordinários sem ponderação, não tem essa propriedade: nela, a taxa</w:t>
      </w:r>
      <w:r>
        <w:t xml:space="preserve"> </w:t>
      </w:r>
      <m:oMath>
        <m:sSub>
          <m:e>
            <m:r>
              <m:t>g</m:t>
            </m:r>
          </m:e>
          <m:sub>
            <m:r>
              <m:t>r</m:t>
            </m:r>
            <m:r>
              <m:t>i</m:t>
            </m:r>
          </m:sub>
        </m:sSub>
      </m:oMath>
      <w:r>
        <w:t xml:space="preserve"> </w:t>
      </w:r>
      <w:r>
        <w:t xml:space="preserve">de uma célula de emprego-base pequeno, cuja variância tende a ser maior, pesa tanto quanto a de uma célula grande.</w:t>
      </w:r>
    </w:p>
    <w:p>
      <w:pPr>
        <w:pStyle w:val="BodyText"/>
      </w:pPr>
      <w:r>
        <w:t xml:space="preserve">Na comparação empírica do artigo (emprego do Bureau of Labor Statistics agregado nas divisões setoriais do BLS e nas nove divisões censitárias dos Estados Unidos, anos de 1970 e 1980), a forma informacional teve ajuste superior e discriminou melhor os parâmetros nos modelos simples e com a extensão de Arcelus: a porcentagem da</w:t>
      </w:r>
      <w:r>
        <w:t xml:space="preserve"> </w:t>
      </w:r>
      <w:r>
        <w:rPr>
          <w:i/>
          <w:iCs/>
        </w:rPr>
        <w:t xml:space="preserve">deviance</w:t>
      </w:r>
      <w:r>
        <w:t xml:space="preserve"> </w:t>
      </w:r>
      <w:r>
        <w:t xml:space="preserve">do modelo nulo explicada (PNMD, uma medida do tipo</w:t>
      </w:r>
      <w:r>
        <w:t xml:space="preserve"> </w:t>
      </w:r>
      <m:oMath>
        <m:sSup>
          <m:e>
            <m:r>
              <m:t>R</m:t>
            </m:r>
          </m:e>
          <m:sup>
            <m:r>
              <m:t>2</m:t>
            </m:r>
          </m:sup>
        </m:sSup>
      </m:oMath>
      <w:r>
        <w:t xml:space="preserve">) foi de 0,5163 e 0,6601, contra</w:t>
      </w:r>
      <w:r>
        <w:t xml:space="preserve"> </w:t>
      </w:r>
      <m:oMath>
        <m:sSup>
          <m:e>
            <m:r>
              <m:t>R</m:t>
            </m:r>
          </m:e>
          <m:sup>
            <m:r>
              <m:t>2</m:t>
            </m:r>
          </m:sup>
        </m:sSup>
      </m:oMath>
      <w:r>
        <w:t xml:space="preserve"> </w:t>
      </w:r>
      <w:r>
        <w:t xml:space="preserve">de 0,1836 e 0,2284 da ANOVA correspondente. Na forma dinâmica, o ajuste foi fraco nos dois casos (0,0258 contra 0,0111). O autor conclui com cautela. Os modelos informacionais exigem pouca manipulação prévia dos dados, permitem incorporar a informação disponível sob a forma de restrições, colocam a SSA no campo da análise estatística de dados tabulares nominais e parecem úteis em dados com poucos valores extremos grandes; em contrapartida, seus parâmetros são mais difíceis de interpretar e nem sempre ajustam melhor que a ANOVA.</w:t>
      </w:r>
    </w:p>
    <w:bookmarkEnd w:id="32"/>
    <w:bookmarkStart w:id="33" w:name="formalização-4"/>
    <w:p>
      <w:pPr>
        <w:pStyle w:val="Heading3"/>
      </w:pPr>
      <w:r>
        <w:t xml:space="preserve">10.2 Formalização</w:t>
      </w:r>
    </w:p>
    <w:p>
      <w:pPr>
        <w:pStyle w:val="FirstParagraph"/>
      </w:pPr>
      <w:r>
        <w:rPr>
          <w:b/>
          <w:bCs/>
        </w:rPr>
        <w:t xml:space="preserve">Forma I (ANOVA).</w:t>
      </w:r>
      <w:r>
        <w:t xml:space="preserve"> </w:t>
      </w:r>
      <w:r>
        <w:t xml:space="preserve">É a regressão da Equação 7 (Seção 9.2). Knudsen (2000) a escreve com intercepto,</w:t>
      </w:r>
      <w:r>
        <w:t xml:space="preserve"> </w:t>
      </w:r>
      <m:oMath>
        <m:sSub>
          <m:e>
            <m:r>
              <m:t>g</m:t>
            </m:r>
          </m:e>
          <m:sub>
            <m:r>
              <m:t>r</m:t>
            </m:r>
            <m:r>
              <m:t>i</m:t>
            </m:r>
          </m:sub>
        </m:sSub>
        <m:r>
          <m:rPr>
            <m:sty m:val="p"/>
          </m:rPr>
          <m:t>=</m:t>
        </m:r>
        <m:r>
          <m:t>a</m:t>
        </m:r>
        <m:r>
          <m:rPr>
            <m:sty m:val="p"/>
          </m:rPr>
          <m:t>+</m:t>
        </m:r>
        <m:sSub>
          <m:e>
            <m:r>
              <m:t>B</m:t>
            </m:r>
          </m:e>
          <m:sub>
            <m:r>
              <m:t>i</m:t>
            </m:r>
          </m:sub>
        </m:sSub>
        <m:r>
          <m:rPr>
            <m:sty m:val="p"/>
          </m:rPr>
          <m:t>+</m:t>
        </m:r>
        <m:sSub>
          <m:e>
            <m:r>
              <m:t>e</m:t>
            </m:r>
          </m:e>
          <m:sub>
            <m:r>
              <m:t>r</m:t>
            </m:r>
            <m:r>
              <m:t>i</m:t>
            </m:r>
          </m:sub>
        </m:sSub>
      </m:oMath>
      <w:r>
        <w:t xml:space="preserve"> </w:t>
      </w:r>
      <w:r>
        <w:t xml:space="preserve">(sua equação 4), em que</w:t>
      </w:r>
      <w:r>
        <w:t xml:space="preserve"> </w:t>
      </w:r>
      <m:oMath>
        <m:r>
          <m:t>a</m:t>
        </m:r>
      </m:oMath>
      <w:r>
        <w:t xml:space="preserve"> </w:t>
      </w:r>
      <w:r>
        <w:t xml:space="preserve">estima</w:t>
      </w:r>
      <w:r>
        <w:t xml:space="preserve"> </w:t>
      </w:r>
      <m:oMath>
        <m:sSub>
          <m:e>
            <m:r>
              <m:t>g</m:t>
            </m:r>
          </m:e>
          <m:sub>
            <m:r>
              <m:t>n</m:t>
            </m:r>
          </m:sub>
        </m:sSub>
      </m:oMath>
      <w:r>
        <w:t xml:space="preserve">,</w:t>
      </w:r>
      <w:r>
        <w:t xml:space="preserve"> </w:t>
      </w:r>
      <m:oMath>
        <m:sSub>
          <m:e>
            <m:r>
              <m:t>B</m:t>
            </m:r>
          </m:e>
          <m:sub>
            <m:r>
              <m:t>i</m:t>
            </m:r>
          </m:sub>
        </m:sSub>
      </m:oMath>
      <w:r>
        <w:t xml:space="preserve"> </w:t>
      </w:r>
      <w:r>
        <w:t xml:space="preserve">estima</w:t>
      </w:r>
      <w:r>
        <w:t xml:space="preserve"> </w:t>
      </w:r>
      <m:oMath>
        <m:sSub>
          <m:e>
            <m:r>
              <m:t>g</m:t>
            </m:r>
          </m:e>
          <m:sub>
            <m:r>
              <m:t>n</m:t>
            </m:r>
            <m:r>
              <m:t>i</m:t>
            </m:r>
          </m:sub>
        </m:sSub>
        <m:r>
          <m:rPr>
            <m:sty m:val="p"/>
          </m:rPr>
          <m:t>−</m:t>
        </m:r>
        <m:sSub>
          <m:e>
            <m:r>
              <m:t>g</m:t>
            </m:r>
          </m:e>
          <m:sub>
            <m:r>
              <m:t>n</m:t>
            </m:r>
          </m:sub>
        </m:sSub>
      </m:oMath>
      <w:r>
        <w:t xml:space="preserve"> </w:t>
      </w:r>
      <w:r>
        <w:t xml:space="preserve">e o erro</w:t>
      </w:r>
      <w:r>
        <w:t xml:space="preserve"> </w:t>
      </w:r>
      <m:oMath>
        <m:sSub>
          <m:e>
            <m:r>
              <m:t>e</m:t>
            </m:r>
          </m:e>
          <m:sub>
            <m:r>
              <m:t>r</m:t>
            </m:r>
            <m:r>
              <m:t>i</m:t>
            </m:r>
          </m:sub>
        </m:sSub>
      </m:oMath>
      <w:r>
        <w:t xml:space="preserve"> </w:t>
      </w:r>
      <w:r>
        <w:t xml:space="preserve">estima o termo competitivo</w:t>
      </w:r>
      <w:r>
        <w:t xml:space="preserve"> </w:t>
      </w:r>
      <m:oMath>
        <m:sSub>
          <m:e>
            <m:r>
              <m:t>g</m:t>
            </m:r>
          </m:e>
          <m:sub>
            <m:r>
              <m:t>r</m:t>
            </m:r>
            <m:r>
              <m:t>i</m:t>
            </m:r>
          </m:sub>
        </m:sSub>
        <m:r>
          <m:rPr>
            <m:sty m:val="p"/>
          </m:rPr>
          <m:t>−</m:t>
        </m:r>
        <m:sSub>
          <m:e>
            <m:r>
              <m:t>g</m:t>
            </m:r>
          </m:e>
          <m:sub>
            <m:r>
              <m:t>n</m:t>
            </m:r>
            <m:r>
              <m:t>i</m:t>
            </m:r>
          </m:sub>
        </m:sSub>
      </m:oMath>
      <w:r>
        <w:t xml:space="preserve">; a Equação 7 usa o conjunto completo de</w:t>
      </w:r>
      <w:r>
        <w:t xml:space="preserve"> </w:t>
      </w:r>
      <w:r>
        <w:rPr>
          <w:i/>
          <w:iCs/>
        </w:rPr>
        <w:t xml:space="preserve">dummies</w:t>
      </w:r>
      <w:r>
        <w:t xml:space="preserve"> </w:t>
      </w:r>
      <w:r>
        <w:t xml:space="preserve">de setor no lugar do intercepto, o que é apenas outra parametrização. A extensão de Arcelus acrescenta um efeito de região,</w:t>
      </w:r>
      <w:r>
        <w:t xml:space="preserve"> </w:t>
      </w:r>
      <m:oMath>
        <m:sSub>
          <m:e>
            <m:r>
              <m:t>g</m:t>
            </m:r>
          </m:e>
          <m:sub>
            <m:r>
              <m:t>r</m:t>
            </m:r>
            <m:r>
              <m:t>i</m:t>
            </m:r>
          </m:sub>
        </m:sSub>
        <m:r>
          <m:rPr>
            <m:sty m:val="p"/>
          </m:rPr>
          <m:t>=</m:t>
        </m:r>
        <m:r>
          <m:t>a</m:t>
        </m:r>
        <m:r>
          <m:rPr>
            <m:sty m:val="p"/>
          </m:rPr>
          <m:t>+</m:t>
        </m:r>
        <m:sSub>
          <m:e>
            <m:r>
              <m:t>B</m:t>
            </m:r>
          </m:e>
          <m:sub>
            <m:r>
              <m:t>i</m:t>
            </m:r>
          </m:sub>
        </m:sSub>
        <m:r>
          <m:rPr>
            <m:sty m:val="p"/>
          </m:rPr>
          <m:t>+</m:t>
        </m:r>
        <m:sSub>
          <m:e>
            <m:r>
              <m:t>G</m:t>
            </m:r>
          </m:e>
          <m:sub>
            <m:r>
              <m:t>r</m:t>
            </m:r>
          </m:sub>
        </m:sSub>
        <m:r>
          <m:rPr>
            <m:sty m:val="p"/>
          </m:rPr>
          <m:t>+</m:t>
        </m:r>
        <m:sSub>
          <m:e>
            <m:r>
              <m:t>e</m:t>
            </m:r>
          </m:e>
          <m:sub>
            <m:r>
              <m:t>r</m:t>
            </m:r>
            <m:r>
              <m:t>i</m:t>
            </m:r>
          </m:sub>
        </m:sSub>
      </m:oMath>
      <w:r>
        <w:t xml:space="preserve"> </w:t>
      </w:r>
      <w:r>
        <w:t xml:space="preserve">(equação 5), e a forma dinâmica acrescenta ainda um efeito de período</w:t>
      </w:r>
      <w:r>
        <w:t xml:space="preserve"> </w:t>
      </w:r>
      <m:oMath>
        <m:sSub>
          <m:e>
            <m:r>
              <m:t>V</m:t>
            </m:r>
          </m:e>
          <m:sub>
            <m:r>
              <m:t>k</m:t>
            </m:r>
          </m:sub>
        </m:sSub>
      </m:oMath>
      <w:r>
        <w:t xml:space="preserve"> </w:t>
      </w:r>
      <w:r>
        <w:t xml:space="preserve">(equação 6). Sob normalidade dos erros, a razão entre cada parâmetro e seu erro-padrão segue a distribuição</w:t>
      </w:r>
      <w:r>
        <w:t xml:space="preserve"> </w:t>
      </w:r>
      <w:r>
        <w:rPr>
          <w:i/>
          <w:iCs/>
        </w:rPr>
        <w:t xml:space="preserve">t</w:t>
      </w:r>
      <w:r>
        <w:t xml:space="preserve"> </w:t>
      </w:r>
      <w:r>
        <w:t xml:space="preserve">de Student.</w:t>
      </w:r>
    </w:p>
    <w:p>
      <w:pPr>
        <w:pStyle w:val="BodyText"/>
      </w:pPr>
      <w:r>
        <w:rPr>
          <w:b/>
          <w:bCs/>
        </w:rPr>
        <w:t xml:space="preserve">Forma II (teoria da informação).</w:t>
      </w:r>
      <w:r>
        <w:t xml:space="preserve"> </w:t>
      </w:r>
      <w:r>
        <w:t xml:space="preserve">Sejam</w:t>
      </w:r>
      <w:r>
        <w:t xml:space="preserve"> </w:t>
      </w:r>
      <m:oMath>
        <m:sSub>
          <m:e>
            <m:r>
              <m:t>q</m:t>
            </m:r>
          </m:e>
          <m:sub>
            <m:r>
              <m:t>r</m:t>
            </m:r>
            <m:r>
              <m:t>i</m:t>
            </m:r>
          </m:sub>
        </m:sSub>
        <m:r>
          <m:rPr>
            <m:sty m:val="p"/>
          </m:rPr>
          <m:t>=</m:t>
        </m:r>
        <m:sSub>
          <m:e>
            <m:r>
              <m:t>E</m:t>
            </m:r>
          </m:e>
          <m:sub>
            <m:r>
              <m:t>0</m:t>
            </m:r>
            <m:r>
              <m:rPr>
                <m:sty m:val="p"/>
              </m:rPr>
              <m:t>,</m:t>
            </m:r>
            <m:r>
              <m:t>r</m:t>
            </m:r>
            <m:r>
              <m:t>i</m:t>
            </m:r>
          </m:sub>
        </m:sSub>
        <m:r>
          <m:rPr>
            <m:sty m:val="p"/>
          </m:rPr>
          <m:t>/</m:t>
        </m:r>
        <m:nary>
          <m:naryPr>
            <m:chr m:val="∑"/>
            <m:limLoc m:val="undOvr"/>
            <m:subHide m:val="off"/>
            <m:supHide m:val="on"/>
          </m:naryPr>
          <m:sub>
            <m:r>
              <m:t>r</m:t>
            </m:r>
            <m:r>
              <m:rPr>
                <m:sty m:val="p"/>
              </m:rPr>
              <m:t>,</m:t>
            </m:r>
            <m:r>
              <m:t>i</m:t>
            </m:r>
          </m:sub>
          <m:sup>
            <m:r>
              <m:t>​</m:t>
            </m:r>
          </m:sup>
          <m:e>
            <m:sSub>
              <m:e>
                <m:r>
                  <m:t>E</m:t>
                </m:r>
              </m:e>
              <m:sub>
                <m:r>
                  <m:t>0</m:t>
                </m:r>
                <m:r>
                  <m:rPr>
                    <m:sty m:val="p"/>
                  </m:rPr>
                  <m:t>,</m:t>
                </m:r>
                <m:r>
                  <m:t>r</m:t>
                </m:r>
                <m:r>
                  <m:t>i</m:t>
                </m:r>
              </m:sub>
            </m:sSub>
          </m:e>
        </m:nary>
      </m:oMath>
      <w:r>
        <w:t xml:space="preserve"> </w:t>
      </w:r>
      <w:r>
        <w:t xml:space="preserve">a distribuição</w:t>
      </w:r>
      <w:r>
        <w:t xml:space="preserve"> </w:t>
      </w:r>
      <w:r>
        <w:rPr>
          <w:i/>
          <w:iCs/>
        </w:rPr>
        <w:t xml:space="preserve">a priori</w:t>
      </w:r>
      <w:r>
        <w:t xml:space="preserve"> </w:t>
      </w:r>
      <w:r>
        <w:t xml:space="preserve">(participações no ano-base) e</w:t>
      </w:r>
      <w:r>
        <w:t xml:space="preserve"> </w:t>
      </w:r>
      <m:oMath>
        <m:sSub>
          <m:e>
            <m:r>
              <m:t>p</m:t>
            </m:r>
          </m:e>
          <m:sub>
            <m:r>
              <m:t>r</m:t>
            </m:r>
            <m:r>
              <m:t>i</m:t>
            </m:r>
          </m:sub>
        </m:sSub>
        <m:r>
          <m:rPr>
            <m:sty m:val="p"/>
          </m:rPr>
          <m:t>=</m:t>
        </m:r>
        <m:sSub>
          <m:e>
            <m:r>
              <m:t>E</m:t>
            </m:r>
          </m:e>
          <m:sub>
            <m:r>
              <m:t>1</m:t>
            </m:r>
            <m:r>
              <m:rPr>
                <m:sty m:val="p"/>
              </m:rPr>
              <m:t>,</m:t>
            </m:r>
            <m:r>
              <m:t>r</m:t>
            </m:r>
            <m:r>
              <m:t>i</m:t>
            </m:r>
          </m:sub>
        </m:sSub>
        <m:r>
          <m:rPr>
            <m:sty m:val="p"/>
          </m:rPr>
          <m:t>/</m:t>
        </m:r>
        <m:nary>
          <m:naryPr>
            <m:chr m:val="∑"/>
            <m:limLoc m:val="undOvr"/>
            <m:subHide m:val="off"/>
            <m:supHide m:val="on"/>
          </m:naryPr>
          <m:sub>
            <m:r>
              <m:t>r</m:t>
            </m:r>
            <m:r>
              <m:rPr>
                <m:sty m:val="p"/>
              </m:rPr>
              <m:t>,</m:t>
            </m:r>
            <m:r>
              <m:t>i</m:t>
            </m:r>
          </m:sub>
          <m:sup>
            <m:r>
              <m:t>​</m:t>
            </m:r>
          </m:sup>
          <m:e>
            <m:sSub>
              <m:e>
                <m:r>
                  <m:t>E</m:t>
                </m:r>
              </m:e>
              <m:sub>
                <m:r>
                  <m:t>1</m:t>
                </m:r>
                <m:r>
                  <m:rPr>
                    <m:sty m:val="p"/>
                  </m:rPr>
                  <m:t>,</m:t>
                </m:r>
                <m:r>
                  <m:t>r</m:t>
                </m:r>
                <m:r>
                  <m:t>i</m:t>
                </m:r>
              </m:sub>
            </m:sSub>
          </m:e>
        </m:nary>
      </m:oMath>
      <w:r>
        <w:t xml:space="preserve"> </w:t>
      </w:r>
      <w:r>
        <w:t xml:space="preserve">a distribuição</w:t>
      </w:r>
      <w:r>
        <w:t xml:space="preserve"> </w:t>
      </w:r>
      <w:r>
        <w:rPr>
          <w:i/>
          <w:iCs/>
        </w:rPr>
        <w:t xml:space="preserve">a posteriori</w:t>
      </w:r>
      <w:r>
        <w:t xml:space="preserve"> </w:t>
      </w:r>
      <w:r>
        <w:t xml:space="preserve">(participações no ano terminal). O ganho de informação de Kullback e Leibler (1951), equação 7 do artigo, mede a informação obtida ao observar</w:t>
      </w:r>
      <w:r>
        <w:t xml:space="preserve"> </w:t>
      </w:r>
      <m:oMath>
        <m:r>
          <m:t>P</m:t>
        </m:r>
      </m:oMath>
      <w:r>
        <w:t xml:space="preserve"> </w:t>
      </w:r>
      <w:r>
        <w:t xml:space="preserve">dado</w:t>
      </w:r>
      <w:r>
        <w:t xml:space="preserve"> </w:t>
      </w:r>
      <m:oMath>
        <m:r>
          <m:t>Q</m:t>
        </m:r>
      </m:oMath>
      <w:r>
        <w:t xml:space="preserve">:</w:t>
      </w:r>
    </w:p>
    <w:p>
      <w:pPr>
        <w:pStyle w:val="BodyText"/>
      </w:pPr>
      <m:oMathPara>
        <m:oMathParaPr>
          <m:jc m:val="center"/>
        </m:oMathParaPr>
        <m:oMath>
          <m:r>
            <m:t>I</m:t>
          </m:r>
          <m:r>
            <m:rPr>
              <m:sty m:val="p"/>
            </m:rPr>
            <m:t>(</m:t>
          </m:r>
          <m:r>
            <m:t>P</m:t>
          </m:r>
          <m:r>
            <m:rPr>
              <m:sty m:val="p"/>
            </m:rPr>
            <m:t>:</m:t>
          </m:r>
          <m:r>
            <m:t>Q</m:t>
          </m:r>
          <m:r>
            <m:rPr>
              <m:sty m:val="p"/>
            </m:rPr>
            <m:t>)</m:t>
          </m:r>
          <m:r>
            <m:rPr>
              <m:sty m:val="p"/>
            </m:rPr>
            <m:t>=</m:t>
          </m:r>
          <m:nary>
            <m:naryPr>
              <m:chr m:val="∑"/>
              <m:limLoc m:val="undOvr"/>
              <m:subHide m:val="off"/>
              <m:supHide m:val="on"/>
            </m:naryPr>
            <m:sub>
              <m:r>
                <m:t>r</m:t>
              </m:r>
              <m:r>
                <m:rPr>
                  <m:sty m:val="p"/>
                </m:rPr>
                <m:t>,</m:t>
              </m:r>
              <m:r>
                <m:t>i</m:t>
              </m:r>
            </m:sub>
            <m:sup>
              <m:r>
                <m:t>​</m:t>
              </m:r>
            </m:sup>
            <m:e>
              <m:sSub>
                <m:e>
                  <m:r>
                    <m:t>p</m:t>
                  </m:r>
                </m:e>
                <m:sub>
                  <m:r>
                    <m:t>r</m:t>
                  </m:r>
                  <m:r>
                    <m:t>i</m:t>
                  </m:r>
                </m:sub>
              </m:sSub>
            </m:e>
          </m:nary>
          <m:r>
            <m:t> </m:t>
          </m:r>
          <m:r>
            <m:rPr>
              <m:sty m:val="p"/>
            </m:rPr>
            <m:t>ln</m:t>
          </m:r>
          <m:f>
            <m:fPr>
              <m:type m:val="bar"/>
            </m:fPr>
            <m:num>
              <m:sSub>
                <m:e>
                  <m:r>
                    <m:t>p</m:t>
                  </m:r>
                </m:e>
                <m:sub>
                  <m:r>
                    <m:t>r</m:t>
                  </m:r>
                  <m:r>
                    <m:t>i</m:t>
                  </m:r>
                </m:sub>
              </m:sSub>
            </m:num>
            <m:den>
              <m:sSub>
                <m:e>
                  <m:r>
                    <m:t>q</m:t>
                  </m:r>
                </m:e>
                <m:sub>
                  <m:r>
                    <m:t>r</m:t>
                  </m:r>
                  <m:r>
                    <m:t>i</m:t>
                  </m:r>
                </m:sub>
              </m:sSub>
            </m:den>
          </m:f>
        </m:oMath>
      </m:oMathPara>
    </w:p>
    <w:p>
      <w:pPr>
        <w:pStyle w:val="FirstParagraph"/>
      </w:pPr>
      <w:r>
        <w:t xml:space="preserve">O modelo de mínima informação discriminante escolhe</w:t>
      </w:r>
      <w:r>
        <w:t xml:space="preserve"> </w:t>
      </w:r>
      <m:oMath>
        <m:r>
          <m:t>P</m:t>
        </m:r>
      </m:oMath>
      <w:r>
        <w:t xml:space="preserve"> </w:t>
      </w:r>
      <w:r>
        <w:t xml:space="preserve">minimizando</w:t>
      </w:r>
      <w:r>
        <w:t xml:space="preserve"> </w:t>
      </w:r>
      <m:oMath>
        <m:r>
          <m:t>I</m:t>
        </m:r>
        <m:r>
          <m:rPr>
            <m:sty m:val="p"/>
          </m:rPr>
          <m:t>(</m:t>
        </m:r>
        <m:r>
          <m:t>P</m:t>
        </m:r>
        <m:r>
          <m:rPr>
            <m:sty m:val="p"/>
          </m:rPr>
          <m:t>:</m:t>
        </m:r>
        <m:r>
          <m:t>Q</m:t>
        </m:r>
        <m:r>
          <m:rPr>
            <m:sty m:val="p"/>
          </m:rPr>
          <m:t>)</m:t>
        </m:r>
      </m:oMath>
      <w:r>
        <w:t xml:space="preserve"> </w:t>
      </w:r>
      <w:r>
        <w:t xml:space="preserve">sujeito a restrições lineares que representam o que se sabe sobre a distribuição final, além de</w:t>
      </w:r>
      <w:r>
        <w:t xml:space="preserve"> </w:t>
      </w:r>
      <m:oMath>
        <m:nary>
          <m:naryPr>
            <m:chr m:val="∑"/>
            <m:limLoc m:val="undOvr"/>
            <m:subHide m:val="off"/>
            <m:supHide m:val="on"/>
          </m:naryPr>
          <m:sub>
            <m:r>
              <m:t>r</m:t>
            </m:r>
            <m:r>
              <m:rPr>
                <m:sty m:val="p"/>
              </m:rPr>
              <m:t>,</m:t>
            </m:r>
            <m:r>
              <m:t>i</m:t>
            </m:r>
          </m:sub>
          <m:sup>
            <m:r>
              <m:t>​</m:t>
            </m:r>
          </m:sup>
          <m:e>
            <m:sSub>
              <m:e>
                <m:r>
                  <m:t>p</m:t>
                </m:r>
              </m:e>
              <m:sub>
                <m:r>
                  <m:t>r</m:t>
                </m:r>
                <m:r>
                  <m:t>i</m:t>
                </m:r>
              </m:sub>
            </m:sSub>
          </m:e>
        </m:nary>
        <m:r>
          <m:rPr>
            <m:sty m:val="p"/>
          </m:rPr>
          <m:t>=</m:t>
        </m:r>
        <m:r>
          <m:t>1</m:t>
        </m:r>
      </m:oMath>
      <w:r>
        <w:t xml:space="preserve"> </w:t>
      </w:r>
      <w:r>
        <w:t xml:space="preserve">e</w:t>
      </w:r>
      <w:r>
        <w:t xml:space="preserve"> </w:t>
      </w:r>
      <m:oMath>
        <m:sSub>
          <m:e>
            <m:r>
              <m:t>p</m:t>
            </m:r>
          </m:e>
          <m:sub>
            <m:r>
              <m:t>r</m:t>
            </m:r>
            <m:r>
              <m:t>i</m:t>
            </m:r>
          </m:sub>
        </m:sSub>
        <m:r>
          <m:rPr>
            <m:sty m:val="p"/>
          </m:rPr>
          <m:t>≥</m:t>
        </m:r>
        <m:r>
          <m:t>0</m:t>
        </m:r>
      </m:oMath>
      <w:r>
        <w:t xml:space="preserve"> </w:t>
      </w:r>
      <w:r>
        <w:t xml:space="preserve">(equação 8). O problema pode ser resolvido pelo dual, um programa geométrico sem restrições (equação 9), mas, com restrições de igualdade lineares, o método de Lagrange leva diretamente a um modelo log-linear em</w:t>
      </w:r>
      <w:r>
        <w:t xml:space="preserve"> </w:t>
      </w:r>
      <m:oMath>
        <m:sSub>
          <m:e>
            <m:r>
              <m:t>p</m:t>
            </m:r>
          </m:e>
          <m:sub>
            <m:r>
              <m:t>r</m:t>
            </m:r>
            <m:r>
              <m:t>i</m:t>
            </m:r>
          </m:sub>
        </m:sSub>
      </m:oMath>
      <w:r>
        <w:t xml:space="preserve"> </w:t>
      </w:r>
      <w:r>
        <w:t xml:space="preserve">(equação 10), e as quantidades resultantes são estimadores assintóticos de máxima verossimilhança. Na forma básica, a restrição fixa os totais setoriais,</w:t>
      </w:r>
      <w:r>
        <w:t xml:space="preserve"> </w:t>
      </w:r>
      <m:oMath>
        <m:nary>
          <m:naryPr>
            <m:chr m:val="∑"/>
            <m:limLoc m:val="undOvr"/>
            <m:subHide m:val="off"/>
            <m:supHide m:val="on"/>
          </m:naryPr>
          <m:sub>
            <m:r>
              <m:t>r</m:t>
            </m:r>
          </m:sub>
          <m:sup>
            <m:r>
              <m:t>​</m:t>
            </m:r>
          </m:sup>
          <m:e>
            <m:sSub>
              <m:e>
                <m:r>
                  <m:t>p</m:t>
                </m:r>
              </m:e>
              <m:sub>
                <m:r>
                  <m:t>r</m:t>
                </m:r>
                <m:r>
                  <m:t>i</m:t>
                </m:r>
              </m:sub>
            </m:sSub>
          </m:e>
        </m:nary>
        <m:r>
          <m:rPr>
            <m:sty m:val="p"/>
          </m:rPr>
          <m:t>=</m:t>
        </m:r>
        <m:sSub>
          <m:e>
            <m:r>
              <m:t>o</m:t>
            </m:r>
          </m:e>
          <m:sub>
            <m:r>
              <m:t>i</m:t>
            </m:r>
          </m:sub>
        </m:sSub>
      </m:oMath>
      <w:r>
        <w:t xml:space="preserve"> </w:t>
      </w:r>
      <w:r>
        <w:t xml:space="preserve">(equação 11), e a solução é</w:t>
      </w:r>
      <w:r>
        <w:t xml:space="preserve"> </w:t>
      </w:r>
      <m:oMath>
        <m:sSub>
          <m:e>
            <m:r>
              <m:t>p</m:t>
            </m:r>
          </m:e>
          <m:sub>
            <m:r>
              <m:t>r</m:t>
            </m:r>
            <m:r>
              <m:t>i</m:t>
            </m:r>
          </m:sub>
        </m:sSub>
        <m:r>
          <m:rPr>
            <m:sty m:val="p"/>
          </m:rPr>
          <m:t>=</m:t>
        </m:r>
        <m:sSub>
          <m:e>
            <m:r>
              <m:t>q</m:t>
            </m:r>
          </m:e>
          <m:sub>
            <m:r>
              <m:t>r</m:t>
            </m:r>
            <m:r>
              <m:t>i</m:t>
            </m:r>
          </m:sub>
        </m:sSub>
        <m:r>
          <m:rPr>
            <m:sty m:val="p"/>
          </m:rPr>
          <m:t>exp</m:t>
        </m:r>
        <m:r>
          <m:rPr>
            <m:sty m:val="p"/>
          </m:rPr>
          <m:t>(</m:t>
        </m:r>
        <m:r>
          <m:t>a</m:t>
        </m:r>
        <m:r>
          <m:rPr>
            <m:sty m:val="p"/>
          </m:rPr>
          <m:t>+</m:t>
        </m:r>
        <m:sSub>
          <m:e>
            <m:r>
              <m:t>o</m:t>
            </m:r>
          </m:e>
          <m:sub>
            <m:r>
              <m:t>i</m:t>
            </m:r>
          </m:sub>
        </m:sSub>
        <m:r>
          <m:rPr>
            <m:sty m:val="p"/>
          </m:rPr>
          <m:t>+</m:t>
        </m:r>
        <m:sSub>
          <m:e>
            <m:r>
              <m:t>f</m:t>
            </m:r>
          </m:e>
          <m:sub>
            <m:r>
              <m:t>r</m:t>
            </m:r>
            <m:r>
              <m:t>i</m:t>
            </m:r>
          </m:sub>
        </m:sSub>
        <m:r>
          <m:rPr>
            <m:sty m:val="p"/>
          </m:rPr>
          <m:t>)</m:t>
        </m:r>
      </m:oMath>
      <w:r>
        <w:t xml:space="preserve"> </w:t>
      </w:r>
      <w:r>
        <w:t xml:space="preserve">(equação 12 do artigo). Na extensão de Arcelus, acrescenta-se a restrição dos totais regionais,</w:t>
      </w:r>
      <w:r>
        <w:t xml:space="preserve"> </w:t>
      </w:r>
      <m:oMath>
        <m:nary>
          <m:naryPr>
            <m:chr m:val="∑"/>
            <m:limLoc m:val="undOvr"/>
            <m:subHide m:val="off"/>
            <m:supHide m:val="on"/>
          </m:naryPr>
          <m:sub>
            <m:r>
              <m:t>i</m:t>
            </m:r>
          </m:sub>
          <m:sup>
            <m:r>
              <m:t>​</m:t>
            </m:r>
          </m:sup>
          <m:e>
            <m:sSub>
              <m:e>
                <m:r>
                  <m:t>p</m:t>
                </m:r>
              </m:e>
              <m:sub>
                <m:r>
                  <m:t>r</m:t>
                </m:r>
                <m:r>
                  <m:t>i</m:t>
                </m:r>
              </m:sub>
            </m:sSub>
          </m:e>
        </m:nary>
        <m:r>
          <m:rPr>
            <m:sty m:val="p"/>
          </m:rPr>
          <m:t>=</m:t>
        </m:r>
        <m:sSub>
          <m:e>
            <m:r>
              <m:t>d</m:t>
            </m:r>
          </m:e>
          <m:sub>
            <m:r>
              <m:t>r</m:t>
            </m:r>
          </m:sub>
        </m:sSub>
      </m:oMath>
      <w:r>
        <w:t xml:space="preserve"> </w:t>
      </w:r>
      <w:r>
        <w:t xml:space="preserve">(equação 15), e a solução passa a ser</w:t>
      </w:r>
      <w:r>
        <w:t xml:space="preserve"> </w:t>
      </w:r>
      <m:oMath>
        <m:sSub>
          <m:e>
            <m:r>
              <m:t>p</m:t>
            </m:r>
          </m:e>
          <m:sub>
            <m:r>
              <m:t>r</m:t>
            </m:r>
            <m:r>
              <m:t>i</m:t>
            </m:r>
          </m:sub>
        </m:sSub>
        <m:r>
          <m:rPr>
            <m:sty m:val="p"/>
          </m:rPr>
          <m:t>=</m:t>
        </m:r>
        <m:sSub>
          <m:e>
            <m:r>
              <m:t>q</m:t>
            </m:r>
          </m:e>
          <m:sub>
            <m:r>
              <m:t>r</m:t>
            </m:r>
            <m:r>
              <m:t>i</m:t>
            </m:r>
          </m:sub>
        </m:sSub>
        <m:r>
          <m:rPr>
            <m:sty m:val="p"/>
          </m:rPr>
          <m:t>exp</m:t>
        </m:r>
        <m:r>
          <m:rPr>
            <m:sty m:val="p"/>
          </m:rPr>
          <m:t>(</m:t>
        </m:r>
        <m:r>
          <m:t>a</m:t>
        </m:r>
        <m:r>
          <m:rPr>
            <m:sty m:val="p"/>
          </m:rPr>
          <m:t>+</m:t>
        </m:r>
        <m:sSub>
          <m:e>
            <m:r>
              <m:t>o</m:t>
            </m:r>
          </m:e>
          <m:sub>
            <m:r>
              <m:t>i</m:t>
            </m:r>
          </m:sub>
        </m:sSub>
        <m:r>
          <m:rPr>
            <m:sty m:val="p"/>
          </m:rPr>
          <m:t>+</m:t>
        </m:r>
        <m:sSub>
          <m:e>
            <m:r>
              <m:t>d</m:t>
            </m:r>
          </m:e>
          <m:sub>
            <m:r>
              <m:t>r</m:t>
            </m:r>
          </m:sub>
        </m:sSub>
        <m:r>
          <m:rPr>
            <m:sty m:val="p"/>
          </m:rPr>
          <m:t>+</m:t>
        </m:r>
        <m:sSub>
          <m:e>
            <m:r>
              <m:t>f</m:t>
            </m:r>
          </m:e>
          <m:sub>
            <m:r>
              <m:t>r</m:t>
            </m:r>
            <m:r>
              <m:t>i</m:t>
            </m:r>
          </m:sub>
        </m:sSub>
        <m:r>
          <m:rPr>
            <m:sty m:val="p"/>
          </m:rPr>
          <m:t>)</m:t>
        </m:r>
      </m:oMath>
      <w:r>
        <w:t xml:space="preserve"> </w:t>
      </w:r>
      <w:r>
        <w:t xml:space="preserve">(equação 16). Reescrita em níveis de emprego (equação 17) e linearizada, ela dá a</w:t>
      </w:r>
      <w:r>
        <w:t xml:space="preserve"> </w:t>
      </w:r>
      <w:r>
        <w:rPr>
          <w:b/>
          <w:bCs/>
        </w:rPr>
        <w:t xml:space="preserve">forma estática</w:t>
      </w:r>
      <w:r>
        <w:t xml:space="preserve"> </w:t>
      </w:r>
      <w:r>
        <w:t xml:space="preserve">(equação 18 do artigo):</w:t>
      </w:r>
    </w:p>
    <w:p>
      <w:pPr>
        <w:pStyle w:val="BodyText"/>
      </w:pPr>
      <m:oMathPara>
        <m:oMathParaPr>
          <m:jc m:val="center"/>
        </m:oMathParaPr>
        <m:oMath>
          <m:r>
            <m:rPr>
              <m:sty m:val="p"/>
            </m:rPr>
            <m:t>ln</m:t>
          </m:r>
          <m:f>
            <m:fPr>
              <m:type m:val="bar"/>
            </m:fPr>
            <m:num>
              <m:sSub>
                <m:e>
                  <m:r>
                    <m:t>E</m:t>
                  </m:r>
                </m:e>
                <m:sub>
                  <m:r>
                    <m:t>1</m:t>
                  </m:r>
                  <m:r>
                    <m:rPr>
                      <m:sty m:val="p"/>
                    </m:rPr>
                    <m:t>,</m:t>
                  </m:r>
                  <m:r>
                    <m:t>r</m:t>
                  </m:r>
                  <m:r>
                    <m:t>i</m:t>
                  </m:r>
                </m:sub>
              </m:sSub>
            </m:num>
            <m:den>
              <m:sSub>
                <m:e>
                  <m:r>
                    <m:t>E</m:t>
                  </m:r>
                </m:e>
                <m:sub>
                  <m:r>
                    <m:t>0</m:t>
                  </m:r>
                  <m:r>
                    <m:rPr>
                      <m:sty m:val="p"/>
                    </m:rPr>
                    <m:t>,</m:t>
                  </m:r>
                  <m:r>
                    <m:t>r</m:t>
                  </m:r>
                  <m:r>
                    <m:t>i</m:t>
                  </m:r>
                </m:sub>
              </m:sSub>
            </m:den>
          </m:f>
          <m:r>
            <m:rPr>
              <m:sty m:val="p"/>
            </m:rPr>
            <m:t>=</m:t>
          </m:r>
          <m:r>
            <m:t>A</m:t>
          </m:r>
          <m:r>
            <m:rPr>
              <m:sty m:val="p"/>
            </m:rPr>
            <m:t>+</m:t>
          </m:r>
          <m:sSub>
            <m:e>
              <m:r>
                <m:t>O</m:t>
              </m:r>
            </m:e>
            <m:sub>
              <m:r>
                <m:t>i</m:t>
              </m:r>
            </m:sub>
          </m:sSub>
          <m:r>
            <m:rPr>
              <m:sty m:val="p"/>
            </m:rPr>
            <m:t>+</m:t>
          </m:r>
          <m:sSub>
            <m:e>
              <m:r>
                <m:t>D</m:t>
              </m:r>
            </m:e>
            <m:sub>
              <m:r>
                <m:t>r</m:t>
              </m:r>
            </m:sub>
          </m:sSub>
          <m:r>
            <m:rPr>
              <m:sty m:val="p"/>
            </m:rPr>
            <m:t>+</m:t>
          </m:r>
          <m:r>
            <m:rPr>
              <m:sty m:val="p"/>
            </m:rPr>
            <m:t>ln</m:t>
          </m:r>
          <m:sSub>
            <m:e>
              <m:r>
                <m:t>F</m:t>
              </m:r>
            </m:e>
            <m:sub>
              <m:r>
                <m:t>r</m:t>
              </m:r>
              <m:r>
                <m:t>i</m:t>
              </m:r>
            </m:sub>
          </m:sSub>
        </m:oMath>
      </m:oMathPara>
    </w:p>
    <w:p>
      <w:pPr>
        <w:pStyle w:val="FirstParagraph"/>
      </w:pPr>
      <w:r>
        <w:t xml:space="preserve">em que</w:t>
      </w:r>
      <w:r>
        <w:t xml:space="preserve"> </w:t>
      </w:r>
      <m:oMath>
        <m:r>
          <m:t>A</m:t>
        </m:r>
      </m:oMath>
      <w:r>
        <w:t xml:space="preserve"> </w:t>
      </w:r>
      <w:r>
        <w:t xml:space="preserve">é o intercepto (crescimento comum),</w:t>
      </w:r>
      <w:r>
        <w:t xml:space="preserve"> </w:t>
      </w:r>
      <m:oMath>
        <m:sSub>
          <m:e>
            <m:r>
              <m:t>O</m:t>
            </m:r>
          </m:e>
          <m:sub>
            <m:r>
              <m:t>i</m:t>
            </m:r>
          </m:sub>
        </m:sSub>
      </m:oMath>
      <w:r>
        <w:t xml:space="preserve"> </w:t>
      </w:r>
      <w:r>
        <w:t xml:space="preserve">é o efeito do setor (análogo, em escala logarítmica, do componente de composição setorial),</w:t>
      </w:r>
      <w:r>
        <w:t xml:space="preserve"> </w:t>
      </w:r>
      <m:oMath>
        <m:sSub>
          <m:e>
            <m:r>
              <m:t>D</m:t>
            </m:r>
          </m:e>
          <m:sub>
            <m:r>
              <m:t>r</m:t>
            </m:r>
          </m:sub>
        </m:sSub>
      </m:oMath>
      <w:r>
        <w:t xml:space="preserve"> </w:t>
      </w:r>
      <w:r>
        <w:t xml:space="preserve">é o efeito da região (análogo, em escala logarítmica, do efeito competitivo regional) e</w:t>
      </w:r>
      <w:r>
        <w:t xml:space="preserve"> </w:t>
      </w:r>
      <m:oMath>
        <m:r>
          <m:rPr>
            <m:sty m:val="p"/>
          </m:rPr>
          <m:t>ln</m:t>
        </m:r>
        <m:sSub>
          <m:e>
            <m:r>
              <m:t>F</m:t>
            </m:r>
          </m:e>
          <m:sub>
            <m:r>
              <m:t>r</m:t>
            </m:r>
            <m:r>
              <m:t>i</m:t>
            </m:r>
          </m:sub>
        </m:sSub>
      </m:oMath>
      <w:r>
        <w:t xml:space="preserve"> </w:t>
      </w:r>
      <w:r>
        <w:t xml:space="preserve">é o termo de erro. A</w:t>
      </w:r>
      <w:r>
        <w:t xml:space="preserve"> </w:t>
      </w:r>
      <w:r>
        <w:rPr>
          <w:b/>
          <w:bCs/>
        </w:rPr>
        <w:t xml:space="preserve">forma dinâmica</w:t>
      </w:r>
      <w:r>
        <w:t xml:space="preserve"> </w:t>
      </w:r>
      <w:r>
        <w:t xml:space="preserve">pode ser obtida de duas maneiras: aplicando a Equação 13 a períodos sucessivos e somando ou tirando a média dos resultados, como em Barff e Knight (1988), ou acrescentando à tabela uma dimensão de tempo, com um efeito</w:t>
      </w:r>
      <w:r>
        <w:t xml:space="preserve"> </w:t>
      </w:r>
      <m:oMath>
        <m:sSub>
          <m:e>
            <m:r>
              <m:t>T</m:t>
            </m:r>
          </m:e>
          <m:sub>
            <m:r>
              <m:t>k</m:t>
            </m:r>
          </m:sub>
        </m:sSub>
      </m:oMath>
      <w:r>
        <w:t xml:space="preserve"> </w:t>
      </w:r>
      <w:r>
        <w:t xml:space="preserve">para cada par de anos adjacentes</w:t>
      </w:r>
      <w:r>
        <w:t xml:space="preserve"> </w:t>
      </w:r>
      <m:oMath>
        <m:r>
          <m:t>k</m:t>
        </m:r>
        <m:r>
          <m:rPr>
            <m:sty m:val="p"/>
          </m:rPr>
          <m:t>=</m:t>
        </m:r>
        <m:r>
          <m:t>1</m:t>
        </m:r>
        <m:r>
          <m:rPr>
            <m:sty m:val="p"/>
          </m:rPr>
          <m:t>,</m:t>
        </m:r>
        <m:r>
          <m:rPr>
            <m:sty m:val="p"/>
          </m:rPr>
          <m:t>…</m:t>
        </m:r>
        <m:r>
          <m:rPr>
            <m:sty m:val="p"/>
          </m:rPr>
          <m:t>,</m:t>
        </m:r>
        <m:r>
          <m:t>T</m:t>
        </m:r>
      </m:oMath>
      <w:r>
        <w:t xml:space="preserve"> </w:t>
      </w:r>
      <w:r>
        <w:t xml:space="preserve">(equação 19 do artigo):</w:t>
      </w:r>
    </w:p>
    <w:p>
      <w:pPr>
        <w:pStyle w:val="BodyText"/>
      </w:pPr>
      <m:oMathPara>
        <m:oMathParaPr>
          <m:jc m:val="center"/>
        </m:oMathParaPr>
        <m:oMath>
          <m:r>
            <m:rPr>
              <m:sty m:val="p"/>
            </m:rPr>
            <m:t>ln</m:t>
          </m:r>
          <m:f>
            <m:fPr>
              <m:type m:val="bar"/>
            </m:fPr>
            <m:num>
              <m:sSub>
                <m:e>
                  <m:r>
                    <m:t>E</m:t>
                  </m:r>
                </m:e>
                <m:sub>
                  <m:r>
                    <m:t>k</m:t>
                  </m:r>
                  <m:r>
                    <m:rPr>
                      <m:sty m:val="p"/>
                    </m:rPr>
                    <m:t>,</m:t>
                  </m:r>
                  <m:r>
                    <m:t>r</m:t>
                  </m:r>
                  <m:r>
                    <m:t>i</m:t>
                  </m:r>
                </m:sub>
              </m:sSub>
            </m:num>
            <m:den>
              <m:sSub>
                <m:e>
                  <m:r>
                    <m:t>E</m:t>
                  </m:r>
                </m:e>
                <m:sub>
                  <m:r>
                    <m:t>k</m:t>
                  </m:r>
                  <m:r>
                    <m:rPr>
                      <m:sty m:val="p"/>
                    </m:rPr>
                    <m:t>−</m:t>
                  </m:r>
                  <m:r>
                    <m:t>1</m:t>
                  </m:r>
                  <m:r>
                    <m:rPr>
                      <m:sty m:val="p"/>
                    </m:rPr>
                    <m:t>,</m:t>
                  </m:r>
                  <m:r>
                    <m:t>r</m:t>
                  </m:r>
                  <m:r>
                    <m:t>i</m:t>
                  </m:r>
                </m:sub>
              </m:sSub>
            </m:den>
          </m:f>
          <m:r>
            <m:rPr>
              <m:sty m:val="p"/>
            </m:rPr>
            <m:t>=</m:t>
          </m:r>
          <m:r>
            <m:t>A</m:t>
          </m:r>
          <m:r>
            <m:rPr>
              <m:sty m:val="p"/>
            </m:rPr>
            <m:t>+</m:t>
          </m:r>
          <m:sSub>
            <m:e>
              <m:r>
                <m:t>O</m:t>
              </m:r>
            </m:e>
            <m:sub>
              <m:r>
                <m:t>i</m:t>
              </m:r>
            </m:sub>
          </m:sSub>
          <m:r>
            <m:rPr>
              <m:sty m:val="p"/>
            </m:rPr>
            <m:t>+</m:t>
          </m:r>
          <m:sSub>
            <m:e>
              <m:r>
                <m:t>D</m:t>
              </m:r>
            </m:e>
            <m:sub>
              <m:r>
                <m:t>r</m:t>
              </m:r>
            </m:sub>
          </m:sSub>
          <m:r>
            <m:rPr>
              <m:sty m:val="p"/>
            </m:rPr>
            <m:t>+</m:t>
          </m:r>
          <m:sSub>
            <m:e>
              <m:r>
                <m:t>T</m:t>
              </m:r>
            </m:e>
            <m:sub>
              <m:r>
                <m:t>k</m:t>
              </m:r>
            </m:sub>
          </m:sSub>
          <m:r>
            <m:rPr>
              <m:sty m:val="p"/>
            </m:rPr>
            <m:t>+</m:t>
          </m:r>
          <m:r>
            <m:rPr>
              <m:sty m:val="p"/>
            </m:rPr>
            <m:t>ln</m:t>
          </m:r>
          <m:sSub>
            <m:e>
              <m:r>
                <m:t>F</m:t>
              </m:r>
            </m:e>
            <m:sub>
              <m:r>
                <m:t>r</m:t>
              </m:r>
              <m:r>
                <m:t>i</m:t>
              </m:r>
              <m:r>
                <m:t>k</m:t>
              </m:r>
            </m:sub>
          </m:sSub>
        </m:oMath>
      </m:oMathPara>
    </w:p>
    <w:p>
      <w:pPr>
        <w:pStyle w:val="FirstParagraph"/>
      </w:pPr>
      <w:r>
        <w:t xml:space="preserve">Nas duas formas, os parâmetros só são determinados a menos de uma constante aditiva: um nível de cada dimensão não pode ser estimado (o artigo os chama de</w:t>
      </w:r>
      <w:r>
        <w:t xml:space="preserve"> </w:t>
      </w:r>
      <w:r>
        <w:rPr>
          <w:i/>
          <w:iCs/>
        </w:rPr>
        <w:t xml:space="preserve">aliased</w:t>
      </w:r>
      <w:r>
        <w:t xml:space="preserve">) e os demais são lidos em relação a ele.</w:t>
      </w:r>
    </w:p>
    <w:p>
      <w:pPr>
        <w:pStyle w:val="BodyText"/>
      </w:pPr>
      <w:r>
        <w:rPr>
          <w:b/>
          <w:bCs/>
        </w:rPr>
        <w:t xml:space="preserve">Estimação.</w:t>
      </w:r>
      <w:r>
        <w:t xml:space="preserve"> </w:t>
      </w:r>
      <w:r>
        <w:t xml:space="preserve">Como as soluções MDI são estimadores de máxima verossimilhança, Knudsen (2000) calibra esses modelos com métodos de modelos lineares generalizados (GLM), remetendo à literatura de regressão de Poisson para dados de contagem agregados (FLOWERDEW; LOVETT, 1989; LOVETT; FLOWERDEW, 1989; MCCULLAGH; NELDER, 1983) e à inclusão de informação</w:t>
      </w:r>
      <w:r>
        <w:t xml:space="preserve"> </w:t>
      </w:r>
      <w:r>
        <w:rPr>
          <w:i/>
          <w:iCs/>
        </w:rPr>
        <w:t xml:space="preserve">a priori</w:t>
      </w:r>
      <w:r>
        <w:t xml:space="preserve"> </w:t>
      </w:r>
      <w:r>
        <w:t xml:space="preserve">por meio de</w:t>
      </w:r>
      <w:r>
        <w:t xml:space="preserve"> </w:t>
      </w:r>
      <w:r>
        <w:rPr>
          <w:i/>
          <w:iCs/>
        </w:rPr>
        <w:t xml:space="preserve">offsets</w:t>
      </w:r>
      <w:r>
        <w:t xml:space="preserve"> </w:t>
      </w:r>
      <w:r>
        <w:t xml:space="preserve">(KNUDSEN, 1992). Na forma estática usada nesta nota e na implementação de referência, o modelo estimado é um GLM de Poisson com ligação log, em que</w:t>
      </w:r>
      <w:r>
        <w:t xml:space="preserve"> </w:t>
      </w:r>
      <m:oMath>
        <m:r>
          <m:rPr>
            <m:sty m:val="p"/>
          </m:rPr>
          <m:t>ln</m:t>
        </m:r>
        <m:sSub>
          <m:e>
            <m:r>
              <m:t>E</m:t>
            </m:r>
          </m:e>
          <m:sub>
            <m:r>
              <m:t>0</m:t>
            </m:r>
            <m:r>
              <m:rPr>
                <m:sty m:val="p"/>
              </m:rPr>
              <m:t>,</m:t>
            </m:r>
            <m:r>
              <m:t>r</m:t>
            </m:r>
            <m:r>
              <m:t>i</m:t>
            </m:r>
          </m:sub>
        </m:sSub>
      </m:oMath>
      <w:r>
        <w:t xml:space="preserve"> </w:t>
      </w:r>
      <w:r>
        <w:t xml:space="preserve">entra como</w:t>
      </w:r>
      <w:r>
        <w:t xml:space="preserve"> </w:t>
      </w:r>
      <w:r>
        <w:rPr>
          <w:i/>
          <w:iCs/>
        </w:rPr>
        <w:t xml:space="preserve">offset</w:t>
      </w:r>
      <w:r>
        <w:t xml:space="preserve"> </w:t>
      </w:r>
      <w:r>
        <w:t xml:space="preserve">(regressor com coeficiente fixado em 1):</w:t>
      </w:r>
    </w:p>
    <w:p>
      <w:pPr>
        <w:pStyle w:val="BodyText"/>
      </w:pPr>
      <m:oMathPara>
        <m:oMathParaPr>
          <m:jc m:val="center"/>
        </m:oMathParaPr>
        <m:oMath>
          <m:sSub>
            <m:e>
              <m:r>
                <m:t>E</m:t>
              </m:r>
            </m:e>
            <m:sub>
              <m:r>
                <m:t>1</m:t>
              </m:r>
              <m:r>
                <m:rPr>
                  <m:sty m:val="p"/>
                </m:rPr>
                <m:t>,</m:t>
              </m:r>
              <m:r>
                <m:t>r</m:t>
              </m:r>
              <m:r>
                <m:t>i</m:t>
              </m:r>
            </m:sub>
          </m:sSub>
          <m:r>
            <m:rPr>
              <m:sty m:val="p"/>
            </m:rPr>
            <m:t>∼</m:t>
          </m:r>
          <m:r>
            <m:rPr>
              <m:nor/>
              <m:sty m:val="p"/>
            </m:rPr>
            <m:t>Poisson</m:t>
          </m:r>
          <m:r>
            <m:rPr>
              <m:sty m:val="p"/>
            </m:rPr>
            <m:t>(</m:t>
          </m:r>
          <m:sSub>
            <m:e>
              <m:r>
                <m:t>μ</m:t>
              </m:r>
            </m:e>
            <m:sub>
              <m:r>
                <m:t>r</m:t>
              </m:r>
              <m:r>
                <m:t>i</m:t>
              </m:r>
            </m:sub>
          </m:sSub>
          <m:r>
            <m:rPr>
              <m:sty m:val="p"/>
            </m:rPr>
            <m:t>)</m:t>
          </m:r>
          <m:r>
            <m:rPr>
              <m:sty m:val="p"/>
            </m:rPr>
            <m:t>,</m:t>
          </m:r>
          <m:r>
            <m:t>  </m:t>
          </m:r>
          <m:r>
            <m:rPr>
              <m:sty m:val="p"/>
            </m:rPr>
            <m:t>ln</m:t>
          </m:r>
          <m:sSub>
            <m:e>
              <m:r>
                <m:t>μ</m:t>
              </m:r>
            </m:e>
            <m:sub>
              <m:r>
                <m:t>r</m:t>
              </m:r>
              <m:r>
                <m:t>i</m:t>
              </m:r>
            </m:sub>
          </m:sSub>
          <m:r>
            <m:rPr>
              <m:sty m:val="p"/>
            </m:rPr>
            <m:t>=</m:t>
          </m:r>
          <m:r>
            <m:rPr>
              <m:sty m:val="p"/>
            </m:rPr>
            <m:t>ln</m:t>
          </m:r>
          <m:sSub>
            <m:e>
              <m:r>
                <m:t>E</m:t>
              </m:r>
            </m:e>
            <m:sub>
              <m:r>
                <m:t>0</m:t>
              </m:r>
              <m:r>
                <m:rPr>
                  <m:sty m:val="p"/>
                </m:rPr>
                <m:t>,</m:t>
              </m:r>
              <m:r>
                <m:t>r</m:t>
              </m:r>
              <m:r>
                <m:t>i</m:t>
              </m:r>
            </m:sub>
          </m:sSub>
          <m:r>
            <m:rPr>
              <m:sty m:val="p"/>
            </m:rPr>
            <m:t>+</m:t>
          </m:r>
          <m:r>
            <m:t>A</m:t>
          </m:r>
          <m:r>
            <m:rPr>
              <m:sty m:val="p"/>
            </m:rPr>
            <m:t>+</m:t>
          </m:r>
          <m:sSub>
            <m:e>
              <m:r>
                <m:t>O</m:t>
              </m:r>
            </m:e>
            <m:sub>
              <m:r>
                <m:t>i</m:t>
              </m:r>
            </m:sub>
          </m:sSub>
          <m:r>
            <m:rPr>
              <m:sty m:val="p"/>
            </m:rPr>
            <m:t>+</m:t>
          </m:r>
          <m:sSub>
            <m:e>
              <m:r>
                <m:t>D</m:t>
              </m:r>
            </m:e>
            <m:sub>
              <m:r>
                <m:t>r</m:t>
              </m:r>
            </m:sub>
          </m:sSub>
        </m:oMath>
      </m:oMathPara>
    </w:p>
    <w:p>
      <w:pPr>
        <w:pStyle w:val="FirstParagraph"/>
      </w:pPr>
      <w:r>
        <w:t xml:space="preserve">Os parâmetros são assintoticamente normais, de modo que a razão entre o coeficiente e seu erro-padrão dá o teste de Wald,</w:t>
      </w:r>
      <w:r>
        <w:t xml:space="preserve"> </w:t>
      </w:r>
      <m:oMath>
        <m:sSub>
          <m:e>
            <m:r>
              <m:t>z</m:t>
            </m:r>
          </m:e>
          <m:sub>
            <m:r>
              <m:t>r</m:t>
            </m:r>
          </m:sub>
        </m:sSub>
        <m:r>
          <m:rPr>
            <m:sty m:val="p"/>
          </m:rPr>
          <m:t>=</m:t>
        </m:r>
        <m:sSub>
          <m:e>
            <m:acc>
              <m:accPr>
                <m:chr m:val="̂"/>
              </m:accPr>
              <m:e>
                <m:r>
                  <m:t>D</m:t>
                </m:r>
              </m:e>
            </m:acc>
          </m:e>
          <m:sub>
            <m:r>
              <m:t>r</m:t>
            </m:r>
          </m:sub>
        </m:sSub>
        <m:r>
          <m:rPr>
            <m:sty m:val="p"/>
          </m:rPr>
          <m:t>/</m:t>
        </m:r>
        <m:r>
          <m:rPr>
            <m:nor/>
            <m:sty m:val="p"/>
          </m:rPr>
          <m:t>ep</m:t>
        </m:r>
        <m:r>
          <m:rPr>
            <m:sty m:val="p"/>
          </m:rPr>
          <m:t>(</m:t>
        </m:r>
        <m:sSub>
          <m:e>
            <m:acc>
              <m:accPr>
                <m:chr m:val="̂"/>
              </m:accPr>
              <m:e>
                <m:r>
                  <m:t>D</m:t>
                </m:r>
              </m:e>
            </m:acc>
          </m:e>
          <m:sub>
            <m:r>
              <m:t>r</m:t>
            </m:r>
          </m:sub>
        </m:sSub>
        <m:r>
          <m:rPr>
            <m:sty m:val="p"/>
          </m:rPr>
          <m:t>)</m:t>
        </m:r>
      </m:oMath>
      <w:r>
        <w:t xml:space="preserve">, sob</w:t>
      </w:r>
      <w:r>
        <w:t xml:space="preserve"> </w:t>
      </w:r>
      <m:oMath>
        <m:sSub>
          <m:e>
            <m:r>
              <m:t>H</m:t>
            </m:r>
          </m:e>
          <m:sub>
            <m:r>
              <m:t>0</m:t>
            </m:r>
          </m:sub>
        </m:sSub>
        <m:r>
          <m:rPr>
            <m:sty m:val="p"/>
          </m:rPr>
          <m:t>:</m:t>
        </m:r>
        <m:sSub>
          <m:e>
            <m:r>
              <m:t>D</m:t>
            </m:r>
          </m:e>
          <m:sub>
            <m:r>
              <m:t>r</m:t>
            </m:r>
          </m:sub>
        </m:sSub>
        <m:r>
          <m:rPr>
            <m:sty m:val="p"/>
          </m:rPr>
          <m:t>=</m:t>
        </m:r>
        <m:r>
          <m:t>0</m:t>
        </m:r>
      </m:oMath>
      <w:r>
        <w:t xml:space="preserve">. O ajuste é medido pela</w:t>
      </w:r>
      <w:r>
        <w:t xml:space="preserve"> </w:t>
      </w:r>
      <w:r>
        <w:rPr>
          <w:i/>
          <w:iCs/>
        </w:rPr>
        <w:t xml:space="preserve">deviance</w:t>
      </w:r>
      <w:r>
        <w:t xml:space="preserve">, assintoticamente distribuída como qui-quadrado, e resumido pela PNMD,</w:t>
      </w:r>
      <w:r>
        <w:t xml:space="preserve"> </w:t>
      </w:r>
      <m:oMath>
        <m:r>
          <m:t>1</m:t>
        </m:r>
        <m:r>
          <m:rPr>
            <m:sty m:val="p"/>
          </m:rPr>
          <m:t>−</m:t>
        </m:r>
        <m:sSub>
          <m:e>
            <m:r>
              <m:rPr>
                <m:scr m:val="script"/>
                <m:sty m:val="p"/>
              </m:rPr>
              <m:t>D</m:t>
            </m:r>
          </m:e>
          <m:sub>
            <m:r>
              <m:rPr>
                <m:nor/>
                <m:sty m:val="p"/>
              </m:rPr>
              <m:t>modelo</m:t>
            </m:r>
          </m:sub>
        </m:sSub>
        <m:r>
          <m:rPr>
            <m:sty m:val="p"/>
          </m:rPr>
          <m:t>/</m:t>
        </m:r>
        <m:sSub>
          <m:e>
            <m:r>
              <m:rPr>
                <m:scr m:val="script"/>
                <m:sty m:val="p"/>
              </m:rPr>
              <m:t>D</m:t>
            </m:r>
          </m:e>
          <m:sub>
            <m:r>
              <m:rPr>
                <m:nor/>
                <m:sty m:val="p"/>
              </m:rPr>
              <m:t>nulo</m:t>
            </m:r>
          </m:sub>
        </m:sSub>
      </m:oMath>
      <w:r>
        <w:t xml:space="preserve">, que se lê como um</w:t>
      </w:r>
      <w:r>
        <w:t xml:space="preserve"> </w:t>
      </w:r>
      <m:oMath>
        <m:sSup>
          <m:e>
            <m:r>
              <m:t>R</m:t>
            </m:r>
          </m:e>
          <m:sup>
            <m:r>
              <m:t>2</m:t>
            </m:r>
          </m:sup>
        </m:sSup>
      </m:oMath>
      <w:r>
        <w:t xml:space="preserve">. Knudsen (2000) observa ainda que a ANOVA simples (sua equação 4) e a forma informacional simples (equação 14 do artigo, sem o efeito de região) deveriam produzir resultados idênticos se esta fosse calibrada com pesos</w:t>
      </w:r>
      <w:r>
        <w:t xml:space="preserve"> </w:t>
      </w:r>
      <m:oMath>
        <m:sSubSup>
          <m:e>
            <m:r>
              <m:t>w</m:t>
            </m:r>
          </m:e>
          <m:sub>
            <m:r>
              <m:t>r</m:t>
            </m:r>
            <m:r>
              <m:t>i</m:t>
            </m:r>
          </m:sub>
          <m:sup>
            <m:r>
              <m:rPr>
                <m:sty m:val="p"/>
              </m:rPr>
              <m:t>−</m:t>
            </m:r>
            <m:r>
              <m:t>1</m:t>
            </m:r>
          </m:sup>
        </m:sSubSup>
      </m:oMath>
      <w:r>
        <w:t xml:space="preserve"> </w:t>
      </w:r>
      <w:r>
        <w:t xml:space="preserve">e erros</w:t>
      </w:r>
      <w:r>
        <w:t xml:space="preserve"> </w:t>
      </w:r>
      <m:oMath>
        <m:r>
          <m:rPr>
            <m:sty m:val="p"/>
          </m:rPr>
          <m:t>ln</m:t>
        </m:r>
        <m:sSub>
          <m:e>
            <m:r>
              <m:t>F</m:t>
            </m:r>
          </m:e>
          <m:sub>
            <m:r>
              <m:t>r</m:t>
            </m:r>
            <m:r>
              <m:t>i</m:t>
            </m:r>
          </m:sub>
        </m:sSub>
      </m:oMath>
      <w:r>
        <w:t xml:space="preserve"> </w:t>
      </w:r>
      <w:r>
        <w:t xml:space="preserve">normais (BERZEG, 1984; KNUDSEN; BARFF, 1991), e que os parâmetros das duas formas deveriam guardar uma relação exponencial. No texto do artigo essa relação aparece impressa como</w:t>
      </w:r>
      <w:r>
        <w:t xml:space="preserve"> </w:t>
      </w:r>
      <m:oMath>
        <m:sSub>
          <m:e>
            <m:r>
              <m:t>B</m:t>
            </m:r>
          </m:e>
          <m:sub>
            <m:r>
              <m:t>i</m:t>
            </m:r>
          </m:sub>
        </m:sSub>
        <m:r>
          <m:rPr>
            <m:sty m:val="p"/>
          </m:rPr>
          <m:t>=</m:t>
        </m:r>
        <m:r>
          <m:rPr>
            <m:sty m:val="p"/>
          </m:rPr>
          <m:t>exp</m:t>
        </m:r>
        <m:r>
          <m:rPr>
            <m:sty m:val="p"/>
          </m:rPr>
          <m:t>(</m:t>
        </m:r>
        <m:sSub>
          <m:e>
            <m:r>
              <m:t>O</m:t>
            </m:r>
          </m:e>
          <m:sub>
            <m:r>
              <m:t>i</m:t>
            </m:r>
          </m:sub>
        </m:sSub>
        <m:r>
          <m:rPr>
            <m:sty m:val="p"/>
          </m:rPr>
          <m:t>−</m:t>
        </m:r>
        <m:r>
          <m:t>1</m:t>
        </m:r>
        <m:r>
          <m:rPr>
            <m:sty m:val="p"/>
          </m:rPr>
          <m:t>)</m:t>
        </m:r>
      </m:oMath>
      <w:r>
        <w:t xml:space="preserve">; a leitura coerente com</w:t>
      </w:r>
      <w:r>
        <w:t xml:space="preserve"> </w:t>
      </w:r>
      <m:oMath>
        <m:sSub>
          <m:e>
            <m:r>
              <m:t>g</m:t>
            </m:r>
          </m:e>
          <m:sub>
            <m:r>
              <m:t>r</m:t>
            </m:r>
            <m:r>
              <m:t>i</m:t>
            </m:r>
          </m:sub>
        </m:sSub>
        <m:r>
          <m:rPr>
            <m:sty m:val="p"/>
          </m:rPr>
          <m:t>=</m:t>
        </m:r>
        <m:sSub>
          <m:e>
            <m:r>
              <m:t>E</m:t>
            </m:r>
          </m:e>
          <m:sub>
            <m:r>
              <m:t>1</m:t>
            </m:r>
            <m:r>
              <m:rPr>
                <m:sty m:val="p"/>
              </m:rPr>
              <m:t>,</m:t>
            </m:r>
            <m:r>
              <m:t>r</m:t>
            </m:r>
            <m:r>
              <m:t>i</m:t>
            </m:r>
          </m:sub>
        </m:sSub>
        <m:r>
          <m:rPr>
            <m:sty m:val="p"/>
          </m:rPr>
          <m:t>/</m:t>
        </m:r>
        <m:sSub>
          <m:e>
            <m:r>
              <m:t>E</m:t>
            </m:r>
          </m:e>
          <m:sub>
            <m:r>
              <m:t>0</m:t>
            </m:r>
            <m:r>
              <m:rPr>
                <m:sty m:val="p"/>
              </m:rPr>
              <m:t>,</m:t>
            </m:r>
            <m:r>
              <m:t>r</m:t>
            </m:r>
            <m:r>
              <m:t>i</m:t>
            </m:r>
          </m:sub>
        </m:sSub>
        <m:r>
          <m:rPr>
            <m:sty m:val="p"/>
          </m:rPr>
          <m:t>−</m:t>
        </m:r>
        <m:r>
          <m:t>1</m:t>
        </m:r>
      </m:oMath>
      <w:r>
        <w:t xml:space="preserve"> </w:t>
      </w:r>
      <w:r>
        <w:t xml:space="preserve">é</w:t>
      </w:r>
      <w:r>
        <w:t xml:space="preserve"> </w:t>
      </w:r>
      <m:oMath>
        <m:sSub>
          <m:e>
            <m:r>
              <m:t>B</m:t>
            </m:r>
          </m:e>
          <m:sub>
            <m:r>
              <m:t>i</m:t>
            </m:r>
          </m:sub>
        </m:sSub>
        <m:r>
          <m:rPr>
            <m:sty m:val="p"/>
          </m:rPr>
          <m:t>=</m:t>
        </m:r>
        <m:sSup>
          <m:e>
            <m:r>
              <m:t>e</m:t>
            </m:r>
          </m:e>
          <m:sup>
            <m:sSub>
              <m:e>
                <m:r>
                  <m:t>O</m:t>
                </m:r>
              </m:e>
              <m:sub>
                <m:r>
                  <m:t>i</m:t>
                </m:r>
              </m:sub>
            </m:sSub>
          </m:sup>
        </m:sSup>
        <m:r>
          <m:rPr>
            <m:sty m:val="p"/>
          </m:rPr>
          <m:t>−</m:t>
        </m:r>
        <m:r>
          <m:t>1</m:t>
        </m:r>
      </m:oMath>
      <w:r>
        <w:t xml:space="preserve">. Na comparação empírica, porém, o autor não encontra uma relação precisa entre os parâmetros e atribui a discrepância à inversa generalizada usada para contornar a singularidade de</w:t>
      </w:r>
      <w:r>
        <w:t xml:space="preserve"> </w:t>
      </w:r>
      <m:oMath>
        <m:sSup>
          <m:e>
            <m:r>
              <m:t>X</m:t>
            </m:r>
          </m:e>
          <m:sup>
            <m:r>
              <m:rPr>
                <m:sty m:val="p"/>
              </m:rPr>
              <m:t>⊤</m:t>
            </m:r>
          </m:sup>
        </m:sSup>
        <m:r>
          <m:t>X</m:t>
        </m:r>
      </m:oMath>
      <w:r>
        <w:t xml:space="preserve"> </w:t>
      </w:r>
      <w:r>
        <w:t xml:space="preserve">na calibração.</w:t>
      </w:r>
    </w:p>
    <w:p>
      <w:pPr>
        <w:pStyle w:val="BodyText"/>
      </w:pPr>
      <w:r>
        <w:rPr>
          <w:b/>
          <w:bCs/>
        </w:rPr>
        <w:t xml:space="preserve">Adaptações da implementação de referência.</w:t>
      </w:r>
      <w:r>
        <w:t xml:space="preserve"> </w:t>
      </w:r>
      <w:r>
        <w:t xml:space="preserve">A implementação do projeto (</w:t>
      </w:r>
      <w:r>
        <w:rPr>
          <w:rStyle w:val="VerbatimChar"/>
        </w:rPr>
        <w:t xml:space="preserve">ssa_models.knudsen_mdi</w:t>
      </w:r>
      <w:r>
        <w:t xml:space="preserve"> </w:t>
      </w:r>
      <w:r>
        <w:t xml:space="preserve">e seção 9 do caderno</w:t>
      </w:r>
      <w:r>
        <w:t xml:space="preserve"> </w:t>
      </w:r>
      <w:r>
        <w:rPr>
          <w:rStyle w:val="VerbatimChar"/>
        </w:rPr>
        <w:t xml:space="preserve">evolucao_shift_share.ipynb</w:t>
      </w:r>
      <w:r>
        <w:t xml:space="preserve">) segue as Equações 13 a 15 e acrescenta três elementos que não estão no artigo. Primeiro, os erros-padrão são, por padrão, quase-Poisson: a matriz de covariância de máxima verossimilhança é multiplicada pela dispersão estimada</w:t>
      </w:r>
      <w:r>
        <w:t xml:space="preserve"> </w:t>
      </w:r>
      <m:oMath>
        <m:acc>
          <m:accPr>
            <m:chr m:val="̂"/>
          </m:accPr>
          <m:e>
            <m:r>
              <m:t>ϕ</m:t>
            </m:r>
          </m:e>
        </m:acc>
        <m:r>
          <m:rPr>
            <m:sty m:val="p"/>
          </m:rPr>
          <m:t>=</m:t>
        </m:r>
        <m:sSubSup>
          <m:e>
            <m:r>
              <m:t>χ</m:t>
            </m:r>
          </m:e>
          <m:sub>
            <m:r>
              <m:rPr>
                <m:nor/>
                <m:sty m:val="p"/>
              </m:rPr>
              <m:t>Pearson</m:t>
            </m:r>
          </m:sub>
          <m:sup>
            <m:r>
              <m:t>2</m:t>
            </m:r>
          </m:sup>
        </m:sSubSup>
        <m:r>
          <m:rPr>
            <m:sty m:val="p"/>
          </m:rPr>
          <m:t>/</m:t>
        </m:r>
        <m:r>
          <m:rPr>
            <m:sty m:val="p"/>
          </m:rPr>
          <m:t>(</m:t>
        </m:r>
        <m:r>
          <m:t>n</m:t>
        </m:r>
        <m:r>
          <m:rPr>
            <m:sty m:val="p"/>
          </m:rPr>
          <m:t>−</m:t>
        </m:r>
        <m:r>
          <m:t>p</m:t>
        </m:r>
        <m:r>
          <m:rPr>
            <m:sty m:val="p"/>
          </m:rPr>
          <m:t>)</m:t>
        </m:r>
      </m:oMath>
      <w:r>
        <w:t xml:space="preserve">. Emprego não é uma contagem de Poisson, e os erros de máxima verossimilhança pura, que supõem variância igual à média, dependem da unidade de medida: a mesma série medida em empregos ou em milhares de empregos leva a conclusões de significância diferentes. Os erros quase-Poisson não têm esse problema e deixam as estimativas pontuais inalteradas; os erros de máxima verossimilhança pura do artigo continuam disponíveis como opção. Segundo, os efeitos regionais são recentrados para média ponderada nula,</w:t>
      </w:r>
      <w:r>
        <w:t xml:space="preserve"> </w:t>
      </w:r>
      <m:oMath>
        <m:sSub>
          <m:e>
            <m:acc>
              <m:accPr>
                <m:chr m:val="̃"/>
              </m:accPr>
              <m:e>
                <m:r>
                  <m:t>D</m:t>
                </m:r>
              </m:e>
            </m:acc>
          </m:e>
          <m:sub>
            <m:r>
              <m:t>r</m:t>
            </m:r>
          </m:sub>
        </m:sSub>
        <m:r>
          <m:rPr>
            <m:sty m:val="p"/>
          </m:rPr>
          <m:t>=</m:t>
        </m:r>
        <m:sSub>
          <m:e>
            <m:r>
              <m:t>D</m:t>
            </m:r>
          </m:e>
          <m:sub>
            <m:r>
              <m:t>r</m:t>
            </m:r>
          </m:sub>
        </m:sSub>
        <m:r>
          <m:rPr>
            <m:sty m:val="p"/>
          </m:rPr>
          <m:t>−</m:t>
        </m:r>
        <m:nary>
          <m:naryPr>
            <m:chr m:val="∑"/>
            <m:limLoc m:val="undOvr"/>
            <m:subHide m:val="off"/>
            <m:supHide m:val="on"/>
          </m:naryPr>
          <m:sub>
            <m:r>
              <m:t>s</m:t>
            </m:r>
          </m:sub>
          <m:sup>
            <m:r>
              <m:t>​</m:t>
            </m:r>
          </m:sup>
          <m:e>
            <m:sSub>
              <m:e>
                <m:r>
                  <m:t>ω</m:t>
                </m:r>
              </m:e>
              <m:sub>
                <m:r>
                  <m:t>s</m:t>
                </m:r>
              </m:sub>
            </m:sSub>
          </m:e>
        </m:nary>
        <m:sSub>
          <m:e>
            <m:r>
              <m:t>D</m:t>
            </m:r>
          </m:e>
          <m:sub>
            <m:r>
              <m:t>s</m:t>
            </m:r>
          </m:sub>
        </m:sSub>
      </m:oMath>
      <w:r>
        <w:t xml:space="preserve">, com</w:t>
      </w:r>
      <w:r>
        <w:t xml:space="preserve"> </w:t>
      </w:r>
      <m:oMath>
        <m:sSub>
          <m:e>
            <m:r>
              <m:t>ω</m:t>
            </m:r>
          </m:e>
          <m:sub>
            <m:r>
              <m:t>s</m:t>
            </m:r>
          </m:sub>
        </m:sSub>
        <m:r>
          <m:rPr>
            <m:sty m:val="p"/>
          </m:rPr>
          <m:t>=</m:t>
        </m:r>
        <m:sSub>
          <m:e>
            <m:r>
              <m:t>W</m:t>
            </m:r>
          </m:e>
          <m:sub>
            <m:r>
              <m:t>s</m:t>
            </m:r>
          </m:sub>
        </m:sSub>
        <m:r>
          <m:rPr>
            <m:sty m:val="p"/>
          </m:rPr>
          <m:t>/</m:t>
        </m:r>
        <m:nary>
          <m:naryPr>
            <m:chr m:val="∑"/>
            <m:limLoc m:val="undOvr"/>
            <m:subHide m:val="off"/>
            <m:supHide m:val="on"/>
          </m:naryPr>
          <m:sub>
            <m:sSup>
              <m:e>
                <m:r>
                  <m:t>s</m:t>
                </m:r>
              </m:e>
              <m:sup>
                <m:r>
                  <m:rPr>
                    <m:sty m:val="p"/>
                  </m:rPr>
                  <m:t>′</m:t>
                </m:r>
              </m:sup>
            </m:sSup>
          </m:sub>
          <m:sup>
            <m:r>
              <m:t>​</m:t>
            </m:r>
          </m:sup>
          <m:e>
            <m:sSub>
              <m:e>
                <m:r>
                  <m:t>W</m:t>
                </m:r>
              </m:e>
              <m:sub>
                <m:sSup>
                  <m:e>
                    <m:r>
                      <m:t>s</m:t>
                    </m:r>
                  </m:e>
                  <m:sup>
                    <m:r>
                      <m:rPr>
                        <m:sty m:val="p"/>
                      </m:rPr>
                      <m:t>′</m:t>
                    </m:r>
                  </m:sup>
                </m:sSup>
              </m:sub>
            </m:sSub>
          </m:e>
        </m:nary>
      </m:oMath>
      <w:r>
        <w:t xml:space="preserve"> </w:t>
      </w:r>
      <w:r>
        <w:t xml:space="preserve">e</w:t>
      </w:r>
      <w:r>
        <w:t xml:space="preserve"> </w:t>
      </w:r>
      <m:oMath>
        <m:sSub>
          <m:e>
            <m:r>
              <m:t>W</m:t>
            </m:r>
          </m:e>
          <m:sub>
            <m:r>
              <m:t>r</m:t>
            </m:r>
          </m:sub>
        </m:sSub>
      </m:oMath>
      <w:r>
        <w:t xml:space="preserve"> </w:t>
      </w:r>
      <w:r>
        <w:t xml:space="preserve">o emprego-base da região somado nos períodos usados (um na forma estática,</w:t>
      </w:r>
      <w:r>
        <w:t xml:space="preserve"> </w:t>
      </w:r>
      <m:oMath>
        <m:r>
          <m:t>T</m:t>
        </m:r>
      </m:oMath>
      <w:r>
        <w:t xml:space="preserve"> </w:t>
      </w:r>
      <w:r>
        <w:t xml:space="preserve">na dinâmica); o erro-padrão de</w:t>
      </w:r>
      <w:r>
        <w:t xml:space="preserve"> </w:t>
      </w:r>
      <m:oMath>
        <m:sSub>
          <m:e>
            <m:acc>
              <m:accPr>
                <m:chr m:val="̃"/>
              </m:accPr>
              <m:e>
                <m:r>
                  <m:t>D</m:t>
                </m:r>
              </m:e>
            </m:acc>
          </m:e>
          <m:sub>
            <m:r>
              <m:t>r</m:t>
            </m:r>
          </m:sub>
        </m:sSub>
      </m:oMath>
      <w:r>
        <w:t xml:space="preserve"> </w:t>
      </w:r>
      <w:r>
        <w:t xml:space="preserve">é calculado para esse contraste a partir da matriz de covariância completa. Terceiro, o efeito regional é convertido em taxa competitiva por período,</w:t>
      </w:r>
      <w:r>
        <w:t xml:space="preserve"> </w:t>
      </w:r>
      <m:oMath>
        <m:sSup>
          <m:e>
            <m:r>
              <m:t>e</m:t>
            </m:r>
          </m:e>
          <m:sup>
            <m:sSub>
              <m:e>
                <m:acc>
                  <m:accPr>
                    <m:chr m:val="̃"/>
                  </m:accPr>
                  <m:e>
                    <m:r>
                      <m:t>D</m:t>
                    </m:r>
                  </m:e>
                </m:acc>
              </m:e>
              <m:sub>
                <m:r>
                  <m:t>r</m:t>
                </m:r>
              </m:sub>
            </m:sSub>
          </m:sup>
        </m:sSup>
        <m:r>
          <m:rPr>
            <m:sty m:val="p"/>
          </m:rPr>
          <m:t>−</m:t>
        </m:r>
        <m:r>
          <m:t>1</m:t>
        </m:r>
      </m:oMath>
      <w:r>
        <w:t xml:space="preserve">, e em empregos,</w:t>
      </w:r>
      <w:r>
        <w:t xml:space="preserve"> </w:t>
      </w:r>
      <m:oMath>
        <m:r>
          <m:t>C</m:t>
        </m:r>
        <m:sSub>
          <m:e>
            <m:r>
              <m:t>E</m:t>
            </m:r>
          </m:e>
          <m:sub>
            <m:r>
              <m:t>r</m:t>
            </m:r>
          </m:sub>
        </m:sSub>
        <m:r>
          <m:rPr>
            <m:sty m:val="p"/>
          </m:rPr>
          <m:t>=</m:t>
        </m:r>
        <m:r>
          <m:rPr>
            <m:sty m:val="p"/>
          </m:rPr>
          <m:t>(</m:t>
        </m:r>
        <m:sSup>
          <m:e>
            <m:r>
              <m:t>e</m:t>
            </m:r>
          </m:e>
          <m:sup>
            <m:sSub>
              <m:e>
                <m:acc>
                  <m:accPr>
                    <m:chr m:val="̃"/>
                  </m:accPr>
                  <m:e>
                    <m:r>
                      <m:t>D</m:t>
                    </m:r>
                  </m:e>
                </m:acc>
              </m:e>
              <m:sub>
                <m:r>
                  <m:t>r</m:t>
                </m:r>
              </m:sub>
            </m:sSub>
          </m:sup>
        </m:sSup>
        <m:r>
          <m:rPr>
            <m:sty m:val="p"/>
          </m:rPr>
          <m:t>−</m:t>
        </m:r>
        <m:r>
          <m:t>1</m:t>
        </m:r>
        <m:r>
          <m:rPr>
            <m:sty m:val="p"/>
          </m:rPr>
          <m:t>)</m:t>
        </m:r>
        <m:r>
          <m:t> </m:t>
        </m:r>
        <m:sSub>
          <m:e>
            <m:r>
              <m:t>W</m:t>
            </m:r>
          </m:e>
          <m:sub>
            <m:r>
              <m:t>r</m:t>
            </m:r>
          </m:sub>
        </m:sSub>
      </m:oMath>
      <w:r>
        <w:t xml:space="preserve">, na mesma escala dos componentes das Seções 4 a 8. Quando</w:t>
      </w:r>
      <w:r>
        <w:t xml:space="preserve"> </w:t>
      </w:r>
      <m:oMath>
        <m:acc>
          <m:accPr>
            <m:chr m:val="̂"/>
          </m:accPr>
          <m:e>
            <m:r>
              <m:t>ϕ</m:t>
            </m:r>
          </m:e>
        </m:acc>
      </m:oMath>
      <w:r>
        <w:t xml:space="preserve"> </w:t>
      </w:r>
      <w:r>
        <w:t xml:space="preserve">fica muito acima de 1, a correção quase-Poisson amplia os erros-padrão pelo fator</w:t>
      </w:r>
      <w:r>
        <w:t xml:space="preserve"> </w:t>
      </w:r>
      <m:oMath>
        <m:sSup>
          <m:e>
            <m:acc>
              <m:accPr>
                <m:chr m:val="̂"/>
              </m:accPr>
              <m:e>
                <m:r>
                  <m:t>ϕ</m:t>
                </m:r>
              </m:e>
            </m:acc>
          </m:e>
          <m:sup>
            <m:r>
              <m:t>1</m:t>
            </m:r>
            <m:r>
              <m:rPr>
                <m:sty m:val="p"/>
              </m:rPr>
              <m:t>/</m:t>
            </m:r>
            <m:r>
              <m:t>2</m:t>
            </m:r>
          </m:sup>
        </m:sSup>
      </m:oMath>
      <w:r>
        <w:t xml:space="preserve">; o modelo binomial negativo (FLOWERDEW; LOVETT, 1989) é a alternativa que modela a sobredispersão de forma explícita.</w:t>
      </w:r>
    </w:p>
    <w:p>
      <w:pPr>
        <w:pStyle w:val="BodyText"/>
      </w:pPr>
      <w:r>
        <w:rPr>
          <w:b/>
          <w:bCs/>
        </w:rPr>
        <w:t xml:space="preserve">Modelo misto.</w:t>
      </w:r>
      <w:r>
        <w:t xml:space="preserve"> </w:t>
      </w:r>
      <w:r>
        <w:t xml:space="preserve">Para ilustrar a flexibilidade da Forma II, Knudsen (2000) trata o caso em que interessa uma sub-região (seu exemplo é um condado de Maryland avaliado frente à economia dos Estados Unidos). Nos modelos tabulares, a significância dos parâmetros depende da variação em torno da média da própria tabela, o que obrigaria a incluir na análise todas as unidades da economia de referência. A solução proposta é tomar a informação nacional das margens da tabela maior e introduzi-la como variável contínua exógena: com</w:t>
      </w:r>
      <w:r>
        <w:t xml:space="preserve"> </w:t>
      </w:r>
      <m:oMath>
        <m:sSub>
          <m:e>
            <m:r>
              <m:t>N</m:t>
            </m:r>
          </m:e>
          <m:sub>
            <m:r>
              <m:t>i</m:t>
            </m:r>
          </m:sub>
        </m:sSub>
      </m:oMath>
      <w:r>
        <w:t xml:space="preserve"> </w:t>
      </w:r>
      <w:r>
        <w:t xml:space="preserve">o emprego nacional no setor</w:t>
      </w:r>
      <w:r>
        <w:t xml:space="preserve"> </w:t>
      </w:r>
      <m:oMath>
        <m:r>
          <m:t>i</m:t>
        </m:r>
      </m:oMath>
      <w:r>
        <w:t xml:space="preserve">, o modelo calibrado é</w:t>
      </w:r>
      <w:r>
        <w:t xml:space="preserve"> </w:t>
      </w:r>
      <m:oMath>
        <m:r>
          <m:rPr>
            <m:sty m:val="p"/>
          </m:rPr>
          <m:t>ln</m:t>
        </m:r>
        <m:r>
          <m:rPr>
            <m:sty m:val="p"/>
          </m:rPr>
          <m:t>(</m:t>
        </m:r>
        <m:sSub>
          <m:e>
            <m:r>
              <m:t>E</m:t>
            </m:r>
          </m:e>
          <m:sub>
            <m:r>
              <m:t>1</m:t>
            </m:r>
            <m:r>
              <m:rPr>
                <m:sty m:val="p"/>
              </m:rPr>
              <m:t>,</m:t>
            </m:r>
            <m:r>
              <m:t>r</m:t>
            </m:r>
            <m:r>
              <m:t>i</m:t>
            </m:r>
          </m:sub>
        </m:sSub>
        <m:r>
          <m:rPr>
            <m:sty m:val="p"/>
          </m:rPr>
          <m:t>/</m:t>
        </m:r>
        <m:sSub>
          <m:e>
            <m:r>
              <m:t>E</m:t>
            </m:r>
          </m:e>
          <m:sub>
            <m:r>
              <m:t>0</m:t>
            </m:r>
            <m:r>
              <m:rPr>
                <m:sty m:val="p"/>
              </m:rPr>
              <m:t>,</m:t>
            </m:r>
            <m:r>
              <m:t>r</m:t>
            </m:r>
            <m:r>
              <m:t>i</m:t>
            </m:r>
          </m:sub>
        </m:sSub>
        <m:r>
          <m:rPr>
            <m:sty m:val="p"/>
          </m:rPr>
          <m:t>)</m:t>
        </m:r>
        <m:r>
          <m:rPr>
            <m:sty m:val="p"/>
          </m:rPr>
          <m:t>=</m:t>
        </m:r>
        <m:r>
          <m:rPr>
            <m:sty m:val="p"/>
          </m:rPr>
          <m:t>ln</m:t>
        </m:r>
        <m:sSub>
          <m:e>
            <m:r>
              <m:t>N</m:t>
            </m:r>
          </m:e>
          <m:sub>
            <m:r>
              <m:t>i</m:t>
            </m:r>
          </m:sub>
        </m:sSub>
        <m:r>
          <m:rPr>
            <m:sty m:val="p"/>
          </m:rPr>
          <m:t>+</m:t>
        </m:r>
        <m:r>
          <m:t>A</m:t>
        </m:r>
        <m:r>
          <m:rPr>
            <m:sty m:val="p"/>
          </m:rPr>
          <m:t>+</m:t>
        </m:r>
        <m:sSub>
          <m:e>
            <m:r>
              <m:t>O</m:t>
            </m:r>
          </m:e>
          <m:sub>
            <m:r>
              <m:t>i</m:t>
            </m:r>
          </m:sub>
        </m:sSub>
        <m:r>
          <m:rPr>
            <m:sty m:val="p"/>
          </m:rPr>
          <m:t>+</m:t>
        </m:r>
        <m:r>
          <m:rPr>
            <m:sty m:val="p"/>
          </m:rPr>
          <m:t>ln</m:t>
        </m:r>
        <m:sSub>
          <m:e>
            <m:r>
              <m:t>F</m:t>
            </m:r>
          </m:e>
          <m:sub>
            <m:r>
              <m:t>r</m:t>
            </m:r>
            <m:r>
              <m:t>i</m:t>
            </m:r>
          </m:sub>
        </m:sSub>
      </m:oMath>
      <w:r>
        <w:t xml:space="preserve"> </w:t>
      </w:r>
      <w:r>
        <w:t xml:space="preserve">(equação 23), e seu análogo ANOVA é</w:t>
      </w:r>
      <w:r>
        <w:t xml:space="preserve"> </w:t>
      </w:r>
      <m:oMath>
        <m:sSub>
          <m:e>
            <m:r>
              <m:t>g</m:t>
            </m:r>
          </m:e>
          <m:sub>
            <m:r>
              <m:t>r</m:t>
            </m:r>
            <m:r>
              <m:t>i</m:t>
            </m:r>
          </m:sub>
        </m:sSub>
        <m:r>
          <m:rPr>
            <m:sty m:val="p"/>
          </m:rPr>
          <m:t>=</m:t>
        </m:r>
        <m:r>
          <m:t>a</m:t>
        </m:r>
        <m:r>
          <m:rPr>
            <m:sty m:val="p"/>
          </m:rPr>
          <m:t>+</m:t>
        </m:r>
        <m:sSub>
          <m:e>
            <m:r>
              <m:t>n</m:t>
            </m:r>
          </m:e>
          <m:sub>
            <m:r>
              <m:t>i</m:t>
            </m:r>
          </m:sub>
        </m:sSub>
        <m:r>
          <m:rPr>
            <m:sty m:val="p"/>
          </m:rPr>
          <m:t>+</m:t>
        </m:r>
        <m:sSub>
          <m:e>
            <m:r>
              <m:t>B</m:t>
            </m:r>
          </m:e>
          <m:sub>
            <m:r>
              <m:t>i</m:t>
            </m:r>
          </m:sub>
        </m:sSub>
        <m:r>
          <m:rPr>
            <m:sty m:val="p"/>
          </m:rPr>
          <m:t>+</m:t>
        </m:r>
        <m:sSub>
          <m:e>
            <m:r>
              <m:t>e</m:t>
            </m:r>
          </m:e>
          <m:sub>
            <m:r>
              <m:t>r</m:t>
            </m:r>
            <m:r>
              <m:t>i</m:t>
            </m:r>
          </m:sub>
        </m:sSub>
      </m:oMath>
      <w:r>
        <w:t xml:space="preserve"> </w:t>
      </w:r>
      <w:r>
        <w:t xml:space="preserve">(equação 24). Esse modelo não é implementado no projeto nem ilustrado nesta nota.</w:t>
      </w:r>
    </w:p>
    <w:bookmarkEnd w:id="33"/>
    <w:bookmarkStart w:id="34" w:name="aplicação-2"/>
    <w:p>
      <w:pPr>
        <w:pStyle w:val="Heading3"/>
      </w:pPr>
      <w:r>
        <w:t xml:space="preserve">10.3 Aplicação</w:t>
      </w:r>
    </w:p>
    <w:p>
      <w:pPr>
        <w:pStyle w:val="FirstParagraph"/>
      </w:pPr>
      <w:r>
        <w:t xml:space="preserve">A Tabela 15 estima a forma estática (Equações 13 e 15) sobre o mesmo painel de 15 observações das Tabelas 1 e 2, com Bahia (a região</w:t>
      </w:r>
      <w:r>
        <w:t xml:space="preserve"> </w:t>
      </w:r>
      <w:r>
        <w:t xml:space="preserve">“neutra”</w:t>
      </w:r>
      <w:r>
        <w:t xml:space="preserve"> </w:t>
      </w:r>
      <w:r>
        <w:t xml:space="preserve">do exemplo) e Agropecuária como categorias de referência, isto é, como os níveis</w:t>
      </w:r>
      <w:r>
        <w:t xml:space="preserve"> </w:t>
      </w:r>
      <w:r>
        <w:rPr>
          <w:i/>
          <w:iCs/>
        </w:rPr>
        <w:t xml:space="preserve">aliased</w:t>
      </w:r>
      <w:r>
        <w:t xml:space="preserve"> </w:t>
      </w:r>
      <w:r>
        <w:t xml:space="preserve">de cada dimensão. Para manter a comparação com o artigo, os erros-padrão da tabela são os de máxima verossimilhança pura, com dispersão fixada em 1.</w:t>
      </w:r>
    </w:p>
    <w:p>
      <w:pPr>
        <w:pStyle w:val="BodyText"/>
      </w:pPr>
      <w:r>
        <w:rPr>
          <w:b/>
          <w:bCs/>
        </w:rPr>
        <w:t xml:space="preserve">Tabela 15 — Forma informacional estática de Knudsen (Equações 13 e 15): coeficientes, erro-padrão e teste de Wald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Termo</w:t>
            </w:r>
          </w:p>
        </w:tc>
        <w:tc>
          <w:tcPr/>
          <w:p>
            <w:pPr>
              <w:pStyle w:val="Compact"/>
              <w:jc w:val="right"/>
            </w:pPr>
            <w:r>
              <w:t xml:space="preserve">Coeficiente (</w:t>
            </w:r>
            <m:oMath>
              <m:sSub>
                <m:e>
                  <m:acc>
                    <m:accPr>
                      <m:chr m:val="̂"/>
                    </m:accPr>
                    <m:e>
                      <m:r>
                        <m:t>D</m:t>
                      </m:r>
                    </m:e>
                  </m:acc>
                </m:e>
                <m:sub>
                  <m:r>
                    <m:t>r</m:t>
                  </m:r>
                </m:sub>
              </m:sSub>
            </m:oMath>
            <w:r>
              <w:t xml:space="preserve"> </w:t>
            </w:r>
            <w:r>
              <w:t xml:space="preserve">ou</w:t>
            </w:r>
            <w:r>
              <w:t xml:space="preserve"> </w:t>
            </w:r>
            <m:oMath>
              <m:sSub>
                <m:e>
                  <m:acc>
                    <m:accPr>
                      <m:chr m:val="̂"/>
                    </m:accPr>
                    <m:e>
                      <m:r>
                        <m:t>O</m:t>
                      </m:r>
                    </m:e>
                  </m:acc>
                </m:e>
                <m:sub>
                  <m:r>
                    <m:t>i</m:t>
                  </m:r>
                </m:sub>
              </m:sSub>
            </m:oMath>
            <w:r>
              <w:t xml:space="preserve">)</w:t>
            </w:r>
          </w:p>
        </w:tc>
        <w:tc>
          <w:tcPr/>
          <w:p>
            <w:pPr>
              <w:pStyle w:val="Compact"/>
              <w:jc w:val="right"/>
            </w:pPr>
            <w:r>
              <w:t xml:space="preserve">Erro-padrão</w:t>
            </w:r>
          </w:p>
        </w:tc>
        <w:tc>
          <w:tcPr/>
          <w:p>
            <w:pPr>
              <w:pStyle w:val="Compact"/>
              <w:jc w:val="right"/>
            </w:pPr>
            <m:oMath>
              <m:r>
                <m:t>z</m:t>
              </m:r>
            </m:oMath>
            <w:r>
              <w:t xml:space="preserve">​</w:t>
            </w:r>
          </w:p>
        </w:tc>
        <w:tc>
          <w:tcPr/>
          <w:p>
            <w:pPr>
              <w:pStyle w:val="Compact"/>
              <w:jc w:val="right"/>
            </w:pPr>
            <w:r>
              <w:t xml:space="preserve">valor-</w:t>
            </w:r>
            <w:r>
              <w:rPr>
                <w:i/>
                <w:iCs/>
              </w:rPr>
              <w:t xml:space="preserve">p</w:t>
            </w:r>
          </w:p>
        </w:tc>
      </w:tr>
      <w:tr>
        <w:tc>
          <w:tcPr/>
          <w:p>
            <w:pPr>
              <w:pStyle w:val="Compact"/>
              <w:jc w:val="left"/>
            </w:pPr>
            <w:r>
              <w:t xml:space="preserve">Intercepto (</w:t>
            </w:r>
            <m:oMath>
              <m:r>
                <m:t>A</m:t>
              </m:r>
            </m:oMath>
            <w:r>
              <w:t xml:space="preserve">, referência BA×AGR)</w:t>
            </w:r>
          </w:p>
        </w:tc>
        <w:tc>
          <w:tcPr/>
          <w:p>
            <w:pPr>
              <w:pStyle w:val="Compact"/>
              <w:jc w:val="right"/>
            </w:pPr>
            <w:r>
              <w:t xml:space="preserve">0,0490</w:t>
            </w:r>
          </w:p>
        </w:tc>
        <w:tc>
          <w:tcPr/>
          <w:p>
            <w:pPr>
              <w:pStyle w:val="Compact"/>
              <w:jc w:val="right"/>
            </w:pPr>
            <w:r>
              <w:t xml:space="preserve">0,040</w:t>
            </w:r>
          </w:p>
        </w:tc>
        <w:tc>
          <w:tcPr/>
          <w:p>
            <w:pPr>
              <w:pStyle w:val="Compact"/>
              <w:jc w:val="right"/>
            </w:pPr>
            <w:r>
              <w:t xml:space="preserve">1,22</w:t>
            </w:r>
          </w:p>
        </w:tc>
        <w:tc>
          <w:tcPr/>
          <w:p>
            <w:pPr>
              <w:pStyle w:val="Compact"/>
              <w:jc w:val="right"/>
            </w:pPr>
            <w:r>
              <w:t xml:space="preserve">0,222</w:t>
            </w:r>
          </w:p>
        </w:tc>
      </w:tr>
      <w:tr>
        <w:tc>
          <w:tcPr/>
          <w:p>
            <w:pPr>
              <w:pStyle w:val="Compact"/>
              <w:jc w:val="left"/>
            </w:pPr>
            <w:r>
              <w:t xml:space="preserve">Região: PI (rel. a BA)</w:t>
            </w:r>
          </w:p>
        </w:tc>
        <w:tc>
          <w:tcPr/>
          <w:p>
            <w:pPr>
              <w:pStyle w:val="Compact"/>
              <w:jc w:val="right"/>
            </w:pPr>
            <w:r>
              <w:t xml:space="preserve">0,0388</w:t>
            </w:r>
          </w:p>
        </w:tc>
        <w:tc>
          <w:tcPr/>
          <w:p>
            <w:pPr>
              <w:pStyle w:val="Compact"/>
              <w:jc w:val="right"/>
            </w:pPr>
            <w:r>
              <w:t xml:space="preserve">0,049</w:t>
            </w:r>
          </w:p>
        </w:tc>
        <w:tc>
          <w:tcPr/>
          <w:p>
            <w:pPr>
              <w:pStyle w:val="Compact"/>
              <w:jc w:val="right"/>
            </w:pPr>
            <w:r>
              <w:t xml:space="preserve">0,79</w:t>
            </w:r>
          </w:p>
        </w:tc>
        <w:tc>
          <w:tcPr/>
          <w:p>
            <w:pPr>
              <w:pStyle w:val="Compact"/>
              <w:jc w:val="right"/>
            </w:pPr>
            <w:r>
              <w:t xml:space="preserve">0,427</w:t>
            </w:r>
          </w:p>
        </w:tc>
      </w:tr>
      <w:tr>
        <w:tc>
          <w:tcPr/>
          <w:p>
            <w:pPr>
              <w:pStyle w:val="Compact"/>
              <w:jc w:val="left"/>
            </w:pPr>
            <w:r>
              <w:t xml:space="preserve">Região: CE (rel. a BA)</w:t>
            </w:r>
          </w:p>
        </w:tc>
        <w:tc>
          <w:tcPr/>
          <w:p>
            <w:pPr>
              <w:pStyle w:val="Compact"/>
              <w:jc w:val="right"/>
            </w:pPr>
            <w:r>
              <w:t xml:space="preserve">0,0277</w:t>
            </w:r>
          </w:p>
        </w:tc>
        <w:tc>
          <w:tcPr/>
          <w:p>
            <w:pPr>
              <w:pStyle w:val="Compact"/>
              <w:jc w:val="right"/>
            </w:pPr>
            <w:r>
              <w:t xml:space="preserve">0,042</w:t>
            </w:r>
          </w:p>
        </w:tc>
        <w:tc>
          <w:tcPr/>
          <w:p>
            <w:pPr>
              <w:pStyle w:val="Compact"/>
              <w:jc w:val="right"/>
            </w:pPr>
            <w:r>
              <w:t xml:space="preserve">0,66</w:t>
            </w:r>
          </w:p>
        </w:tc>
        <w:tc>
          <w:tcPr/>
          <w:p>
            <w:pPr>
              <w:pStyle w:val="Compact"/>
              <w:jc w:val="right"/>
            </w:pPr>
            <w:r>
              <w:t xml:space="preserve">0,507</w:t>
            </w:r>
          </w:p>
        </w:tc>
      </w:tr>
      <w:tr>
        <w:tc>
          <w:tcPr/>
          <w:p>
            <w:pPr>
              <w:pStyle w:val="Compact"/>
              <w:jc w:val="left"/>
            </w:pPr>
            <w:r>
              <w:t xml:space="preserve">Região: MA (rel. a BA)</w:t>
            </w:r>
          </w:p>
        </w:tc>
        <w:tc>
          <w:tcPr/>
          <w:p>
            <w:pPr>
              <w:pStyle w:val="Compact"/>
              <w:jc w:val="right"/>
            </w:pPr>
            <w:r>
              <w:t xml:space="preserve">−0,0426</w:t>
            </w:r>
          </w:p>
        </w:tc>
        <w:tc>
          <w:tcPr/>
          <w:p>
            <w:pPr>
              <w:pStyle w:val="Compact"/>
              <w:jc w:val="right"/>
            </w:pPr>
            <w:r>
              <w:t xml:space="preserve">0,053</w:t>
            </w:r>
          </w:p>
        </w:tc>
        <w:tc>
          <w:tcPr/>
          <w:p>
            <w:pPr>
              <w:pStyle w:val="Compact"/>
              <w:jc w:val="right"/>
            </w:pPr>
            <w:r>
              <w:t xml:space="preserve">−0,81</w:t>
            </w:r>
          </w:p>
        </w:tc>
        <w:tc>
          <w:tcPr/>
          <w:p>
            <w:pPr>
              <w:pStyle w:val="Compact"/>
              <w:jc w:val="right"/>
            </w:pPr>
            <w:r>
              <w:t xml:space="preserve">0,420</w:t>
            </w:r>
          </w:p>
        </w:tc>
      </w:tr>
      <w:tr>
        <w:tc>
          <w:tcPr/>
          <w:p>
            <w:pPr>
              <w:pStyle w:val="Compact"/>
              <w:jc w:val="left"/>
            </w:pPr>
            <w:r>
              <w:t xml:space="preserve">Região: PE (rel. a BA)</w:t>
            </w:r>
          </w:p>
        </w:tc>
        <w:tc>
          <w:tcPr/>
          <w:p>
            <w:pPr>
              <w:pStyle w:val="Compact"/>
              <w:jc w:val="right"/>
            </w:pPr>
            <w:r>
              <w:t xml:space="preserve">−0,0126</w:t>
            </w:r>
          </w:p>
        </w:tc>
        <w:tc>
          <w:tcPr/>
          <w:p>
            <w:pPr>
              <w:pStyle w:val="Compact"/>
              <w:jc w:val="right"/>
            </w:pPr>
            <w:r>
              <w:t xml:space="preserve">0,040</w:t>
            </w:r>
          </w:p>
        </w:tc>
        <w:tc>
          <w:tcPr/>
          <w:p>
            <w:pPr>
              <w:pStyle w:val="Compact"/>
              <w:jc w:val="right"/>
            </w:pPr>
            <w:r>
              <w:t xml:space="preserve">−0,31</w:t>
            </w:r>
          </w:p>
        </w:tc>
        <w:tc>
          <w:tcPr/>
          <w:p>
            <w:pPr>
              <w:pStyle w:val="Compact"/>
              <w:jc w:val="right"/>
            </w:pPr>
            <w:r>
              <w:t xml:space="preserve">0,754</w:t>
            </w:r>
          </w:p>
        </w:tc>
      </w:tr>
      <w:tr>
        <w:tc>
          <w:tcPr/>
          <w:p>
            <w:pPr>
              <w:pStyle w:val="Compact"/>
              <w:jc w:val="left"/>
            </w:pPr>
            <w:r>
              <w:t xml:space="preserve">Setor: IND (rel. a AGR)</w:t>
            </w:r>
          </w:p>
        </w:tc>
        <w:tc>
          <w:tcPr/>
          <w:p>
            <w:pPr>
              <w:pStyle w:val="Compact"/>
              <w:jc w:val="right"/>
            </w:pPr>
            <w:r>
              <w:t xml:space="preserve">0,1065</w:t>
            </w:r>
          </w:p>
        </w:tc>
        <w:tc>
          <w:tcPr/>
          <w:p>
            <w:pPr>
              <w:pStyle w:val="Compact"/>
              <w:jc w:val="right"/>
            </w:pPr>
            <w:r>
              <w:t xml:space="preserve">0,045</w:t>
            </w:r>
          </w:p>
        </w:tc>
        <w:tc>
          <w:tcPr/>
          <w:p>
            <w:pPr>
              <w:pStyle w:val="Compact"/>
              <w:jc w:val="right"/>
            </w:pPr>
            <w:r>
              <w:t xml:space="preserve">2,39</w:t>
            </w:r>
          </w:p>
        </w:tc>
        <w:tc>
          <w:tcPr/>
          <w:p>
            <w:pPr>
              <w:pStyle w:val="Compact"/>
              <w:jc w:val="right"/>
            </w:pPr>
            <w:r>
              <w:t xml:space="preserve">0,017</w:t>
            </w:r>
          </w:p>
        </w:tc>
      </w:tr>
      <w:tr>
        <w:tc>
          <w:tcPr/>
          <w:p>
            <w:pPr>
              <w:pStyle w:val="Compact"/>
              <w:jc w:val="left"/>
            </w:pPr>
            <w:r>
              <w:t xml:space="preserve">Setor: SER (rel. a AGR)</w:t>
            </w:r>
          </w:p>
        </w:tc>
        <w:tc>
          <w:tcPr/>
          <w:p>
            <w:pPr>
              <w:pStyle w:val="Compact"/>
              <w:jc w:val="right"/>
            </w:pPr>
            <w:r>
              <w:t xml:space="preserve">0,2048</w:t>
            </w:r>
          </w:p>
        </w:tc>
        <w:tc>
          <w:tcPr/>
          <w:p>
            <w:pPr>
              <w:pStyle w:val="Compact"/>
              <w:jc w:val="right"/>
            </w:pPr>
            <w:r>
              <w:t xml:space="preserve">0,038</w:t>
            </w:r>
          </w:p>
        </w:tc>
        <w:tc>
          <w:tcPr/>
          <w:p>
            <w:pPr>
              <w:pStyle w:val="Compact"/>
              <w:jc w:val="right"/>
            </w:pPr>
            <w:r>
              <w:t xml:space="preserve">5,32</w:t>
            </w:r>
          </w:p>
        </w:tc>
        <w:tc>
          <w:tcPr/>
          <w:p>
            <w:pPr>
              <w:pStyle w:val="Compact"/>
              <w:jc w:val="right"/>
            </w:pPr>
            <w:r>
              <w:t xml:space="preserve">0,000</w:t>
            </w:r>
          </w:p>
        </w:tc>
      </w:tr>
    </w:tbl>
    <w:p>
      <w:pPr>
        <w:pStyle w:val="BodyText"/>
      </w:pPr>
      <w:r>
        <w:t xml:space="preserve">Fonte: elaboração própria, Equações 13 e 15, GLM Poisson com</w:t>
      </w:r>
      <w:r>
        <w:t xml:space="preserve"> </w:t>
      </w:r>
      <w:r>
        <w:rPr>
          <w:i/>
          <w:iCs/>
        </w:rPr>
        <w:t xml:space="preserve">offset</w:t>
      </w:r>
      <w:r>
        <w:t xml:space="preserve"> </w:t>
      </w:r>
      <m:oMath>
        <m:r>
          <m:rPr>
            <m:sty m:val="p"/>
          </m:rPr>
          <m:t>ln</m:t>
        </m:r>
        <m:sSub>
          <m:e>
            <m:r>
              <m:t>E</m:t>
            </m:r>
          </m:e>
          <m:sub>
            <m:r>
              <m:t>0</m:t>
            </m:r>
            <m:r>
              <m:rPr>
                <m:sty m:val="p"/>
              </m:rPr>
              <m:t>,</m:t>
            </m:r>
            <m:r>
              <m:t>r</m:t>
            </m:r>
            <m:r>
              <m:t>i</m:t>
            </m:r>
          </m:sub>
        </m:sSub>
      </m:oMath>
      <w:r>
        <w:t xml:space="preserve"> </w:t>
      </w:r>
      <w:r>
        <w:t xml:space="preserve">e erros-padrão de máxima verossimilhança pura, 15 observações, 8 graus de liberdade residuais.</w:t>
      </w:r>
      <w:r>
        <w:t xml:space="preserve"> </w:t>
      </w:r>
      <w:r>
        <w:rPr>
          <w:i/>
          <w:iCs/>
        </w:rPr>
        <w:t xml:space="preserve">Deviance</w:t>
      </w:r>
      <w:r>
        <w:t xml:space="preserve">/g.l. = 0,49; PNMD = 0,90.</w:t>
      </w:r>
    </w:p>
    <w:p>
      <w:pPr>
        <w:pStyle w:val="BodyText"/>
      </w:pPr>
      <w:r>
        <w:t xml:space="preserve">A razão</w:t>
      </w:r>
      <w:r>
        <w:t xml:space="preserve"> </w:t>
      </w:r>
      <w:r>
        <w:rPr>
          <w:i/>
          <w:iCs/>
        </w:rPr>
        <w:t xml:space="preserve">deviance</w:t>
      </w:r>
      <w:r>
        <w:t xml:space="preserve">/g.l. de 0,49, e a dispersão de Pearson de valor semelhante (</w:t>
      </w:r>
      <m:oMath>
        <m:acc>
          <m:accPr>
            <m:chr m:val="̂"/>
          </m:accPr>
          <m:e>
            <m:r>
              <m:t>ϕ</m:t>
            </m:r>
          </m:e>
        </m:acc>
        <m:r>
          <m:rPr>
            <m:sty m:val="p"/>
          </m:rPr>
          <m:t>≈</m:t>
        </m:r>
        <m:r>
          <m:t>0</m:t>
        </m:r>
        <m:r>
          <m:rPr>
            <m:sty m:val="p"/>
          </m:rPr>
          <m:t>,</m:t>
        </m:r>
        <m:r>
          <m:t>50</m:t>
        </m:r>
      </m:oMath>
      <w:r>
        <w:t xml:space="preserve">), não indicam sobredispersão neste painel. Com os erros quase-Poisson que a implementação usa por padrão, os erros-padrão da Tabela 15 seriam multiplicados por</w:t>
      </w:r>
      <w:r>
        <w:t xml:space="preserve"> </w:t>
      </w:r>
      <m:oMath>
        <m:sSup>
          <m:e>
            <m:acc>
              <m:accPr>
                <m:chr m:val="̂"/>
              </m:accPr>
              <m:e>
                <m:r>
                  <m:t>ϕ</m:t>
                </m:r>
              </m:e>
            </m:acc>
          </m:e>
          <m:sup>
            <m:r>
              <m:t>1</m:t>
            </m:r>
            <m:r>
              <m:rPr>
                <m:sty m:val="p"/>
              </m:rPr>
              <m:t>/</m:t>
            </m:r>
            <m:r>
              <m:t>2</m:t>
            </m:r>
          </m:sup>
        </m:sSup>
        <m:r>
          <m:rPr>
            <m:sty m:val="p"/>
          </m:rPr>
          <m:t>≈</m:t>
        </m:r>
        <m:r>
          <m:t>0</m:t>
        </m:r>
        <m:r>
          <m:rPr>
            <m:sty m:val="p"/>
          </m:rPr>
          <m:t>,</m:t>
        </m:r>
        <m:r>
          <m:t>70</m:t>
        </m:r>
      </m:oMath>
      <w:r>
        <w:t xml:space="preserve">, e nenhuma conclusão mudaria: os efeitos regionais continuam não significativos a 5%, e os dois efeitos setoriais continuam significativos.</w:t>
      </w:r>
    </w:p>
    <w:p>
      <w:pPr>
        <w:pStyle w:val="BodyText"/>
      </w:pPr>
      <w:r>
        <w:t xml:space="preserve">O primeiro resultado notável não está nos efeitos de região, mas nos de setor. Na Seção 9, os coeficientes setoriais da Forma I foram usados apenas como médias amostrais, sem teste; a Forma II testa formalmente a composição setorial e a rejeita como nula com folga (Indústria:</w:t>
      </w:r>
      <w:r>
        <w:t xml:space="preserve"> </w:t>
      </w:r>
      <m:oMath>
        <m:r>
          <m:t>p</m:t>
        </m:r>
        <m:r>
          <m:rPr>
            <m:sty m:val="p"/>
          </m:rPr>
          <m:t>=</m:t>
        </m:r>
        <m:r>
          <m:t>0</m:t>
        </m:r>
        <m:r>
          <m:rPr>
            <m:sty m:val="p"/>
          </m:rPr>
          <m:t>,</m:t>
        </m:r>
        <m:r>
          <m:t>017</m:t>
        </m:r>
      </m:oMath>
      <w:r>
        <w:t xml:space="preserve">; Serviços:</w:t>
      </w:r>
      <w:r>
        <w:t xml:space="preserve"> </w:t>
      </w:r>
      <m:oMath>
        <m:r>
          <m:t>p</m:t>
        </m:r>
        <m:r>
          <m:rPr>
            <m:sty m:val="p"/>
          </m:rPr>
          <m:t>&lt;</m:t>
        </m:r>
        <m:r>
          <m:t>0</m:t>
        </m:r>
        <m:r>
          <m:rPr>
            <m:sty m:val="p"/>
          </m:rPr>
          <m:t>,</m:t>
        </m:r>
        <m:r>
          <m:t>001</m:t>
        </m:r>
      </m:oMath>
      <w:r>
        <w:t xml:space="preserve">). O componente de composição setorial deste exemplo não é apenas numericamente grande: é estatisticamente bem determinado, ao contrário do componente competitivo, discutido a seguir. O padrão lembra o resultado empírico de Knudsen (2000), em que a forma informacional discriminou melhor os parâmetros setoriais do que a ANOVA.</w:t>
      </w:r>
    </w:p>
    <w:p>
      <w:pPr>
        <w:pStyle w:val="BodyText"/>
      </w:pPr>
      <w:r>
        <w:t xml:space="preserve">Os efeitos de região reproduzem a conclusão substantiva da Seção 9: nenhuma região diverge de forma estatisticamente significativa da região de referência ao nível de 5%, e o Maranhão tem o coeficiente mais negativo do conjunto (</w:t>
      </w:r>
      <m:oMath>
        <m:r>
          <m:rPr>
            <m:sty m:val="p"/>
          </m:rPr>
          <m:t>−</m:t>
        </m:r>
        <m:r>
          <m:t>0</m:t>
        </m:r>
        <m:r>
          <m:rPr>
            <m:sty m:val="p"/>
          </m:rPr>
          <m:t>,</m:t>
        </m:r>
        <m:r>
          <m:t>0426</m:t>
        </m:r>
      </m:oMath>
      <w:r>
        <w:t xml:space="preserve">), embora com</w:t>
      </w:r>
      <w:r>
        <w:t xml:space="preserve"> </w:t>
      </w:r>
      <m:oMath>
        <m:r>
          <m:t>p</m:t>
        </m:r>
        <m:r>
          <m:rPr>
            <m:sty m:val="p"/>
          </m:rPr>
          <m:t>=</m:t>
        </m:r>
        <m:r>
          <m:t>0</m:t>
        </m:r>
        <m:r>
          <m:rPr>
            <m:sty m:val="p"/>
          </m:rPr>
          <m:t>,</m:t>
        </m:r>
        <m:r>
          <m:t>420</m:t>
        </m:r>
      </m:oMath>
      <w:r>
        <w:t xml:space="preserve">, distante do limiar. A recentragem ponderada da implementação (Seção 10.2) mudaria o nível desses efeitos, porque subtrai a mesma constante de todos os</w:t>
      </w:r>
      <w:r>
        <w:t xml:space="preserve"> </w:t>
      </w:r>
      <m:oMath>
        <m:sSub>
          <m:e>
            <m:acc>
              <m:accPr>
                <m:chr m:val="̂"/>
              </m:accPr>
              <m:e>
                <m:r>
                  <m:t>D</m:t>
                </m:r>
              </m:e>
            </m:acc>
          </m:e>
          <m:sub>
            <m:r>
              <m:t>r</m:t>
            </m:r>
          </m:sub>
        </m:sSub>
      </m:oMath>
      <w:r>
        <w:t xml:space="preserve">, mas não as diferenças entre regiões nem sua ordenação. A Tabela 16 compara diretamente as duas formas.</w:t>
      </w:r>
    </w:p>
    <w:p>
      <w:pPr>
        <w:pStyle w:val="BodyText"/>
      </w:pPr>
      <w:r>
        <w:rPr>
          <w:b/>
          <w:bCs/>
        </w:rPr>
        <w:t xml:space="preserve">Tabela 16 — Comparação Forma I (ANOVA) versus Forma II (teoria da informação): efeito regional e significância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Região</w:t>
            </w:r>
          </w:p>
        </w:tc>
        <w:tc>
          <w:tcPr/>
          <w:p>
            <w:pPr>
              <w:pStyle w:val="Compact"/>
              <w:jc w:val="right"/>
            </w:pPr>
            <w:r>
              <w:t xml:space="preserve">Forma I:</w:t>
            </w:r>
            <w:r>
              <w:t xml:space="preserve"> </w:t>
            </w:r>
            <m:oMath>
              <m:sSub>
                <m:e>
                  <m:acc>
                    <m:accPr>
                      <m:chr m:val="‾"/>
                    </m:accPr>
                    <m:e>
                      <m:r>
                        <m:t>u</m:t>
                      </m:r>
                    </m:e>
                  </m:acc>
                </m:e>
                <m:sub>
                  <m:r>
                    <m:t>r</m:t>
                  </m:r>
                </m:sub>
              </m:sSub>
            </m:oMath>
            <w:r>
              <w:t xml:space="preserve"> </w:t>
            </w:r>
            <w:r>
              <w:t xml:space="preserve">(Tabela 11)</w:t>
            </w:r>
          </w:p>
        </w:tc>
        <w:tc>
          <w:tcPr/>
          <w:p>
            <w:pPr>
              <w:pStyle w:val="Compact"/>
              <w:jc w:val="right"/>
            </w:pPr>
            <w:r>
              <w:t xml:space="preserve">Forma I: valor-</w:t>
            </w:r>
            <w:r>
              <w:rPr>
                <w:i/>
                <w:iCs/>
              </w:rPr>
              <w:t xml:space="preserve">p</w:t>
            </w:r>
          </w:p>
        </w:tc>
        <w:tc>
          <w:tcPr/>
          <w:p>
            <w:pPr>
              <w:pStyle w:val="Compact"/>
              <w:jc w:val="right"/>
            </w:pPr>
            <w:r>
              <w:t xml:space="preserve">Forma II:</w:t>
            </w:r>
            <w:r>
              <w:t xml:space="preserve"> </w:t>
            </w:r>
            <m:oMath>
              <m:sSub>
                <m:e>
                  <m:acc>
                    <m:accPr>
                      <m:chr m:val="̂"/>
                    </m:accPr>
                    <m:e>
                      <m:r>
                        <m:t>D</m:t>
                      </m:r>
                    </m:e>
                  </m:acc>
                </m:e>
                <m:sub>
                  <m:r>
                    <m:t>r</m:t>
                  </m:r>
                </m:sub>
              </m:sSub>
            </m:oMath>
            <w:r>
              <w:t xml:space="preserve"> </w:t>
            </w:r>
            <w:r>
              <w:t xml:space="preserve">(rel. a BA)</w:t>
            </w:r>
          </w:p>
        </w:tc>
        <w:tc>
          <w:tcPr/>
          <w:p>
            <w:pPr>
              <w:pStyle w:val="Compact"/>
              <w:jc w:val="right"/>
            </w:pPr>
            <w:r>
              <w:t xml:space="preserve">Forma II: valor-</w:t>
            </w:r>
            <w:r>
              <w:rPr>
                <w:i/>
                <w:iCs/>
              </w:rPr>
              <w:t xml:space="preserve">p</w:t>
            </w:r>
          </w:p>
        </w:tc>
      </w:tr>
      <w:tr>
        <w:tc>
          <w:tcPr/>
          <w:p>
            <w:pPr>
              <w:pStyle w:val="Compact"/>
              <w:jc w:val="left"/>
            </w:pPr>
            <w:r>
              <w:t xml:space="preserve">PI</w:t>
            </w:r>
          </w:p>
        </w:tc>
        <w:tc>
          <w:tcPr/>
          <w:p>
            <w:pPr>
              <w:pStyle w:val="Compact"/>
              <w:jc w:val="right"/>
            </w:pPr>
            <w:r>
              <w:t xml:space="preserve">0,0253</w:t>
            </w:r>
          </w:p>
        </w:tc>
        <w:tc>
          <w:tcPr/>
          <w:p>
            <w:pPr>
              <w:pStyle w:val="Compact"/>
              <w:jc w:val="right"/>
            </w:pPr>
            <w:r>
              <w:t xml:space="preserve">0,459</w:t>
            </w:r>
          </w:p>
        </w:tc>
        <w:tc>
          <w:tcPr/>
          <w:p>
            <w:pPr>
              <w:pStyle w:val="Compact"/>
              <w:jc w:val="right"/>
            </w:pPr>
            <w:r>
              <w:t xml:space="preserve">0,0388</w:t>
            </w:r>
          </w:p>
        </w:tc>
        <w:tc>
          <w:tcPr/>
          <w:p>
            <w:pPr>
              <w:pStyle w:val="Compact"/>
              <w:jc w:val="right"/>
            </w:pPr>
            <w:r>
              <w:t xml:space="preserve">0,427</w:t>
            </w:r>
          </w:p>
        </w:tc>
      </w:tr>
      <w:tr>
        <w:tc>
          <w:tcPr/>
          <w:p>
            <w:pPr>
              <w:pStyle w:val="Compact"/>
              <w:jc w:val="left"/>
            </w:pPr>
            <w:r>
              <w:t xml:space="preserve">CE</w:t>
            </w:r>
          </w:p>
        </w:tc>
        <w:tc>
          <w:tcPr/>
          <w:p>
            <w:pPr>
              <w:pStyle w:val="Compact"/>
              <w:jc w:val="right"/>
            </w:pPr>
            <w:r>
              <w:t xml:space="preserve">0,0343</w:t>
            </w:r>
          </w:p>
        </w:tc>
        <w:tc>
          <w:tcPr/>
          <w:p>
            <w:pPr>
              <w:pStyle w:val="Compact"/>
              <w:jc w:val="right"/>
            </w:pPr>
            <w:r>
              <w:t xml:space="preserve">0,319</w:t>
            </w:r>
          </w:p>
        </w:tc>
        <w:tc>
          <w:tcPr/>
          <w:p>
            <w:pPr>
              <w:pStyle w:val="Compact"/>
              <w:jc w:val="right"/>
            </w:pPr>
            <w:r>
              <w:t xml:space="preserve">0,0277</w:t>
            </w:r>
          </w:p>
        </w:tc>
        <w:tc>
          <w:tcPr/>
          <w:p>
            <w:pPr>
              <w:pStyle w:val="Compact"/>
              <w:jc w:val="right"/>
            </w:pPr>
            <w:r>
              <w:t xml:space="preserve">0,507</w:t>
            </w:r>
          </w:p>
        </w:tc>
      </w:tr>
      <w:tr>
        <w:tc>
          <w:tcPr/>
          <w:p>
            <w:pPr>
              <w:pStyle w:val="Compact"/>
              <w:jc w:val="left"/>
            </w:pPr>
            <w:r>
              <w:t xml:space="preserve">MA</w:t>
            </w:r>
          </w:p>
        </w:tc>
        <w:tc>
          <w:tcPr/>
          <w:p>
            <w:pPr>
              <w:pStyle w:val="Compact"/>
              <w:jc w:val="right"/>
            </w:pPr>
            <w:r>
              <w:t xml:space="preserve">−0,0562</w:t>
            </w:r>
          </w:p>
        </w:tc>
        <w:tc>
          <w:tcPr/>
          <w:p>
            <w:pPr>
              <w:pStyle w:val="Compact"/>
              <w:jc w:val="right"/>
            </w:pPr>
            <w:r>
              <w:t xml:space="preserve">0,115</w:t>
            </w:r>
          </w:p>
        </w:tc>
        <w:tc>
          <w:tcPr/>
          <w:p>
            <w:pPr>
              <w:pStyle w:val="Compact"/>
              <w:jc w:val="right"/>
            </w:pPr>
            <w:r>
              <w:t xml:space="preserve">−0,0426</w:t>
            </w:r>
          </w:p>
        </w:tc>
        <w:tc>
          <w:tcPr/>
          <w:p>
            <w:pPr>
              <w:pStyle w:val="Compact"/>
              <w:jc w:val="right"/>
            </w:pPr>
            <w:r>
              <w:t xml:space="preserve">0,420</w:t>
            </w:r>
          </w:p>
        </w:tc>
      </w:tr>
      <w:tr>
        <w:tc>
          <w:tcPr/>
          <w:p>
            <w:pPr>
              <w:pStyle w:val="Compact"/>
              <w:jc w:val="left"/>
            </w:pPr>
            <w:r>
              <w:t xml:space="preserve">BA</w:t>
            </w:r>
          </w:p>
        </w:tc>
        <w:tc>
          <w:tcPr/>
          <w:p>
            <w:pPr>
              <w:pStyle w:val="Compact"/>
              <w:jc w:val="right"/>
            </w:pPr>
            <w:r>
              <w:t xml:space="preserve">−0,0067</w:t>
            </w:r>
          </w:p>
        </w:tc>
        <w:tc>
          <w:tcPr/>
          <w:p>
            <w:pPr>
              <w:pStyle w:val="Compact"/>
              <w:jc w:val="right"/>
            </w:pPr>
            <w:r>
              <w:t xml:space="preserve">0,842</w:t>
            </w:r>
          </w:p>
        </w:tc>
        <w:tc>
          <w:tcPr/>
          <w:p>
            <w:pPr>
              <w:pStyle w:val="Compact"/>
              <w:jc w:val="right"/>
            </w:pPr>
            <w:r>
              <w:t xml:space="preserve">(referência)</w:t>
            </w:r>
          </w:p>
        </w:tc>
        <w:tc>
          <w:tcPr/>
          <w:p>
            <w:pPr>
              <w:pStyle w:val="Compact"/>
              <w:jc w:val="right"/>
            </w:pPr>
            <w:r>
              <w:t xml:space="preserve">—</w:t>
            </w:r>
          </w:p>
        </w:tc>
      </w:tr>
      <w:tr>
        <w:tc>
          <w:tcPr/>
          <w:p>
            <w:pPr>
              <w:pStyle w:val="Compact"/>
              <w:jc w:val="left"/>
            </w:pPr>
            <w:r>
              <w:t xml:space="preserve">PE</w:t>
            </w:r>
          </w:p>
        </w:tc>
        <w:tc>
          <w:tcPr/>
          <w:p>
            <w:pPr>
              <w:pStyle w:val="Compact"/>
              <w:jc w:val="right"/>
            </w:pPr>
            <w:r>
              <w:t xml:space="preserve">0,0033</w:t>
            </w:r>
          </w:p>
        </w:tc>
        <w:tc>
          <w:tcPr/>
          <w:p>
            <w:pPr>
              <w:pStyle w:val="Compact"/>
              <w:jc w:val="right"/>
            </w:pPr>
            <w:r>
              <w:t xml:space="preserve">0,921</w:t>
            </w:r>
          </w:p>
        </w:tc>
        <w:tc>
          <w:tcPr/>
          <w:p>
            <w:pPr>
              <w:pStyle w:val="Compact"/>
              <w:jc w:val="right"/>
            </w:pPr>
            <w:r>
              <w:t xml:space="preserve">−0,0126</w:t>
            </w:r>
          </w:p>
        </w:tc>
        <w:tc>
          <w:tcPr/>
          <w:p>
            <w:pPr>
              <w:pStyle w:val="Compact"/>
              <w:jc w:val="right"/>
            </w:pPr>
            <w:r>
              <w:t xml:space="preserve">0,754</w:t>
            </w:r>
          </w:p>
        </w:tc>
      </w:tr>
    </w:tbl>
    <w:p>
      <w:pPr>
        <w:pStyle w:val="BodyText"/>
      </w:pPr>
      <w:r>
        <w:t xml:space="preserve">Fonte: elaboração própria, Tabela 11 e Tabela 15.</w:t>
      </w:r>
    </w:p>
    <w:p>
      <w:pPr>
        <w:pStyle w:val="BodyText"/>
      </w:pPr>
      <w:r>
        <w:t xml:space="preserve">As duas formas não são diretamente comparáveis célula a célula. A Forma I deixa a região no termo de erro e reporta o desvio médio de cada região em relação às médias setoriais não ponderadas, em unidades de taxa; a Forma II reporta um coeficiente log-multiplicativo relativo à Bahia. A comparação que o próprio Knudsen (2000) faz entre parâmetros regionais usa a ANOVA com efeito de região explícito (sua equação 5) frente à equação 18. Ainda assim, as duas formas concordam no essencial: Piauí e Ceará ficam acima da Bahia, o Maranhão é sempre o mais negativo, e nenhuma região é estatisticamente distinguível de zero, ou da referência, a 5%. Elas divergem nas posições intermediárias: o Ceará supera o Piauí na Forma I e fica atrás dele na Forma II, e Pernambuco fica acima da Bahia na Forma I e abaixo dela na Forma II.</w:t>
      </w:r>
    </w:p>
    <w:p>
      <w:pPr>
        <w:pStyle w:val="BodyText"/>
      </w:pPr>
      <w:r>
        <w:t xml:space="preserve">Essa concordância parcial não deve ser generalizada. Na Poisson, a variância cresce com a média, de modo que as células com mais emprego pesam mais sem que seja preciso escolher pesos, ponderação que na Forma I precisa ser imposta por mínimos quadrados ponderados. Por isso, as duas formas tendem a divergir mais em painéis com heterogeneidade de escala pronunciada entre células região-setor (células de emprego-base muito pequeno ao lado de células muito grandes), situação em que a Forma I sem ponderação pode subestimar a incerteza nas células pequenas e superestimá-la nas grandes. Em painéis reais, a dispersão</w:t>
      </w:r>
      <w:r>
        <w:t xml:space="preserve"> </w:t>
      </w:r>
      <m:oMath>
        <m:acc>
          <m:accPr>
            <m:chr m:val="̂"/>
          </m:accPr>
          <m:e>
            <m:r>
              <m:t>ϕ</m:t>
            </m:r>
          </m:e>
        </m:acc>
      </m:oMath>
      <w:r>
        <w:t xml:space="preserve"> </w:t>
      </w:r>
      <w:r>
        <w:t xml:space="preserve">deve ser verificada antes de reportar os testes da Forma II.</w:t>
      </w:r>
    </w:p>
    <w:bookmarkEnd w:id="34"/>
    <w:bookmarkEnd w:id="35"/>
    <w:bookmarkStart w:id="39" w:name="shift-share-espacial-nazara-hewings-2004"/>
    <w:p>
      <w:pPr>
        <w:pStyle w:val="Heading2"/>
      </w:pPr>
      <w:r>
        <w:t xml:space="preserve">11 SHIFT-SHARE ESPACIAL: NAZARA-HEWINGS (2004)</w:t>
      </w:r>
    </w:p>
    <w:bookmarkStart w:id="36" w:name="justificativa-5"/>
    <w:p>
      <w:pPr>
        <w:pStyle w:val="Heading3"/>
      </w:pPr>
      <w:r>
        <w:t xml:space="preserve">11.1 Justificativa</w:t>
      </w:r>
    </w:p>
    <w:p>
      <w:pPr>
        <w:pStyle w:val="FirstParagraph"/>
      </w:pPr>
      <w:r>
        <w:t xml:space="preserve">Todas as reformulações anteriores tratam cada região como uma unidade isolada. Nazara e Hewings (2004) argumentaram que essa suposição é implausível quando regiões vizinhas compartilham mercados de trabalho, cadeias de fornecimento ou efeitos de transbordamento (</w:t>
      </w:r>
      <w:r>
        <w:rPr>
          <w:i/>
          <w:iCs/>
        </w:rPr>
        <w:t xml:space="preserve">spillover</w:t>
      </w:r>
      <w:r>
        <w:t xml:space="preserve">) — o desempenho competitivo de uma região pode estar sistematicamente correlacionado com o de suas vizinhas, positiva ou negativamente. A proposta foi incorporar uma matriz de pesos espaciais à decomposição, criando uma taxonomia de vinte estruturas de decomposição possíveis conforme o componente considerado</w:t>
      </w:r>
      <w:r>
        <w:t xml:space="preserve"> </w:t>
      </w:r>
      <w:r>
        <w:t xml:space="preserve">“local”</w:t>
      </w:r>
      <w:r>
        <w:t xml:space="preserve"> </w:t>
      </w:r>
      <w:r>
        <w:t xml:space="preserve">ou</w:t>
      </w:r>
      <w:r>
        <w:t xml:space="preserve"> </w:t>
      </w:r>
      <w:r>
        <w:t xml:space="preserve">“vizinho”</w:t>
      </w:r>
      <w:r>
        <w:t xml:space="preserve">.</w:t>
      </w:r>
    </w:p>
    <w:bookmarkEnd w:id="36"/>
    <w:bookmarkStart w:id="37" w:name="formalização-5"/>
    <w:p>
      <w:pPr>
        <w:pStyle w:val="Heading3"/>
      </w:pPr>
      <w:r>
        <w:t xml:space="preserve">11.2 Formalização</w:t>
      </w:r>
    </w:p>
    <w:p>
      <w:pPr>
        <w:pStyle w:val="FirstParagraph"/>
      </w:pPr>
      <w:r>
        <w:t xml:space="preserve">Seja</w:t>
      </w:r>
      <w:r>
        <w:t xml:space="preserve"> </w:t>
      </w:r>
      <m:oMath>
        <m:sSub>
          <m:e>
            <m:r>
              <m:t>w</m:t>
            </m:r>
          </m:e>
          <m:sub>
            <m:r>
              <m:t>r</m:t>
            </m:r>
            <m:r>
              <m:t>s</m:t>
            </m:r>
          </m:sub>
        </m:sSub>
      </m:oMath>
      <w:r>
        <w:t xml:space="preserve"> </w:t>
      </w:r>
      <w:r>
        <w:t xml:space="preserve">o elemento da matriz de pesos espaciais</w:t>
      </w:r>
      <w:r>
        <w:t xml:space="preserve"> </w:t>
      </w:r>
      <m:oMath>
        <m:r>
          <m:t>W</m:t>
        </m:r>
      </m:oMath>
      <w:r>
        <w:t xml:space="preserve"> </w:t>
      </w:r>
      <w:r>
        <w:t xml:space="preserve">— aqui, contiguidade de fronteira terrestre entre as unidades federativas, padronizada em linha (</w:t>
      </w:r>
      <m:oMath>
        <m:nary>
          <m:naryPr>
            <m:chr m:val="∑"/>
            <m:limLoc m:val="undOvr"/>
            <m:subHide m:val="off"/>
            <m:supHide m:val="on"/>
          </m:naryPr>
          <m:sub>
            <m:r>
              <m:t>s</m:t>
            </m:r>
          </m:sub>
          <m:sup>
            <m:r>
              <m:t>​</m:t>
            </m:r>
          </m:sup>
          <m:e>
            <m:sSub>
              <m:e>
                <m:r>
                  <m:t>w</m:t>
                </m:r>
              </m:e>
              <m:sub>
                <m:r>
                  <m:t>r</m:t>
                </m:r>
                <m:r>
                  <m:t>s</m:t>
                </m:r>
              </m:sub>
            </m:sSub>
          </m:e>
        </m:nary>
        <m:r>
          <m:rPr>
            <m:sty m:val="p"/>
          </m:rPr>
          <m:t>=</m:t>
        </m:r>
        <m:r>
          <m:t>1</m:t>
        </m:r>
      </m:oMath>
      <w:r>
        <w:t xml:space="preserve"> </w:t>
      </w:r>
      <w:r>
        <w:t xml:space="preserve">para toda região</w:t>
      </w:r>
      <w:r>
        <w:t xml:space="preserve"> </w:t>
      </w:r>
      <m:oMath>
        <m:r>
          <m:t>r</m:t>
        </m:r>
      </m:oMath>
      <w:r>
        <w:t xml:space="preserve"> </w:t>
      </w:r>
      <w:r>
        <w:t xml:space="preserve">com ao menos um vizinho). Define-se a</w:t>
      </w:r>
      <w:r>
        <w:t xml:space="preserve"> </w:t>
      </w:r>
      <w:r>
        <w:rPr>
          <w:b/>
          <w:bCs/>
        </w:rPr>
        <w:t xml:space="preserve">taxa competitiva</w:t>
      </w:r>
      <w:r>
        <w:t xml:space="preserve"> </w:t>
      </w:r>
      <w:r>
        <w:t xml:space="preserve">regional (para distinguir do efeito competitivo em nível,</w:t>
      </w:r>
      <w:r>
        <w:t xml:space="preserve"> </w:t>
      </w:r>
      <m:oMath>
        <m:r>
          <m:t>C</m:t>
        </m:r>
        <m:sSub>
          <m:e>
            <m:r>
              <m:t>E</m:t>
            </m:r>
          </m:e>
          <m:sub>
            <m:r>
              <m:t>r</m:t>
            </m:r>
          </m:sub>
        </m:sSub>
      </m:oMath>
      <w:r>
        <w:t xml:space="preserve">, que depende da escala de emprego da região):</w:t>
      </w:r>
    </w:p>
    <w:p>
      <w:pPr>
        <w:pStyle w:val="BodyText"/>
      </w:pPr>
      <m:oMathPara>
        <m:oMathParaPr>
          <m:jc m:val="center"/>
        </m:oMathParaPr>
        <m:oMath>
          <m:sSub>
            <m:e>
              <m:r>
                <m:t>c</m:t>
              </m:r>
            </m:e>
            <m:sub>
              <m:r>
                <m:t>r</m:t>
              </m:r>
            </m:sub>
          </m:sSub>
          <m:r>
            <m:rPr>
              <m:sty m:val="p"/>
            </m:rPr>
            <m:t>=</m:t>
          </m:r>
          <m:f>
            <m:fPr>
              <m:type m:val="bar"/>
            </m:fPr>
            <m:num>
              <m:r>
                <m:t>C</m:t>
              </m:r>
              <m:sSub>
                <m:e>
                  <m:r>
                    <m:t>E</m:t>
                  </m:r>
                </m:e>
                <m:sub>
                  <m:r>
                    <m:t>r</m:t>
                  </m:r>
                </m:sub>
              </m:sSub>
            </m:num>
            <m:den>
              <m:sSub>
                <m:e>
                  <m:r>
                    <m:t>E</m:t>
                  </m:r>
                </m:e>
                <m:sub>
                  <m:r>
                    <m:t>0</m:t>
                  </m:r>
                  <m:r>
                    <m:rPr>
                      <m:sty m:val="p"/>
                    </m:rPr>
                    <m:t>,</m:t>
                  </m:r>
                  <m:r>
                    <m:t>r</m:t>
                  </m:r>
                  <m:r>
                    <m:rPr>
                      <m:sty m:val="p"/>
                    </m:rPr>
                    <m:t>•</m:t>
                  </m:r>
                </m:sub>
              </m:sSub>
            </m:den>
          </m:f>
        </m:oMath>
      </m:oMathPara>
    </w:p>
    <w:p>
      <w:pPr>
        <w:pStyle w:val="FirstParagraph"/>
      </w:pPr>
      <w:r>
        <w:t xml:space="preserve">O componente espacial central da abordagem de Nazara-Hewings é a</w:t>
      </w:r>
      <w:r>
        <w:t xml:space="preserve"> </w:t>
      </w:r>
      <w:r>
        <w:rPr>
          <w:b/>
          <w:bCs/>
        </w:rPr>
        <w:t xml:space="preserve">defasagem espacial</w:t>
      </w:r>
      <w:r>
        <w:t xml:space="preserve"> </w:t>
      </w:r>
      <w:r>
        <w:t xml:space="preserve">da taxa competitiva — a média (ponderada pela contiguidade) da taxa competitiva das regiões vizinhas:</w:t>
      </w:r>
    </w:p>
    <w:p>
      <w:pPr>
        <w:pStyle w:val="BodyText"/>
      </w:pPr>
      <m:oMathPara>
        <m:oMathParaPr>
          <m:jc m:val="center"/>
        </m:oMathParaPr>
        <m:oMath>
          <m:r>
            <m:rPr>
              <m:sty m:val="p"/>
            </m:rPr>
            <m:t>(</m:t>
          </m:r>
          <m:r>
            <m:t>W</m:t>
          </m:r>
          <m:r>
            <m:t>c</m:t>
          </m:r>
          <m:sSub>
            <m:e>
              <m:r>
                <m:rPr>
                  <m:sty m:val="p"/>
                </m:rPr>
                <m:t>)</m:t>
              </m:r>
            </m:e>
            <m:sub>
              <m:r>
                <m:t>r</m:t>
              </m:r>
            </m:sub>
          </m:sSub>
          <m:r>
            <m:rPr>
              <m:sty m:val="p"/>
            </m:rPr>
            <m:t>=</m:t>
          </m:r>
          <m:nary>
            <m:naryPr>
              <m:chr m:val="∑"/>
              <m:limLoc m:val="undOvr"/>
              <m:subHide m:val="off"/>
              <m:supHide m:val="on"/>
            </m:naryPr>
            <m:sub>
              <m:r>
                <m:t>s</m:t>
              </m:r>
            </m:sub>
            <m:sup>
              <m:r>
                <m:t>​</m:t>
              </m:r>
            </m:sup>
            <m:e>
              <m:sSub>
                <m:e>
                  <m:r>
                    <m:t>w</m:t>
                  </m:r>
                </m:e>
                <m:sub>
                  <m:r>
                    <m:t>r</m:t>
                  </m:r>
                  <m:r>
                    <m:t>s</m:t>
                  </m:r>
                </m:sub>
              </m:sSub>
            </m:e>
          </m:nary>
          <m:r>
            <m:t> </m:t>
          </m:r>
          <m:sSub>
            <m:e>
              <m:r>
                <m:t>c</m:t>
              </m:r>
            </m:e>
            <m:sub>
              <m:r>
                <m:t>s</m:t>
              </m:r>
            </m:sub>
          </m:sSub>
        </m:oMath>
      </m:oMathPara>
    </w:p>
    <w:p>
      <w:pPr>
        <w:pStyle w:val="FirstParagraph"/>
      </w:pPr>
      <w:r>
        <w:t xml:space="preserve">A diferença</w:t>
      </w:r>
      <w:r>
        <w:t xml:space="preserve"> </w:t>
      </w:r>
      <m:oMath>
        <m:sSub>
          <m:e>
            <m:r>
              <m:t>c</m:t>
            </m:r>
          </m:e>
          <m:sub>
            <m:r>
              <m:t>r</m:t>
            </m:r>
          </m:sub>
        </m:sSub>
        <m:r>
          <m:rPr>
            <m:sty m:val="p"/>
          </m:rPr>
          <m:t>−</m:t>
        </m:r>
        <m:r>
          <m:rPr>
            <m:sty m:val="p"/>
          </m:rPr>
          <m:t>(</m:t>
        </m:r>
        <m:r>
          <m:t>W</m:t>
        </m:r>
        <m:r>
          <m:t>c</m:t>
        </m:r>
        <m:sSub>
          <m:e>
            <m:r>
              <m:rPr>
                <m:sty m:val="p"/>
              </m:rPr>
              <m:t>)</m:t>
            </m:r>
          </m:e>
          <m:sub>
            <m:r>
              <m:t>r</m:t>
            </m:r>
          </m:sub>
        </m:sSub>
      </m:oMath>
      <w:r>
        <w:t xml:space="preserve"> </w:t>
      </w:r>
      <w:r>
        <w:t xml:space="preserve">indica se a região tem desempenho competitivo destoante de sua vizinhança imediata (positiva: melhor que os vizinhos; negativa: pior). Para testar se essa dependência espacial é sistemática — e não um artefato de amostra pequena —, calcula-se o</w:t>
      </w:r>
      <w:r>
        <w:t xml:space="preserve"> </w:t>
      </w:r>
      <w:r>
        <w:rPr>
          <w:b/>
          <w:bCs/>
        </w:rPr>
        <w:t xml:space="preserve">I de Moran global</w:t>
      </w:r>
      <w:r>
        <w:t xml:space="preserve"> </w:t>
      </w:r>
      <w:r>
        <w:t xml:space="preserve">sobre as taxas competitivas (nunca sobre o emprego em nível, cuja heterogeneidade de escala entre regiões mascara inteiramente o padrão espacial):</w:t>
      </w:r>
    </w:p>
    <w:p>
      <w:pPr>
        <w:pStyle w:val="BodyText"/>
      </w:pPr>
      <m:oMathPara>
        <m:oMathParaPr>
          <m:jc m:val="center"/>
        </m:oMathParaPr>
        <m:oMath>
          <m:r>
            <m:t>I</m:t>
          </m:r>
          <m:r>
            <m:rPr>
              <m:sty m:val="p"/>
            </m:rPr>
            <m:t>=</m:t>
          </m:r>
          <m:f>
            <m:fPr>
              <m:type m:val="bar"/>
            </m:fPr>
            <m:num>
              <m:r>
                <m:t>n</m:t>
              </m:r>
            </m:num>
            <m:den>
              <m:sSub>
                <m:e>
                  <m:r>
                    <m:t>S</m:t>
                  </m:r>
                </m:e>
                <m:sub>
                  <m:r>
                    <m:t>0</m:t>
                  </m:r>
                </m:sub>
              </m:sSub>
            </m:den>
          </m:f>
          <m:r>
            <m:rPr>
              <m:sty m:val="p"/>
            </m:rPr>
            <m:t>⋅</m:t>
          </m:r>
          <m:f>
            <m:fPr>
              <m:type m:val="bar"/>
            </m:fPr>
            <m:num>
              <m:sSup>
                <m:e>
                  <m:r>
                    <m:t>z</m:t>
                  </m:r>
                </m:e>
                <m:sup>
                  <m:r>
                    <m:rPr>
                      <m:sty m:val="p"/>
                    </m:rPr>
                    <m:t>′</m:t>
                  </m:r>
                </m:sup>
              </m:sSup>
              <m:r>
                <m:t>W</m:t>
              </m:r>
              <m:r>
                <m:t>z</m:t>
              </m:r>
            </m:num>
            <m:den>
              <m:sSup>
                <m:e>
                  <m:r>
                    <m:t>z</m:t>
                  </m:r>
                </m:e>
                <m:sup>
                  <m:r>
                    <m:rPr>
                      <m:sty m:val="p"/>
                    </m:rPr>
                    <m:t>′</m:t>
                  </m:r>
                </m:sup>
              </m:sSup>
              <m:r>
                <m:t>z</m:t>
              </m:r>
            </m:den>
          </m:f>
          <m:r>
            <m:rPr>
              <m:sty m:val="p"/>
            </m:rPr>
            <m:t>,</m:t>
          </m:r>
          <m:r>
            <m:t>  </m:t>
          </m:r>
          <m:sSub>
            <m:e>
              <m:r>
                <m:t>z</m:t>
              </m:r>
            </m:e>
            <m:sub>
              <m:r>
                <m:t>r</m:t>
              </m:r>
            </m:sub>
          </m:sSub>
          <m:r>
            <m:rPr>
              <m:sty m:val="p"/>
            </m:rPr>
            <m:t>=</m:t>
          </m:r>
          <m:sSub>
            <m:e>
              <m:r>
                <m:t>c</m:t>
              </m:r>
            </m:e>
            <m:sub>
              <m:r>
                <m:t>r</m:t>
              </m:r>
            </m:sub>
          </m:sSub>
          <m:r>
            <m:rPr>
              <m:sty m:val="p"/>
            </m:rPr>
            <m:t>−</m:t>
          </m:r>
          <m:acc>
            <m:accPr>
              <m:chr m:val="‾"/>
            </m:accPr>
            <m:e>
              <m:r>
                <m:t>c</m:t>
              </m:r>
            </m:e>
          </m:acc>
          <m:r>
            <m:rPr>
              <m:sty m:val="p"/>
            </m:rPr>
            <m:t>,</m:t>
          </m:r>
          <m:r>
            <m:t>  </m:t>
          </m:r>
          <m:sSub>
            <m:e>
              <m:r>
                <m:t>S</m:t>
              </m:r>
            </m:e>
            <m:sub>
              <m:r>
                <m:t>0</m:t>
              </m:r>
            </m:sub>
          </m:sSub>
          <m:r>
            <m:rPr>
              <m:sty m:val="p"/>
            </m:rPr>
            <m:t>=</m:t>
          </m:r>
          <m:nary>
            <m:naryPr>
              <m:chr m:val="∑"/>
              <m:limLoc m:val="undOvr"/>
              <m:subHide m:val="off"/>
              <m:supHide m:val="on"/>
            </m:naryPr>
            <m:sub>
              <m:r>
                <m:t>r</m:t>
              </m:r>
            </m:sub>
            <m:sup>
              <m:r>
                <m:t>​</m:t>
              </m:r>
            </m:sup>
            <m:e>
              <m:nary>
                <m:naryPr>
                  <m:chr m:val="∑"/>
                  <m:limLoc m:val="undOvr"/>
                  <m:subHide m:val="off"/>
                  <m:supHide m:val="on"/>
                </m:naryPr>
                <m:sub>
                  <m:r>
                    <m:t>s</m:t>
                  </m:r>
                </m:sub>
                <m:sup>
                  <m:r>
                    <m:t>​</m:t>
                  </m:r>
                </m:sup>
                <m:e>
                  <m:sSub>
                    <m:e>
                      <m:r>
                        <m:t>w</m:t>
                      </m:r>
                    </m:e>
                    <m:sub>
                      <m:r>
                        <m:t>r</m:t>
                      </m:r>
                      <m:r>
                        <m:t>s</m:t>
                      </m:r>
                    </m:sub>
                  </m:sSub>
                </m:e>
              </m:nary>
            </m:e>
          </m:nary>
        </m:oMath>
      </m:oMathPara>
    </w:p>
    <w:p>
      <w:pPr>
        <w:pStyle w:val="FirstParagraph"/>
      </w:pPr>
      <w:r>
        <w:t xml:space="preserve">com valor esperado sob a hipótese nula de aleatoriedade espacial</w:t>
      </w:r>
      <w:r>
        <w:t xml:space="preserve"> </w:t>
      </w:r>
      <m:oMath>
        <m:r>
          <m:t>E</m:t>
        </m:r>
        <m:r>
          <m:rPr>
            <m:sty m:val="p"/>
          </m:rPr>
          <m:t>[</m:t>
        </m:r>
        <m:r>
          <m:t>I</m:t>
        </m:r>
        <m:r>
          <m:rPr>
            <m:sty m:val="p"/>
          </m:rPr>
          <m:t>]</m:t>
        </m:r>
        <m:r>
          <m:rPr>
            <m:sty m:val="p"/>
          </m:rPr>
          <m:t>=</m:t>
        </m:r>
        <m:r>
          <m:rPr>
            <m:sty m:val="p"/>
          </m:rPr>
          <m:t>−</m:t>
        </m:r>
        <m:r>
          <m:t>1</m:t>
        </m:r>
        <m:r>
          <m:rPr>
            <m:sty m:val="p"/>
          </m:rPr>
          <m:t>/</m:t>
        </m:r>
        <m:r>
          <m:rPr>
            <m:sty m:val="p"/>
          </m:rPr>
          <m:t>(</m:t>
        </m:r>
        <m:r>
          <m:t>n</m:t>
        </m:r>
        <m:r>
          <m:rPr>
            <m:sty m:val="p"/>
          </m:rPr>
          <m:t>−</m:t>
        </m:r>
        <m:r>
          <m:t>1</m:t>
        </m:r>
        <m:r>
          <m:rPr>
            <m:sty m:val="p"/>
          </m:rPr>
          <m:t>)</m:t>
        </m:r>
      </m:oMath>
      <w:r>
        <w:t xml:space="preserve">. Valores de</w:t>
      </w:r>
      <w:r>
        <w:t xml:space="preserve"> </w:t>
      </w:r>
      <m:oMath>
        <m:r>
          <m:t>I</m:t>
        </m:r>
      </m:oMath>
      <w:r>
        <w:t xml:space="preserve"> </w:t>
      </w:r>
      <w:r>
        <w:t xml:space="preserve">acima de</w:t>
      </w:r>
      <w:r>
        <w:t xml:space="preserve"> </w:t>
      </w:r>
      <m:oMath>
        <m:r>
          <m:t>E</m:t>
        </m:r>
        <m:r>
          <m:rPr>
            <m:sty m:val="p"/>
          </m:rPr>
          <m:t>[</m:t>
        </m:r>
        <m:r>
          <m:t>I</m:t>
        </m:r>
        <m:r>
          <m:rPr>
            <m:sty m:val="p"/>
          </m:rPr>
          <m:t>]</m:t>
        </m:r>
      </m:oMath>
      <w:r>
        <w:t xml:space="preserve"> </w:t>
      </w:r>
      <w:r>
        <w:t xml:space="preserve">indicam autocorrelação espacial positiva (regiões vizinhas com taxas competitivas parecidas); valores abaixo indicam autocorrelação negativa (vizinhos dissimilares).</w:t>
      </w:r>
    </w:p>
    <w:bookmarkEnd w:id="37"/>
    <w:bookmarkStart w:id="38" w:name="aplicação-3"/>
    <w:p>
      <w:pPr>
        <w:pStyle w:val="Heading3"/>
      </w:pPr>
      <w:r>
        <w:t xml:space="preserve">11.3 Aplicação</w:t>
      </w:r>
    </w:p>
    <w:p>
      <w:pPr>
        <w:pStyle w:val="FirstParagraph"/>
      </w:pPr>
      <w:r>
        <w:t xml:space="preserve">A malha de contiguidade das cinco regiões deste exemplo segue as fronteiras terrestres reais entre as unidades federativas: Piauí faz fronteira com as quatro demais (Ceará, Maranhão, Bahia e Pernambuco), Ceará e Pernambuco fazem fronteira entre si, e Bahia e Pernambuco também. Maranhão e Bahia, apesar de ambos vizinhos do Piauí, não fazem fronteira uma com a outra. A Tabela 12 apresenta a matriz padronizada em linha.</w:t>
      </w:r>
    </w:p>
    <w:p>
      <w:pPr>
        <w:pStyle w:val="BodyText"/>
      </w:pPr>
      <w:r>
        <w:rPr>
          <w:b/>
          <w:bCs/>
        </w:rPr>
        <w:t xml:space="preserve">Tabela 12 — Matriz de pesos espaciais</w:t>
      </w:r>
      <w:r>
        <w:rPr>
          <w:b/>
          <w:bCs/>
        </w:rPr>
        <w:t xml:space="preserve"> </w:t>
      </w:r>
      <m:oMath>
        <m:r>
          <m:t>W</m:t>
        </m:r>
      </m:oMath>
      <w:r>
        <w:rPr>
          <w:b/>
          <w:bCs/>
        </w:rPr>
        <w:t xml:space="preserve"> </w:t>
      </w:r>
      <w:r>
        <w:rPr>
          <w:b/>
          <w:bCs/>
        </w:rPr>
        <w:t xml:space="preserve">(contiguidade de fronteira, padronizada em linha)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PI</w:t>
            </w:r>
          </w:p>
        </w:tc>
        <w:tc>
          <w:tcPr/>
          <w:p>
            <w:pPr>
              <w:pStyle w:val="Compact"/>
              <w:jc w:val="right"/>
            </w:pPr>
            <w:r>
              <w:t xml:space="preserve">CE</w:t>
            </w:r>
          </w:p>
        </w:tc>
        <w:tc>
          <w:tcPr/>
          <w:p>
            <w:pPr>
              <w:pStyle w:val="Compact"/>
              <w:jc w:val="right"/>
            </w:pPr>
            <w:r>
              <w:t xml:space="preserve">MA</w:t>
            </w:r>
          </w:p>
        </w:tc>
        <w:tc>
          <w:tcPr/>
          <w:p>
            <w:pPr>
              <w:pStyle w:val="Compact"/>
              <w:jc w:val="right"/>
            </w:pPr>
            <w:r>
              <w:t xml:space="preserve">BA</w:t>
            </w:r>
          </w:p>
        </w:tc>
        <w:tc>
          <w:tcPr/>
          <w:p>
            <w:pPr>
              <w:pStyle w:val="Compact"/>
              <w:jc w:val="right"/>
            </w:pPr>
            <w:r>
              <w:t xml:space="preserve">PE</w:t>
            </w:r>
          </w:p>
        </w:tc>
      </w:tr>
      <w:tr>
        <w:tc>
          <w:tcPr/>
          <w:p>
            <w:pPr>
              <w:pStyle w:val="Compact"/>
              <w:jc w:val="left"/>
            </w:pPr>
            <w:r>
              <w:t xml:space="preserve">PI</w:t>
            </w:r>
          </w:p>
        </w:tc>
        <w:tc>
          <w:tcPr/>
          <w:p>
            <w:pPr>
              <w:pStyle w:val="Compact"/>
              <w:jc w:val="right"/>
            </w:pPr>
            <w:r>
              <w:t xml:space="preserve">0,000</w:t>
            </w:r>
          </w:p>
        </w:tc>
        <w:tc>
          <w:tcPr/>
          <w:p>
            <w:pPr>
              <w:pStyle w:val="Compact"/>
              <w:jc w:val="right"/>
            </w:pPr>
            <w:r>
              <w:t xml:space="preserve">0,250</w:t>
            </w:r>
          </w:p>
        </w:tc>
        <w:tc>
          <w:tcPr/>
          <w:p>
            <w:pPr>
              <w:pStyle w:val="Compact"/>
              <w:jc w:val="right"/>
            </w:pPr>
            <w:r>
              <w:t xml:space="preserve">0,250</w:t>
            </w:r>
          </w:p>
        </w:tc>
        <w:tc>
          <w:tcPr/>
          <w:p>
            <w:pPr>
              <w:pStyle w:val="Compact"/>
              <w:jc w:val="right"/>
            </w:pPr>
            <w:r>
              <w:t xml:space="preserve">0,250</w:t>
            </w:r>
          </w:p>
        </w:tc>
        <w:tc>
          <w:tcPr/>
          <w:p>
            <w:pPr>
              <w:pStyle w:val="Compact"/>
              <w:jc w:val="right"/>
            </w:pPr>
            <w:r>
              <w:t xml:space="preserve">0,250</w:t>
            </w:r>
          </w:p>
        </w:tc>
      </w:tr>
      <w:tr>
        <w:tc>
          <w:tcPr/>
          <w:p>
            <w:pPr>
              <w:pStyle w:val="Compact"/>
              <w:jc w:val="left"/>
            </w:pPr>
            <w:r>
              <w:t xml:space="preserve">CE</w:t>
            </w:r>
          </w:p>
        </w:tc>
        <w:tc>
          <w:tcPr/>
          <w:p>
            <w:pPr>
              <w:pStyle w:val="Compact"/>
              <w:jc w:val="right"/>
            </w:pPr>
            <w:r>
              <w:t xml:space="preserve">0,500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0,500</w:t>
            </w:r>
          </w:p>
        </w:tc>
      </w:tr>
      <w:tr>
        <w:tc>
          <w:tcPr/>
          <w:p>
            <w:pPr>
              <w:pStyle w:val="Compact"/>
              <w:jc w:val="left"/>
            </w:pPr>
            <w:r>
              <w:t xml:space="preserve">MA</w:t>
            </w:r>
          </w:p>
        </w:tc>
        <w:tc>
          <w:tcPr/>
          <w:p>
            <w:pPr>
              <w:pStyle w:val="Compact"/>
              <w:jc w:val="right"/>
            </w:pPr>
            <w:r>
              <w:t xml:space="preserve">1,000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r>
      <w:tr>
        <w:tc>
          <w:tcPr/>
          <w:p>
            <w:pPr>
              <w:pStyle w:val="Compact"/>
              <w:jc w:val="left"/>
            </w:pPr>
            <w:r>
              <w:t xml:space="preserve">BA</w:t>
            </w:r>
          </w:p>
        </w:tc>
        <w:tc>
          <w:tcPr/>
          <w:p>
            <w:pPr>
              <w:pStyle w:val="Compact"/>
              <w:jc w:val="right"/>
            </w:pPr>
            <w:r>
              <w:t xml:space="preserve">0,500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0,500</w:t>
            </w:r>
          </w:p>
        </w:tc>
      </w:tr>
      <w:tr>
        <w:tc>
          <w:tcPr/>
          <w:p>
            <w:pPr>
              <w:pStyle w:val="Compact"/>
              <w:jc w:val="left"/>
            </w:pPr>
            <w:r>
              <w:t xml:space="preserve">PE</w:t>
            </w:r>
          </w:p>
        </w:tc>
        <w:tc>
          <w:tcPr/>
          <w:p>
            <w:pPr>
              <w:pStyle w:val="Compact"/>
              <w:jc w:val="right"/>
            </w:pPr>
            <w:r>
              <w:t xml:space="preserve">0,333</w:t>
            </w:r>
          </w:p>
        </w:tc>
        <w:tc>
          <w:tcPr/>
          <w:p>
            <w:pPr>
              <w:pStyle w:val="Compact"/>
              <w:jc w:val="right"/>
            </w:pPr>
            <w:r>
              <w:t xml:space="preserve">0,333</w:t>
            </w:r>
          </w:p>
        </w:tc>
        <w:tc>
          <w:tcPr/>
          <w:p>
            <w:pPr>
              <w:pStyle w:val="Compact"/>
              <w:jc w:val="right"/>
            </w:pPr>
            <w:r>
              <w:t xml:space="preserve">0,000</w:t>
            </w:r>
          </w:p>
        </w:tc>
        <w:tc>
          <w:tcPr/>
          <w:p>
            <w:pPr>
              <w:pStyle w:val="Compact"/>
              <w:jc w:val="right"/>
            </w:pPr>
            <w:r>
              <w:t xml:space="preserve">0,333</w:t>
            </w:r>
          </w:p>
        </w:tc>
        <w:tc>
          <w:tcPr/>
          <w:p>
            <w:pPr>
              <w:pStyle w:val="Compact"/>
              <w:jc w:val="right"/>
            </w:pPr>
            <w:r>
              <w:t xml:space="preserve">0,000</w:t>
            </w:r>
          </w:p>
        </w:tc>
      </w:tr>
    </w:tbl>
    <w:p>
      <w:pPr>
        <w:pStyle w:val="BodyText"/>
      </w:pPr>
      <w:r>
        <w:t xml:space="preserve">Fonte: elaboração própria a partir de fronteiras terrestres reais entre as cinco unidades federativas (subconjunto ilustrativo; ver Seção 14).</w:t>
      </w:r>
    </w:p>
    <w:p>
      <w:pPr>
        <w:pStyle w:val="BodyText"/>
      </w:pPr>
      <w:r>
        <w:rPr>
          <w:b/>
          <w:bCs/>
        </w:rPr>
        <w:t xml:space="preserve">Tabela 13 — Taxa competitiva local, defasagem espacial e hiato (Equações 9–10)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Região</w:t>
            </w:r>
          </w:p>
        </w:tc>
        <w:tc>
          <w:tcPr/>
          <w:p>
            <w:pPr>
              <w:pStyle w:val="Compact"/>
              <w:jc w:val="right"/>
            </w:pPr>
            <m:oMath>
              <m:sSub>
                <m:e>
                  <m:r>
                    <m:t>c</m:t>
                  </m:r>
                </m:e>
                <m:sub>
                  <m:r>
                    <m:t>r</m:t>
                  </m:r>
                </m:sub>
              </m:sSub>
            </m:oMath>
            <w:r>
              <w:t xml:space="preserve"> </w:t>
            </w:r>
            <w:r>
              <w:t xml:space="preserve">(taxa competitiva local)</w:t>
            </w:r>
          </w:p>
        </w:tc>
        <w:tc>
          <w:tcPr/>
          <w:p>
            <w:pPr>
              <w:pStyle w:val="Compact"/>
              <w:jc w:val="right"/>
            </w:pPr>
            <m:oMath>
              <m:r>
                <m:rPr>
                  <m:sty m:val="p"/>
                </m:rPr>
                <m:t>(</m:t>
              </m:r>
              <m:r>
                <m:t>W</m:t>
              </m:r>
              <m:r>
                <m:t>c</m:t>
              </m:r>
              <m:sSub>
                <m:e>
                  <m:r>
                    <m:rPr>
                      <m:sty m:val="p"/>
                    </m:rPr>
                    <m:t>)</m:t>
                  </m:r>
                </m:e>
                <m:sub>
                  <m:r>
                    <m:t>r</m:t>
                  </m:r>
                </m:sub>
              </m:sSub>
            </m:oMath>
            <w:r>
              <w:t xml:space="preserve"> </w:t>
            </w:r>
            <w:r>
              <w:t xml:space="preserve">(média dos vizinhos)</w:t>
            </w:r>
          </w:p>
        </w:tc>
        <w:tc>
          <w:tcPr/>
          <w:p>
            <w:pPr>
              <w:pStyle w:val="Compact"/>
              <w:jc w:val="right"/>
            </w:pPr>
            <w:r>
              <w:t xml:space="preserve">Hiato</w:t>
            </w:r>
            <w:r>
              <w:t xml:space="preserve"> </w:t>
            </w:r>
            <m:oMath>
              <m:sSub>
                <m:e>
                  <m:r>
                    <m:t>c</m:t>
                  </m:r>
                </m:e>
                <m:sub>
                  <m:r>
                    <m:t>r</m:t>
                  </m:r>
                </m:sub>
              </m:sSub>
              <m:r>
                <m:rPr>
                  <m:sty m:val="p"/>
                </m:rPr>
                <m:t>−</m:t>
              </m:r>
              <m:r>
                <m:rPr>
                  <m:sty m:val="p"/>
                </m:rPr>
                <m:t>(</m:t>
              </m:r>
              <m:r>
                <m:t>W</m:t>
              </m:r>
              <m:r>
                <m:t>c</m:t>
              </m:r>
              <m:sSub>
                <m:e>
                  <m:r>
                    <m:rPr>
                      <m:sty m:val="p"/>
                    </m:rPr>
                    <m:t>)</m:t>
                  </m:r>
                </m:e>
                <m:sub>
                  <m:r>
                    <m:t>r</m:t>
                  </m:r>
                </m:sub>
              </m:sSub>
            </m:oMath>
          </w:p>
        </w:tc>
      </w:tr>
      <w:tr>
        <w:tc>
          <w:tcPr/>
          <w:p>
            <w:pPr>
              <w:pStyle w:val="Compact"/>
              <w:jc w:val="left"/>
            </w:pPr>
            <w:r>
              <w:t xml:space="preserve">PI</w:t>
            </w:r>
          </w:p>
        </w:tc>
        <w:tc>
          <w:tcPr/>
          <w:p>
            <w:pPr>
              <w:pStyle w:val="Compact"/>
              <w:jc w:val="right"/>
            </w:pPr>
            <w:r>
              <w:t xml:space="preserve">4,33%</w:t>
            </w:r>
          </w:p>
        </w:tc>
        <w:tc>
          <w:tcPr/>
          <w:p>
            <w:pPr>
              <w:pStyle w:val="Compact"/>
              <w:jc w:val="right"/>
            </w:pPr>
            <w:r>
              <w:t xml:space="preserve">−1,12%</w:t>
            </w:r>
          </w:p>
        </w:tc>
        <w:tc>
          <w:tcPr/>
          <w:p>
            <w:pPr>
              <w:pStyle w:val="Compact"/>
              <w:jc w:val="right"/>
            </w:pPr>
            <w:r>
              <w:t xml:space="preserve">5,45 p.p.</w:t>
            </w:r>
          </w:p>
        </w:tc>
      </w:tr>
      <w:tr>
        <w:tc>
          <w:tcPr/>
          <w:p>
            <w:pPr>
              <w:pStyle w:val="Compact"/>
              <w:jc w:val="left"/>
            </w:pPr>
            <w:r>
              <w:t xml:space="preserve">CE</w:t>
            </w:r>
          </w:p>
        </w:tc>
        <w:tc>
          <w:tcPr/>
          <w:p>
            <w:pPr>
              <w:pStyle w:val="Compact"/>
              <w:jc w:val="right"/>
            </w:pPr>
            <w:r>
              <w:t xml:space="preserve">3,01%</w:t>
            </w:r>
          </w:p>
        </w:tc>
        <w:tc>
          <w:tcPr/>
          <w:p>
            <w:pPr>
              <w:pStyle w:val="Compact"/>
              <w:jc w:val="right"/>
            </w:pPr>
            <w:r>
              <w:t xml:space="preserve">1,20%</w:t>
            </w:r>
          </w:p>
        </w:tc>
        <w:tc>
          <w:tcPr/>
          <w:p>
            <w:pPr>
              <w:pStyle w:val="Compact"/>
              <w:jc w:val="right"/>
            </w:pPr>
            <w:r>
              <w:t xml:space="preserve">1,81 p.p.</w:t>
            </w:r>
          </w:p>
        </w:tc>
      </w:tr>
      <w:tr>
        <w:tc>
          <w:tcPr/>
          <w:p>
            <w:pPr>
              <w:pStyle w:val="Compact"/>
              <w:jc w:val="left"/>
            </w:pPr>
            <w:r>
              <w:t xml:space="preserve">MA</w:t>
            </w:r>
          </w:p>
        </w:tc>
        <w:tc>
          <w:tcPr/>
          <w:p>
            <w:pPr>
              <w:pStyle w:val="Compact"/>
              <w:jc w:val="right"/>
            </w:pPr>
            <w:r>
              <w:t xml:space="preserve">−5,17%</w:t>
            </w:r>
          </w:p>
        </w:tc>
        <w:tc>
          <w:tcPr/>
          <w:p>
            <w:pPr>
              <w:pStyle w:val="Compact"/>
              <w:jc w:val="right"/>
            </w:pPr>
            <w:r>
              <w:t xml:space="preserve">4,33%</w:t>
            </w:r>
          </w:p>
        </w:tc>
        <w:tc>
          <w:tcPr/>
          <w:p>
            <w:pPr>
              <w:pStyle w:val="Compact"/>
              <w:jc w:val="right"/>
            </w:pPr>
            <w:r>
              <w:t xml:space="preserve">−9,50 p.p.</w:t>
            </w:r>
          </w:p>
        </w:tc>
      </w:tr>
      <w:tr>
        <w:tc>
          <w:tcPr/>
          <w:p>
            <w:pPr>
              <w:pStyle w:val="Compact"/>
              <w:jc w:val="left"/>
            </w:pPr>
            <w:r>
              <w:t xml:space="preserve">BA</w:t>
            </w:r>
          </w:p>
        </w:tc>
        <w:tc>
          <w:tcPr/>
          <w:p>
            <w:pPr>
              <w:pStyle w:val="Compact"/>
              <w:jc w:val="right"/>
            </w:pPr>
            <w:r>
              <w:t xml:space="preserve">−0,38%</w:t>
            </w:r>
          </w:p>
        </w:tc>
        <w:tc>
          <w:tcPr/>
          <w:p>
            <w:pPr>
              <w:pStyle w:val="Compact"/>
              <w:jc w:val="right"/>
            </w:pPr>
            <w:r>
              <w:t xml:space="preserve">1,20%</w:t>
            </w:r>
          </w:p>
        </w:tc>
        <w:tc>
          <w:tcPr/>
          <w:p>
            <w:pPr>
              <w:pStyle w:val="Compact"/>
              <w:jc w:val="right"/>
            </w:pPr>
            <w:r>
              <w:t xml:space="preserve">−1,58 p.p.</w:t>
            </w:r>
          </w:p>
        </w:tc>
      </w:tr>
      <w:tr>
        <w:tc>
          <w:tcPr/>
          <w:p>
            <w:pPr>
              <w:pStyle w:val="Compact"/>
              <w:jc w:val="left"/>
            </w:pPr>
            <w:r>
              <w:t xml:space="preserve">PE</w:t>
            </w:r>
          </w:p>
        </w:tc>
        <w:tc>
          <w:tcPr/>
          <w:p>
            <w:pPr>
              <w:pStyle w:val="Compact"/>
              <w:jc w:val="right"/>
            </w:pPr>
            <w:r>
              <w:t xml:space="preserve">−1,93%</w:t>
            </w:r>
          </w:p>
        </w:tc>
        <w:tc>
          <w:tcPr/>
          <w:p>
            <w:pPr>
              <w:pStyle w:val="Compact"/>
              <w:jc w:val="right"/>
            </w:pPr>
            <w:r>
              <w:t xml:space="preserve">2,32%</w:t>
            </w:r>
          </w:p>
        </w:tc>
        <w:tc>
          <w:tcPr/>
          <w:p>
            <w:pPr>
              <w:pStyle w:val="Compact"/>
              <w:jc w:val="right"/>
            </w:pPr>
            <w:r>
              <w:t xml:space="preserve">−4,25 p.p.</w:t>
            </w:r>
          </w:p>
        </w:tc>
      </w:tr>
    </w:tbl>
    <w:p>
      <w:pPr>
        <w:pStyle w:val="BodyText"/>
      </w:pPr>
      <w:r>
        <w:t xml:space="preserve">Fonte: elaboração própria, Equações 9 e 10.</w:t>
      </w:r>
    </w:p>
    <w:p>
      <w:pPr>
        <w:pStyle w:val="BodyText"/>
      </w:pPr>
      <w:r>
        <w:t xml:space="preserve">O caso do Maranhão é o mais informativo: sua taxa competitiva local é a mais negativa do conjunto (−5,17%), mas seu único vizinho na malha, o Piauí, tem a taxa mais positiva (4,33%) — um hiato de −9,5 pontos percentuais em relação à própria vizinhança. Isso é o oposto do padrão que a hipótese de</w:t>
      </w:r>
      <w:r>
        <w:t xml:space="preserve"> </w:t>
      </w:r>
      <w:r>
        <w:rPr>
          <w:i/>
          <w:iCs/>
        </w:rPr>
        <w:t xml:space="preserve">spillover</w:t>
      </w:r>
      <w:r>
        <w:t xml:space="preserve"> </w:t>
      </w:r>
      <w:r>
        <w:t xml:space="preserve">positivo prediria (vizinhos com desempenho parecido) e resulta, para este pequeno conjunto de cinco regiões, em um I de Moran global de</w:t>
      </w:r>
      <w:r>
        <w:t xml:space="preserve"> </w:t>
      </w:r>
      <m:oMath>
        <m:r>
          <m:t>I</m:t>
        </m:r>
        <m:r>
          <m:rPr>
            <m:sty m:val="p"/>
          </m:rPr>
          <m:t>=</m:t>
        </m:r>
        <m:r>
          <m:rPr>
            <m:sty m:val="p"/>
          </m:rPr>
          <m:t>−</m:t>
        </m:r>
        <m:r>
          <m:t>0</m:t>
        </m:r>
        <m:r>
          <m:rPr>
            <m:sty m:val="p"/>
          </m:rPr>
          <m:t>,</m:t>
        </m:r>
        <m:r>
          <m:t>4852</m:t>
        </m:r>
      </m:oMath>
      <w:r>
        <w:t xml:space="preserve">, abaixo do valor esperado sob aleatoriedade</w:t>
      </w:r>
      <w:r>
        <w:t xml:space="preserve"> </w:t>
      </w:r>
      <m:oMath>
        <m:r>
          <m:t>E</m:t>
        </m:r>
        <m:r>
          <m:rPr>
            <m:sty m:val="p"/>
          </m:rPr>
          <m:t>[</m:t>
        </m:r>
        <m:r>
          <m:t>I</m:t>
        </m:r>
        <m:r>
          <m:rPr>
            <m:sty m:val="p"/>
          </m:rPr>
          <m:t>]</m:t>
        </m:r>
        <m:r>
          <m:rPr>
            <m:sty m:val="p"/>
          </m:rPr>
          <m:t>=</m:t>
        </m:r>
        <m:r>
          <m:rPr>
            <m:sty m:val="p"/>
          </m:rPr>
          <m:t>−</m:t>
        </m:r>
        <m:r>
          <m:t>0</m:t>
        </m:r>
        <m:r>
          <m:rPr>
            <m:sty m:val="p"/>
          </m:rPr>
          <m:t>,</m:t>
        </m:r>
        <m:r>
          <m:t>25</m:t>
        </m:r>
      </m:oMath>
      <w:r>
        <w:t xml:space="preserve"> </w:t>
      </w:r>
      <w:r>
        <w:t xml:space="preserve">— um sinal de dissimilaridade, e não de agrupamento espacial positivo, entre vizinhos. Como discutido na Seção 14, um I de Moran com apenas cinco unidades tem poder estatístico praticamente nulo; o valor é reportado aqui unicamente para ilustrar o cálculo da Equação 11, não como evidência substantiva de dependência espacial.</w:t>
      </w:r>
    </w:p>
    <w:bookmarkEnd w:id="38"/>
    <w:bookmarkEnd w:id="39"/>
    <w:bookmarkStart w:id="40" w:name="X6a4de7f523f0db88f83b5aca7172a3c02fc8d77"/>
    <w:p>
      <w:pPr>
        <w:pStyle w:val="Heading2"/>
      </w:pPr>
      <w:r>
        <w:t xml:space="preserve">12 SÍNTESE: A LÓGICA DA EVOLUÇÃO METODOLÓGICA</w:t>
      </w:r>
    </w:p>
    <w:p>
      <w:pPr>
        <w:pStyle w:val="FirstParagraph"/>
      </w:pPr>
      <w:r>
        <w:t xml:space="preserve">O Quadro 1 resume, para cada variante tratada, qual falha da variante anterior ela ataca e o que permanece em aberto depois dela — a mesma lógica de</w:t>
      </w:r>
      <w:r>
        <w:t xml:space="preserve"> </w:t>
      </w:r>
      <w:r>
        <w:t xml:space="preserve">“problema → correção → novo limite”</w:t>
      </w:r>
      <w:r>
        <w:t xml:space="preserve"> </w:t>
      </w:r>
      <w:r>
        <w:t xml:space="preserve">que estruturou as Seções 4 a 11.</w:t>
      </w:r>
    </w:p>
    <w:p>
      <w:pPr>
        <w:pStyle w:val="BodyText"/>
      </w:pPr>
      <w:r>
        <w:rPr>
          <w:b/>
          <w:bCs/>
        </w:rPr>
        <w:t xml:space="preserve">Quadro 1 — Evolução dos componentes da SSA: problema atacado e limite remanescente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Variante</w:t>
            </w:r>
          </w:p>
        </w:tc>
        <w:tc>
          <w:tcPr/>
          <w:p>
            <w:pPr>
              <w:pStyle w:val="Compact"/>
              <w:jc w:val="left"/>
            </w:pPr>
            <w:r>
              <w:t xml:space="preserve">Problema que ataca</w:t>
            </w:r>
          </w:p>
        </w:tc>
        <w:tc>
          <w:tcPr/>
          <w:p>
            <w:pPr>
              <w:pStyle w:val="Compact"/>
              <w:jc w:val="left"/>
            </w:pPr>
            <w:r>
              <w:t xml:space="preserve">Mudança estrutural</w:t>
            </w:r>
          </w:p>
        </w:tc>
        <w:tc>
          <w:tcPr/>
          <w:p>
            <w:pPr>
              <w:pStyle w:val="Compact"/>
              <w:jc w:val="left"/>
            </w:pPr>
            <w:r>
              <w:t xml:space="preserve">Limite remanescente</w:t>
            </w:r>
          </w:p>
        </w:tc>
      </w:tr>
      <w:tr>
        <w:tc>
          <w:tcPr/>
          <w:p>
            <w:pPr>
              <w:pStyle w:val="Compact"/>
              <w:jc w:val="left"/>
            </w:pPr>
            <w:r>
              <w:t xml:space="preserve">Dunn (1960) — clássico</w:t>
            </w:r>
          </w:p>
        </w:tc>
        <w:tc>
          <w:tcPr/>
          <w:p>
            <w:pPr>
              <w:pStyle w:val="Compact"/>
              <w:jc w:val="left"/>
            </w:pPr>
            <w:r>
              <w:t xml:space="preserve">(linha de base)</w:t>
            </w:r>
          </w:p>
        </w:tc>
        <w:tc>
          <w:tcPr/>
          <w:p>
            <w:pPr>
              <w:pStyle w:val="Compact"/>
              <w:jc w:val="left"/>
            </w:pPr>
            <w:r>
              <w:t xml:space="preserve">Identidade aditiva de 3 componentes</w:t>
            </w:r>
          </w:p>
        </w:tc>
        <w:tc>
          <w:tcPr/>
          <w:p>
            <w:pPr>
              <w:pStyle w:val="Compact"/>
              <w:jc w:val="left"/>
            </w:pPr>
            <w:r>
              <w:t xml:space="preserve">Efeito competitivo contaminado por estrutura; sem inferência</w:t>
            </w:r>
          </w:p>
        </w:tc>
      </w:tr>
      <w:tr>
        <w:tc>
          <w:tcPr/>
          <w:p>
            <w:pPr>
              <w:pStyle w:val="Compact"/>
              <w:jc w:val="left"/>
            </w:pPr>
            <w:r>
              <w:t xml:space="preserve">Fuchs (1959) / pesos terminais</w:t>
            </w:r>
          </w:p>
        </w:tc>
        <w:tc>
          <w:tcPr/>
          <w:p>
            <w:pPr>
              <w:pStyle w:val="Compact"/>
              <w:jc w:val="left"/>
            </w:pPr>
            <w:r>
              <w:t xml:space="preserve">Viés do ano de ponderação</w:t>
            </w:r>
          </w:p>
        </w:tc>
        <w:tc>
          <w:tcPr/>
          <w:p>
            <w:pPr>
              <w:pStyle w:val="Compact"/>
              <w:jc w:val="left"/>
            </w:pPr>
            <w:r>
              <w:t xml:space="preserve">Média ou reversão de pesos</w:t>
            </w:r>
          </w:p>
        </w:tc>
        <w:tc>
          <w:tcPr/>
          <w:p>
            <w:pPr>
              <w:pStyle w:val="Compact"/>
              <w:jc w:val="left"/>
            </w:pPr>
            <w:r>
              <w:t xml:space="preserve">Sensibilidade permanece no efeito de alocação (Seção 6)</w:t>
            </w:r>
          </w:p>
        </w:tc>
      </w:tr>
      <w:tr>
        <w:tc>
          <w:tcPr/>
          <w:p>
            <w:pPr>
              <w:pStyle w:val="Compact"/>
              <w:jc w:val="left"/>
            </w:pPr>
            <w:r>
              <w:t xml:space="preserve">Esteban-Marquillas (1972)</w:t>
            </w:r>
          </w:p>
        </w:tc>
        <w:tc>
          <w:tcPr/>
          <w:p>
            <w:pPr>
              <w:pStyle w:val="Compact"/>
              <w:jc w:val="left"/>
            </w:pPr>
            <w:r>
              <w:t xml:space="preserve">Contaminação estrutural do efeito competitivo</w:t>
            </w:r>
          </w:p>
        </w:tc>
        <w:tc>
          <w:tcPr/>
          <w:p>
            <w:pPr>
              <w:pStyle w:val="Compact"/>
              <w:jc w:val="left"/>
            </w:pPr>
            <w:r>
              <w:t xml:space="preserve">Emprego homotético; efeito de alocação</w:t>
            </w:r>
          </w:p>
        </w:tc>
        <w:tc>
          <w:tcPr/>
          <w:p>
            <w:pPr>
              <w:pStyle w:val="Compact"/>
              <w:jc w:val="left"/>
            </w:pPr>
            <w:r>
              <w:t xml:space="preserve">Sinal de</w:t>
            </w:r>
            <w:r>
              <w:t xml:space="preserve"> </w:t>
            </w:r>
            <m:oMath>
              <m:r>
                <m:t>A</m:t>
              </m:r>
              <m:r>
                <m:t>E</m:t>
              </m:r>
            </m:oMath>
            <w:r>
              <w:t xml:space="preserve"> </w:t>
            </w:r>
            <w:r>
              <w:t xml:space="preserve">sensível à escolha de pesos (Herzog-Olsen, 1977)</w:t>
            </w:r>
          </w:p>
        </w:tc>
      </w:tr>
      <w:tr>
        <w:tc>
          <w:tcPr/>
          <w:p>
            <w:pPr>
              <w:pStyle w:val="Compact"/>
              <w:jc w:val="left"/>
            </w:pPr>
            <w:r>
              <w:t xml:space="preserve">Arcelus (1984)</w:t>
            </w:r>
          </w:p>
        </w:tc>
        <w:tc>
          <w:tcPr/>
          <w:p>
            <w:pPr>
              <w:pStyle w:val="Compact"/>
              <w:jc w:val="left"/>
            </w:pPr>
            <w:r>
              <w:t xml:space="preserve">Homotetização restrita ao efeito competitivo</w:t>
            </w:r>
          </w:p>
        </w:tc>
        <w:tc>
          <w:tcPr/>
          <w:p>
            <w:pPr>
              <w:pStyle w:val="Compact"/>
              <w:jc w:val="left"/>
            </w:pPr>
            <w:r>
              <w:t xml:space="preserve">Extensão a todos os componentes</w:t>
            </w:r>
          </w:p>
        </w:tc>
        <w:tc>
          <w:tcPr/>
          <w:p>
            <w:pPr>
              <w:pStyle w:val="Compact"/>
              <w:jc w:val="left"/>
            </w:pPr>
            <w:r>
              <w:t xml:space="preserve">Dois dos quatro novos subcomponentes são nulos por construção ao nível regional (Seção 7.3)</w:t>
            </w:r>
          </w:p>
        </w:tc>
      </w:tr>
      <w:tr>
        <w:tc>
          <w:tcPr/>
          <w:p>
            <w:pPr>
              <w:pStyle w:val="Compact"/>
              <w:jc w:val="left"/>
            </w:pPr>
            <w:r>
              <w:t xml:space="preserve">Barff-Knight (1988)</w:t>
            </w:r>
          </w:p>
        </w:tc>
        <w:tc>
          <w:tcPr/>
          <w:p>
            <w:pPr>
              <w:pStyle w:val="Compact"/>
              <w:jc w:val="left"/>
            </w:pPr>
            <w:r>
              <w:t xml:space="preserve">Viés de ponto-a-ponto e crescimento composto</w:t>
            </w:r>
          </w:p>
        </w:tc>
        <w:tc>
          <w:tcPr/>
          <w:p>
            <w:pPr>
              <w:pStyle w:val="Compact"/>
              <w:jc w:val="left"/>
            </w:pPr>
            <w:r>
              <w:t xml:space="preserve">Soma de decomposições anuais/subperiódicas</w:t>
            </w:r>
          </w:p>
        </w:tc>
        <w:tc>
          <w:tcPr/>
          <w:p>
            <w:pPr>
              <w:pStyle w:val="Compact"/>
              <w:jc w:val="left"/>
            </w:pPr>
            <w:r>
              <w:t xml:space="preserve">Ainda determinístico; exige dados de alta frequência</w:t>
            </w:r>
          </w:p>
        </w:tc>
      </w:tr>
      <w:tr>
        <w:tc>
          <w:tcPr/>
          <w:p>
            <w:pPr>
              <w:pStyle w:val="Compact"/>
              <w:jc w:val="left"/>
            </w:pPr>
            <w:r>
              <w:t xml:space="preserve">Berzeg (1978, 1984)</w:t>
            </w:r>
          </w:p>
        </w:tc>
        <w:tc>
          <w:tcPr/>
          <w:p>
            <w:pPr>
              <w:pStyle w:val="Compact"/>
              <w:jc w:val="left"/>
            </w:pPr>
            <w:r>
              <w:t xml:space="preserve">Impossibilidade de teste estatístico</w:t>
            </w:r>
          </w:p>
        </w:tc>
        <w:tc>
          <w:tcPr/>
          <w:p>
            <w:pPr>
              <w:pStyle w:val="Compact"/>
              <w:jc w:val="left"/>
            </w:pPr>
            <w:r>
              <w:t xml:space="preserve">Identidade recastada como ANOVA/regressão</w:t>
            </w:r>
          </w:p>
        </w:tc>
        <w:tc>
          <w:tcPr/>
          <w:p>
            <w:pPr>
              <w:pStyle w:val="Compact"/>
              <w:jc w:val="left"/>
            </w:pPr>
            <w:r>
              <w:t xml:space="preserve">Pressupõe normalidade; erro absorve toda variação não sistemática</w:t>
            </w:r>
          </w:p>
        </w:tc>
      </w:tr>
      <w:tr>
        <w:tc>
          <w:tcPr/>
          <w:p>
            <w:pPr>
              <w:pStyle w:val="Compact"/>
              <w:jc w:val="left"/>
            </w:pPr>
            <w:r>
              <w:t xml:space="preserve">Knudsen (2000)</w:t>
            </w:r>
          </w:p>
        </w:tc>
        <w:tc>
          <w:tcPr/>
          <w:p>
            <w:pPr>
              <w:pStyle w:val="Compact"/>
              <w:jc w:val="left"/>
            </w:pPr>
            <w:r>
              <w:t xml:space="preserve">ANOVA heterocedástica, que depende de pesos impostos para reproduzir a identidade</w:t>
            </w:r>
          </w:p>
        </w:tc>
        <w:tc>
          <w:tcPr/>
          <w:p>
            <w:pPr>
              <w:pStyle w:val="Compact"/>
              <w:jc w:val="left"/>
            </w:pPr>
            <w:r>
              <w:rPr>
                <w:i/>
                <w:iCs/>
              </w:rPr>
              <w:t xml:space="preserve">Shift-share</w:t>
            </w:r>
            <w:r>
              <w:t xml:space="preserve"> </w:t>
            </w:r>
            <w:r>
              <w:t xml:space="preserve">de mínima informação discriminante: modelo log-linear estimado por máxima verossimilhança (GLM de Poisson com</w:t>
            </w:r>
            <w:r>
              <w:t xml:space="preserve"> </w:t>
            </w:r>
            <w:r>
              <w:rPr>
                <w:i/>
                <w:iCs/>
              </w:rPr>
              <w:t xml:space="preserve">offset</w:t>
            </w:r>
            <w:r>
              <w:t xml:space="preserve"> </w:t>
            </w:r>
            <w:r>
              <w:t xml:space="preserve">pelo emprego-base)</w:t>
            </w:r>
          </w:p>
        </w:tc>
        <w:tc>
          <w:tcPr/>
          <w:p>
            <w:pPr>
              <w:pStyle w:val="Compact"/>
              <w:jc w:val="left"/>
            </w:pPr>
            <w:r>
              <w:t xml:space="preserve">Parâmetros em escala log, de interpretação mais difícil; erros de máxima verossimilhança pura exigem correção de dispersão (quase-Poisson)</w:t>
            </w:r>
          </w:p>
        </w:tc>
      </w:tr>
      <w:tr>
        <w:tc>
          <w:tcPr/>
          <w:p>
            <w:pPr>
              <w:pStyle w:val="Compact"/>
              <w:jc w:val="left"/>
            </w:pPr>
            <w:r>
              <w:t xml:space="preserve">Nazara-Hewings (2004)</w:t>
            </w:r>
          </w:p>
        </w:tc>
        <w:tc>
          <w:tcPr/>
          <w:p>
            <w:pPr>
              <w:pStyle w:val="Compact"/>
              <w:jc w:val="left"/>
            </w:pPr>
            <w:r>
              <w:t xml:space="preserve">Regiões tratadas como independentes</w:t>
            </w:r>
          </w:p>
        </w:tc>
        <w:tc>
          <w:tcPr/>
          <w:p>
            <w:pPr>
              <w:pStyle w:val="Compact"/>
              <w:jc w:val="left"/>
            </w:pPr>
            <w:r>
              <w:t xml:space="preserve">Matriz de pesos espaciais; defasagem espacial</w:t>
            </w:r>
          </w:p>
        </w:tc>
        <w:tc>
          <w:tcPr/>
          <w:p>
            <w:pPr>
              <w:pStyle w:val="Compact"/>
              <w:jc w:val="left"/>
            </w:pPr>
            <w:r>
              <w:t xml:space="preserve">Sensível à especificação da matriz; exige N grande para inferência confiável</w:t>
            </w:r>
          </w:p>
        </w:tc>
      </w:tr>
    </w:tbl>
    <w:p>
      <w:pPr>
        <w:pStyle w:val="BodyText"/>
      </w:pPr>
      <w:r>
        <w:t xml:space="preserve">Fonte: elaboração própria, síntese das Seções 4 a 11.</w:t>
      </w:r>
    </w:p>
    <w:bookmarkEnd w:id="40"/>
    <w:bookmarkStart w:id="41" w:name="quadro-de-parâmetros-consolidados"/>
    <w:p>
      <w:pPr>
        <w:pStyle w:val="Heading2"/>
      </w:pPr>
      <w:r>
        <w:t xml:space="preserve">13 QUADRO DE PARÂMETROS CONSOLIDADOS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Parâmetro</w:t>
            </w:r>
          </w:p>
        </w:tc>
        <w:tc>
          <w:tcPr/>
          <w:p>
            <w:pPr>
              <w:pStyle w:val="Compact"/>
              <w:jc w:val="left"/>
            </w:pPr>
            <w:r>
              <w:t xml:space="preserve">Valor adotado</w:t>
            </w:r>
          </w:p>
        </w:tc>
      </w:tr>
      <w:tr>
        <w:tc>
          <w:tcPr/>
          <w:p>
            <w:pPr>
              <w:pStyle w:val="Compact"/>
              <w:jc w:val="left"/>
            </w:pPr>
            <w:r>
              <w:t xml:space="preserve">Número de regiões no exemplo (</w:t>
            </w:r>
            <w:r>
              <w:rPr>
                <w:i/>
                <w:iCs/>
              </w:rPr>
              <w:t xml:space="preserve">R</w:t>
            </w:r>
            <w:r>
              <w:t xml:space="preserve">)</w:t>
            </w:r>
          </w:p>
        </w:tc>
        <w:tc>
          <w:tcPr/>
          <w:p>
            <w:pPr>
              <w:pStyle w:val="Compact"/>
              <w:jc w:val="left"/>
            </w:pPr>
            <w:r>
              <w:t xml:space="preserve">5 (PI, CE, MA, BA, PE)</w:t>
            </w:r>
          </w:p>
        </w:tc>
      </w:tr>
      <w:tr>
        <w:tc>
          <w:tcPr/>
          <w:p>
            <w:pPr>
              <w:pStyle w:val="Compact"/>
              <w:jc w:val="left"/>
            </w:pPr>
            <w:r>
              <w:t xml:space="preserve">Número de setores no exemplo (</w:t>
            </w:r>
            <w:r>
              <w:rPr>
                <w:i/>
                <w:iCs/>
              </w:rPr>
              <w:t xml:space="preserve">N</w:t>
            </w:r>
            <w:r>
              <w:t xml:space="preserve">)</w:t>
            </w:r>
          </w:p>
        </w:tc>
        <w:tc>
          <w:tcPr/>
          <w:p>
            <w:pPr>
              <w:pStyle w:val="Compact"/>
              <w:jc w:val="left"/>
            </w:pPr>
            <w:r>
              <w:t xml:space="preserve">3 (Agropecuária, Indústria, Serviços)</w:t>
            </w:r>
          </w:p>
        </w:tc>
      </w:tr>
      <w:tr>
        <w:tc>
          <w:tcPr/>
          <w:p>
            <w:pPr>
              <w:pStyle w:val="Compact"/>
              <w:jc w:val="left"/>
            </w:pPr>
            <w:r>
              <w:t xml:space="preserve">Natureza dos dados de emprego</w:t>
            </w:r>
          </w:p>
        </w:tc>
        <w:tc>
          <w:tcPr/>
          <w:p>
            <w:pPr>
              <w:pStyle w:val="Compact"/>
              <w:jc w:val="left"/>
            </w:pPr>
            <w:r>
              <w:t xml:space="preserve">Sintéticos/hipotéticos, não correspondem a estatísticas oficiais</w:t>
            </w:r>
          </w:p>
        </w:tc>
      </w:tr>
      <w:tr>
        <w:tc>
          <w:tcPr/>
          <w:p>
            <w:pPr>
              <w:pStyle w:val="Compact"/>
              <w:jc w:val="left"/>
            </w:pPr>
            <w:r>
              <w:t xml:space="preserve">Ano-base / ano-terminal</w:t>
            </w:r>
          </w:p>
        </w:tc>
        <w:tc>
          <w:tcPr/>
          <w:p>
            <w:pPr>
              <w:pStyle w:val="Compact"/>
              <w:jc w:val="left"/>
            </w:pPr>
            <m:oMath>
              <m:sSub>
                <m:e>
                  <m:r>
                    <m:t>t</m:t>
                  </m:r>
                </m:e>
                <m:sub>
                  <m:r>
                    <m:t>0</m:t>
                  </m:r>
                </m:sub>
              </m:sSub>
            </m:oMath>
            <w:r>
              <w:t xml:space="preserve"> </w:t>
            </w:r>
            <w:r>
              <w:t xml:space="preserve">/</w:t>
            </w:r>
            <w:r>
              <w:t xml:space="preserve"> </w:t>
            </w:r>
            <m:oMath>
              <m:sSub>
                <m:e>
                  <m:r>
                    <m:t>t</m:t>
                  </m:r>
                </m:e>
                <m:sub>
                  <m:r>
                    <m:t>1</m:t>
                  </m:r>
                </m:sub>
              </m:sSub>
            </m:oMath>
            <w:r>
              <w:t xml:space="preserve"> </w:t>
            </w:r>
            <w:r>
              <w:t xml:space="preserve">genéricos (rótulos hipotéticos, sem correspondência calendárica)</w:t>
            </w:r>
          </w:p>
        </w:tc>
      </w:tr>
      <w:tr>
        <w:tc>
          <w:tcPr/>
          <w:p>
            <w:pPr>
              <w:pStyle w:val="Compact"/>
              <w:jc w:val="left"/>
            </w:pPr>
            <w:r>
              <w:t xml:space="preserve">Número de subperíodos na decomposição dinâmica (Seção 8)</w:t>
            </w:r>
          </w:p>
        </w:tc>
        <w:tc>
          <w:tcPr/>
          <w:p>
            <w:pPr>
              <w:pStyle w:val="Compact"/>
              <w:jc w:val="left"/>
            </w:pPr>
            <w:r>
              <w:t xml:space="preserve">2, com trajetória setorial hipotética e deliberadamente desigual entre subperíodos</w:t>
            </w:r>
          </w:p>
        </w:tc>
      </w:tr>
      <w:tr>
        <w:tc>
          <w:tcPr/>
          <w:p>
            <w:pPr>
              <w:pStyle w:val="Compact"/>
              <w:jc w:val="left"/>
            </w:pPr>
            <w:r>
              <w:t xml:space="preserve">Especificação da regressão de Berzeg (Seção 9)</w:t>
            </w:r>
          </w:p>
        </w:tc>
        <w:tc>
          <w:tcPr/>
          <w:p>
            <w:pPr>
              <w:pStyle w:val="Compact"/>
              <w:jc w:val="left"/>
            </w:pPr>
            <w:r>
              <w:t xml:space="preserve">Mínimos quadrados ordinários, conjunto completo de</w:t>
            </w:r>
            <w:r>
              <w:t xml:space="preserve"> </w:t>
            </w:r>
            <w:r>
              <w:rPr>
                <w:i/>
                <w:iCs/>
              </w:rPr>
              <w:t xml:space="preserve">dummies</w:t>
            </w:r>
            <w:r>
              <w:t xml:space="preserve"> </w:t>
            </w:r>
            <w:r>
              <w:t xml:space="preserve">de setor, sem ponderação por emprego</w:t>
            </w:r>
          </w:p>
        </w:tc>
      </w:tr>
      <w:tr>
        <w:tc>
          <w:tcPr/>
          <w:p>
            <w:pPr>
              <w:pStyle w:val="Compact"/>
              <w:jc w:val="left"/>
            </w:pPr>
            <w:r>
              <w:t xml:space="preserve">Nível de significância de referência (Seção 9)</w:t>
            </w:r>
          </w:p>
        </w:tc>
        <w:tc>
          <w:tcPr/>
          <w:p>
            <w:pPr>
              <w:pStyle w:val="Compact"/>
              <w:jc w:val="left"/>
            </w:pPr>
            <w:r>
              <w:t xml:space="preserve">5%</w:t>
            </w:r>
          </w:p>
        </w:tc>
      </w:tr>
      <w:tr>
        <w:tc>
          <w:tcPr/>
          <w:p>
            <w:pPr>
              <w:pStyle w:val="Compact"/>
              <w:jc w:val="left"/>
            </w:pPr>
            <w:r>
              <w:t xml:space="preserve">Graus de liberdade da regressão de Berzeg</w:t>
            </w:r>
          </w:p>
        </w:tc>
        <w:tc>
          <w:tcPr/>
          <w:p>
            <w:pPr>
              <w:pStyle w:val="Compact"/>
              <w:jc w:val="left"/>
            </w:pPr>
            <m:oMath>
              <m:r>
                <m:t>n</m:t>
              </m:r>
              <m:r>
                <m:rPr>
                  <m:sty m:val="p"/>
                </m:rPr>
                <m:t>−</m:t>
              </m:r>
              <m:r>
                <m:t>k</m:t>
              </m:r>
              <m:r>
                <m:rPr>
                  <m:sty m:val="p"/>
                </m:rPr>
                <m:t>=</m:t>
              </m:r>
              <m:r>
                <m:t>15</m:t>
              </m:r>
              <m:r>
                <m:rPr>
                  <m:sty m:val="p"/>
                </m:rPr>
                <m:t>−</m:t>
              </m:r>
              <m:r>
                <m:t>3</m:t>
              </m:r>
              <m:r>
                <m:rPr>
                  <m:sty m:val="p"/>
                </m:rPr>
                <m:t>=</m:t>
              </m:r>
              <m:r>
                <m:t>12</m:t>
              </m:r>
            </m:oMath>
            <w:r>
              <w:t xml:space="preserve">​</w:t>
            </w:r>
          </w:p>
        </w:tc>
      </w:tr>
      <w:tr>
        <w:tc>
          <w:tcPr/>
          <w:p>
            <w:pPr>
              <w:pStyle w:val="Compact"/>
              <w:jc w:val="left"/>
            </w:pPr>
            <w:r>
              <w:t xml:space="preserve">Especificação do modelo de Knudsen (Seção 10)</w:t>
            </w:r>
          </w:p>
        </w:tc>
        <w:tc>
          <w:tcPr/>
          <w:p>
            <w:pPr>
              <w:pStyle w:val="Compact"/>
              <w:jc w:val="left"/>
            </w:pPr>
            <w:r>
              <w:t xml:space="preserve">Forma estática (equação 18 de Knudsen, 2000): GLM Poisson, ligação log,</w:t>
            </w:r>
            <w:r>
              <w:t xml:space="preserve"> </w:t>
            </w:r>
            <w:r>
              <w:rPr>
                <w:i/>
                <w:iCs/>
              </w:rPr>
              <w:t xml:space="preserve">offset</w:t>
            </w:r>
            <w:r>
              <w:t xml:space="preserve"> </w:t>
            </w:r>
            <m:oMath>
              <m:r>
                <m:rPr>
                  <m:sty m:val="p"/>
                </m:rPr>
                <m:t>ln</m:t>
              </m:r>
              <m:sSub>
                <m:e>
                  <m:r>
                    <m:t>E</m:t>
                  </m:r>
                </m:e>
                <m:sub>
                  <m:r>
                    <m:t>0</m:t>
                  </m:r>
                  <m:r>
                    <m:rPr>
                      <m:sty m:val="p"/>
                    </m:rPr>
                    <m:t>,</m:t>
                  </m:r>
                  <m:r>
                    <m:t>r</m:t>
                  </m:r>
                  <m:r>
                    <m:t>i</m:t>
                  </m:r>
                </m:sub>
              </m:sSub>
            </m:oMath>
            <w:r>
              <w:t xml:space="preserve">, categorias de referência BA (região) e AGR (setor)</w:t>
            </w:r>
          </w:p>
        </w:tc>
      </w:tr>
      <w:tr>
        <w:tc>
          <w:tcPr/>
          <w:p>
            <w:pPr>
              <w:pStyle w:val="Compact"/>
              <w:jc w:val="left"/>
            </w:pPr>
            <w:r>
              <w:t xml:space="preserve">Erros-padrão do modelo de Knudsen (Seção 10)</w:t>
            </w:r>
          </w:p>
        </w:tc>
        <w:tc>
          <w:tcPr/>
          <w:p>
            <w:pPr>
              <w:pStyle w:val="Compact"/>
              <w:jc w:val="left"/>
            </w:pPr>
            <w:r>
              <w:t xml:space="preserve">Máxima verossimilhança pura na Tabela 15; quase-Poisson (</w:t>
            </w:r>
            <m:oMath>
              <m:acc>
                <m:accPr>
                  <m:chr m:val="̂"/>
                </m:accPr>
                <m:e>
                  <m:r>
                    <m:t>ϕ</m:t>
                  </m:r>
                </m:e>
              </m:acc>
            </m:oMath>
            <w:r>
              <w:t xml:space="preserve"> </w:t>
            </w:r>
            <w:r>
              <w:t xml:space="preserve">= qui-quadrado de Pearson/g.l.) por padrão na implementação</w:t>
            </w:r>
          </w:p>
        </w:tc>
      </w:tr>
      <w:tr>
        <w:tc>
          <w:tcPr/>
          <w:p>
            <w:pPr>
              <w:pStyle w:val="Compact"/>
              <w:jc w:val="left"/>
            </w:pPr>
            <w:r>
              <w:t xml:space="preserve">Diagnóstico de dispersão (Seção 10)</w:t>
            </w:r>
          </w:p>
        </w:tc>
        <w:tc>
          <w:tcPr/>
          <w:p>
            <w:pPr>
              <w:pStyle w:val="Compact"/>
              <w:jc w:val="left"/>
            </w:pPr>
            <m:oMath>
              <m:acc>
                <m:accPr>
                  <m:chr m:val="̂"/>
                </m:accPr>
                <m:e>
                  <m:r>
                    <m:t>ϕ</m:t>
                  </m:r>
                </m:e>
              </m:acc>
              <m:r>
                <m:rPr>
                  <m:sty m:val="p"/>
                </m:rPr>
                <m:t>≫</m:t>
              </m:r>
              <m:r>
                <m:t>1</m:t>
              </m:r>
            </m:oMath>
            <w:r>
              <w:t xml:space="preserve"> </w:t>
            </w:r>
            <w:r>
              <w:t xml:space="preserve">indica sobredispersão; modelo binomial negativo como alternativa</w:t>
            </w:r>
          </w:p>
        </w:tc>
      </w:tr>
      <w:tr>
        <w:tc>
          <w:tcPr/>
          <w:p>
            <w:pPr>
              <w:pStyle w:val="Compact"/>
              <w:jc w:val="left"/>
            </w:pPr>
            <w:r>
              <w:t xml:space="preserve">Critério de vizinhança espacial (Seção 11)</w:t>
            </w:r>
          </w:p>
        </w:tc>
        <w:tc>
          <w:tcPr/>
          <w:p>
            <w:pPr>
              <w:pStyle w:val="Compact"/>
              <w:jc w:val="left"/>
            </w:pPr>
            <w:r>
              <w:t xml:space="preserve">Contiguidade de fronteira terrestre real entre as 5 unidades federativas, padronizada em linha</w:t>
            </w:r>
          </w:p>
        </w:tc>
      </w:tr>
      <w:tr>
        <w:tc>
          <w:tcPr/>
          <w:p>
            <w:pPr>
              <w:pStyle w:val="Compact"/>
              <w:jc w:val="left"/>
            </w:pPr>
            <w:r>
              <w:t xml:space="preserve">Base de cálculo do I de Moran (Seção 11)</w:t>
            </w:r>
          </w:p>
        </w:tc>
        <w:tc>
          <w:tcPr/>
          <w:p>
            <w:pPr>
              <w:pStyle w:val="Compact"/>
              <w:jc w:val="left"/>
            </w:pPr>
            <w:r>
              <w:t xml:space="preserve">Taxa competitiva</w:t>
            </w:r>
            <w:r>
              <w:t xml:space="preserve"> </w:t>
            </w:r>
            <m:oMath>
              <m:sSub>
                <m:e>
                  <m:r>
                    <m:t>c</m:t>
                  </m:r>
                </m:e>
                <m:sub>
                  <m:r>
                    <m:t>r</m:t>
                  </m:r>
                </m:sub>
              </m:sSub>
              <m:r>
                <m:rPr>
                  <m:sty m:val="p"/>
                </m:rPr>
                <m:t>=</m:t>
              </m:r>
              <m:r>
                <m:t>C</m:t>
              </m:r>
              <m:sSub>
                <m:e>
                  <m:r>
                    <m:t>E</m:t>
                  </m:r>
                </m:e>
                <m:sub>
                  <m:r>
                    <m:t>r</m:t>
                  </m:r>
                </m:sub>
              </m:sSub>
              <m:r>
                <m:rPr>
                  <m:sty m:val="p"/>
                </m:rPr>
                <m:t>/</m:t>
              </m:r>
              <m:sSub>
                <m:e>
                  <m:r>
                    <m:t>E</m:t>
                  </m:r>
                </m:e>
                <m:sub>
                  <m:r>
                    <m:t>0</m:t>
                  </m:r>
                  <m:r>
                    <m:rPr>
                      <m:sty m:val="p"/>
                    </m:rPr>
                    <m:t>,</m:t>
                  </m:r>
                  <m:r>
                    <m:t>r</m:t>
                  </m:r>
                  <m:r>
                    <m:rPr>
                      <m:sty m:val="p"/>
                    </m:rPr>
                    <m:t>•</m:t>
                  </m:r>
                </m:sub>
              </m:sSub>
            </m:oMath>
            <w:r>
              <w:t xml:space="preserve">, nunca o emprego em nível</w:t>
            </w:r>
          </w:p>
        </w:tc>
      </w:tr>
    </w:tbl>
    <w:bookmarkEnd w:id="41"/>
    <w:bookmarkStart w:id="42" w:name="limitações"/>
    <w:p>
      <w:pPr>
        <w:pStyle w:val="Heading2"/>
      </w:pPr>
      <w:r>
        <w:t xml:space="preserve">14 LIMITAÇÕES</w:t>
      </w:r>
    </w:p>
    <w:p>
      <w:pPr>
        <w:pStyle w:val="FirstParagraph"/>
      </w:pPr>
      <w:r>
        <w:rPr>
          <w:b/>
          <w:bCs/>
        </w:rPr>
        <w:t xml:space="preserve">Escala do exemplo numérico.</w:t>
      </w:r>
      <w:r>
        <w:t xml:space="preserve"> </w:t>
      </w:r>
      <w:r>
        <w:t xml:space="preserve">Cinco regiões e três setores foram escolhidos exclusivamente por clareza expositiva — o quadro é pequeno demais para qualquer inferência estatística com poder adequado. Os testes</w:t>
      </w:r>
      <w:r>
        <w:t xml:space="preserve"> </w:t>
      </w:r>
      <w:r>
        <w:rPr>
          <w:i/>
          <w:iCs/>
        </w:rPr>
        <w:t xml:space="preserve">t</w:t>
      </w:r>
      <w:r>
        <w:t xml:space="preserve"> </w:t>
      </w:r>
      <w:r>
        <w:t xml:space="preserve">e de Wald das Seções 9 e 10, e o I de Moran da Seção 11, devem ser lidos como demonstrações do cálculo, não como evidência substantiva; com</w:t>
      </w:r>
      <w:r>
        <w:t xml:space="preserve"> </w:t>
      </w:r>
      <m:oMath>
        <m:r>
          <m:t>n</m:t>
        </m:r>
        <m:r>
          <m:rPr>
            <m:sty m:val="p"/>
          </m:rPr>
          <m:t>=</m:t>
        </m:r>
        <m:r>
          <m:t>5</m:t>
        </m:r>
      </m:oMath>
      <w:r>
        <w:t xml:space="preserve">, o I de Moran em particular tem variância amostral elevada e não deve ser interpretado como teste confiável de dependência espacial.</w:t>
      </w:r>
    </w:p>
    <w:p>
      <w:pPr>
        <w:pStyle w:val="BodyText"/>
      </w:pPr>
      <w:r>
        <w:rPr>
          <w:b/>
          <w:bCs/>
        </w:rPr>
        <w:t xml:space="preserve">Dados inteiramente sintéticos.</w:t>
      </w:r>
      <w:r>
        <w:t xml:space="preserve"> </w:t>
      </w:r>
      <w:r>
        <w:t xml:space="preserve">Nenhum valor de emprego neste documento corresponde a estatística oficial de Piauí, Ceará, Maranhão, Bahia ou Pernambuco — os nomes das unidades federativas foram usados apenas para ancorar a matriz de contiguidade espacial (Seção 11) em fronteiras reais, não para descrever essas economias.</w:t>
      </w:r>
    </w:p>
    <w:p>
      <w:pPr>
        <w:pStyle w:val="BodyText"/>
      </w:pPr>
      <w:r>
        <w:rPr>
          <w:b/>
          <w:bCs/>
        </w:rPr>
        <w:t xml:space="preserve">Trajetória do exemplo dinâmico é arbitrária.</w:t>
      </w:r>
      <w:r>
        <w:t xml:space="preserve"> </w:t>
      </w:r>
      <w:r>
        <w:t xml:space="preserve">A divisão em dois subperíodos e a distribuição de crescimento setorial entre eles (Seção 8) foram escolhidas para exibir divergência entre a forma dinâmica e a estática, não estimadas a partir de nenhum processo real; a magnitude da divergência em uma aplicação empírica dependerá inteiramente da volatilidade e do comprimento do período analisado, como já advertiam Barff e Knight (1988).</w:t>
      </w:r>
    </w:p>
    <w:p>
      <w:pPr>
        <w:pStyle w:val="BodyText"/>
      </w:pPr>
      <w:r>
        <w:rPr>
          <w:b/>
          <w:bCs/>
        </w:rPr>
        <w:t xml:space="preserve">Extensão de Arcelus II não formalizada numericamente.</w:t>
      </w:r>
      <w:r>
        <w:t xml:space="preserve"> </w:t>
      </w:r>
      <w:r>
        <w:t xml:space="preserve">O segundo modelo de Arcelus (1984), com efeitos de crescimento e composição regionais endógenos, é descrito apenas conceitualmente na Seção 7.3: a fonte primária do artigo original não foi consultada diretamente para esta nota, e uma reconstrução algébrica não verificada correria o risco de atribuir a Arcelus uma formulação que não é exatamente a sua. Recomenda-se, antes de qualquer uso formal dessa extensão, a consulta direta a Arcelus (1984),</w:t>
      </w:r>
      <w:r>
        <w:t xml:space="preserve"> </w:t>
      </w:r>
      <w:r>
        <w:rPr>
          <w:i/>
          <w:iCs/>
        </w:rPr>
        <w:t xml:space="preserve">Growth and Change</w:t>
      </w:r>
      <w:r>
        <w:t xml:space="preserve"> </w:t>
      </w:r>
      <w:r>
        <w:t xml:space="preserve">15(1), pp. 3–8.</w:t>
      </w:r>
    </w:p>
    <w:p>
      <w:pPr>
        <w:pStyle w:val="BodyText"/>
      </w:pPr>
      <w:r>
        <w:rPr>
          <w:b/>
          <w:bCs/>
        </w:rPr>
        <w:t xml:space="preserve">Adaptações ao modelo de Knudsen (2000).</w:t>
      </w:r>
      <w:r>
        <w:t xml:space="preserve"> </w:t>
      </w:r>
      <w:r>
        <w:t xml:space="preserve">A Seção 10 foi conferida com o texto integral do artigo, e as equações que ela cita (4 a 6, 7 a 19 e 20 a 24) seguem a numeração do original. Três elementos não vêm do artigo, mas da implementação de referência do projeto: os erros-padrão quase-Poisson usados por padrão, a recentragem de</w:t>
      </w:r>
      <w:r>
        <w:t xml:space="preserve"> </w:t>
      </w:r>
      <m:oMath>
        <m:sSub>
          <m:e>
            <m:r>
              <m:t>D</m:t>
            </m:r>
          </m:e>
          <m:sub>
            <m:r>
              <m:t>r</m:t>
            </m:r>
          </m:sub>
        </m:sSub>
      </m:oMath>
      <w:r>
        <w:t xml:space="preserve"> </w:t>
      </w:r>
      <w:r>
        <w:t xml:space="preserve">para média ponderada nula e a conversão</w:t>
      </w:r>
      <w:r>
        <w:t xml:space="preserve"> </w:t>
      </w:r>
      <m:oMath>
        <m:r>
          <m:rPr>
            <m:sty m:val="p"/>
          </m:rPr>
          <m:t>(</m:t>
        </m:r>
        <m:sSup>
          <m:e>
            <m:r>
              <m:t>e</m:t>
            </m:r>
          </m:e>
          <m:sup>
            <m:sSub>
              <m:e>
                <m:r>
                  <m:t>D</m:t>
                </m:r>
              </m:e>
              <m:sub>
                <m:r>
                  <m:t>r</m:t>
                </m:r>
              </m:sub>
            </m:sSub>
          </m:sup>
        </m:sSup>
        <m:r>
          <m:rPr>
            <m:sty m:val="p"/>
          </m:rPr>
          <m:t>−</m:t>
        </m:r>
        <m:r>
          <m:t>1</m:t>
        </m:r>
        <m:r>
          <m:rPr>
            <m:sty m:val="p"/>
          </m:rPr>
          <m:t>)</m:t>
        </m:r>
        <m:r>
          <m:t> </m:t>
        </m:r>
        <m:sSub>
          <m:e>
            <m:r>
              <m:t>W</m:t>
            </m:r>
          </m:e>
          <m:sub>
            <m:r>
              <m:t>r</m:t>
            </m:r>
          </m:sub>
        </m:sSub>
      </m:oMath>
      <w:r>
        <w:t xml:space="preserve"> </w:t>
      </w:r>
      <w:r>
        <w:t xml:space="preserve">em empregos. O artigo também não discute sobredispersão; a menção ao modelo binomial negativo vem de Flowerdew e Lovett (1989). A relação entre os parâmetros das Formas I e II segue a leitura</w:t>
      </w:r>
      <w:r>
        <w:t xml:space="preserve"> </w:t>
      </w:r>
      <m:oMath>
        <m:sSub>
          <m:e>
            <m:r>
              <m:t>B</m:t>
            </m:r>
          </m:e>
          <m:sub>
            <m:r>
              <m:t>i</m:t>
            </m:r>
          </m:sub>
        </m:sSub>
        <m:r>
          <m:rPr>
            <m:sty m:val="p"/>
          </m:rPr>
          <m:t>=</m:t>
        </m:r>
        <m:sSup>
          <m:e>
            <m:r>
              <m:t>e</m:t>
            </m:r>
          </m:e>
          <m:sup>
            <m:sSub>
              <m:e>
                <m:r>
                  <m:t>O</m:t>
                </m:r>
              </m:e>
              <m:sub>
                <m:r>
                  <m:t>i</m:t>
                </m:r>
              </m:sub>
            </m:sSub>
          </m:sup>
        </m:sSup>
        <m:r>
          <m:rPr>
            <m:sty m:val="p"/>
          </m:rPr>
          <m:t>−</m:t>
        </m:r>
        <m:r>
          <m:t>1</m:t>
        </m:r>
      </m:oMath>
      <w:r>
        <w:t xml:space="preserve">, que difere da forma impressa no artigo, e o próprio autor não a encontrou com precisão nos dados (Seção 10.2). Por fim, o modelo misto com variável exógena contínua (equações 20 a 24) é apenas descrito, sem implementação nem exemplo numérico, e a forma dinâmica (equação 19) é formalizada mas não aplicada ao exemplo, cujas trajetórias de subperíodo da Seção 8 são hipotéticas.</w:t>
      </w:r>
    </w:p>
    <w:p>
      <w:pPr>
        <w:pStyle w:val="BodyText"/>
      </w:pPr>
      <w:r>
        <w:rPr>
          <w:b/>
          <w:bCs/>
        </w:rPr>
        <w:t xml:space="preserve">Matriz de contiguidade reduzida.</w:t>
      </w:r>
      <w:r>
        <w:t xml:space="preserve"> </w:t>
      </w:r>
      <w:r>
        <w:t xml:space="preserve">A malha espacial da Seção 11 usa apenas cinco das 26 unidades federativas mais o Distrito Federal — um subconjunto ilustrativo, não a matriz de contiguidade completa da federação brasileira (que integra o código computacional do projeto mais amplo do qual esta nota deriva). Padrões de dependência espacial identificados em um subconjunto de cinco regiões não são generalizáveis à matriz completa.</w:t>
      </w:r>
    </w:p>
    <w:p>
      <w:pPr>
        <w:pStyle w:val="BodyText"/>
      </w:pPr>
      <w:r>
        <w:rPr>
          <w:b/>
          <w:bCs/>
        </w:rPr>
        <w:t xml:space="preserve">Sensibilidade a escolha não neutra de pesos.</w:t>
      </w:r>
      <w:r>
        <w:t xml:space="preserve"> </w:t>
      </w:r>
      <w:r>
        <w:t xml:space="preserve">Como demonstrado na Seção 5 e na Seção 6.3, tanto o efeito competitivo clássico quanto — de forma mais acentuada, e inclusive com inversão de sinal — o efeito de alocação de Esteban-Marquillas são sensíveis à escolha do ano de ponderação. Essa sensibilidade é uma propriedade do método, não um artefato deste exemplo específico, e já havia sido documentada empiricamente por Herzog e Olsen (1977) em dados reais das regiões do U.S. Bureau of Economic Analysis.</w:t>
      </w:r>
    </w:p>
    <w:bookmarkEnd w:id="42"/>
    <w:bookmarkStart w:id="43" w:name="referências"/>
    <w:p>
      <w:pPr>
        <w:pStyle w:val="Heading2"/>
      </w:pPr>
      <w:r>
        <w:t xml:space="preserve">REFERÊNCIAS</w:t>
      </w:r>
    </w:p>
    <w:p>
      <w:pPr>
        <w:pStyle w:val="FirstParagraph"/>
      </w:pPr>
      <w:r>
        <w:t xml:space="preserve">ARCELUS, Francisco J. An extension of shift-share analysis.</w:t>
      </w:r>
      <w:r>
        <w:t xml:space="preserve"> </w:t>
      </w:r>
      <w:r>
        <w:rPr>
          <w:b/>
          <w:bCs/>
        </w:rPr>
        <w:t xml:space="preserve">Growth and Change</w:t>
      </w:r>
      <w:r>
        <w:t xml:space="preserve">, v. 15, n. 1, p. 3-8, 1984.</w:t>
      </w:r>
    </w:p>
    <w:p>
      <w:pPr>
        <w:pStyle w:val="BodyText"/>
      </w:pPr>
      <w:r>
        <w:t xml:space="preserve">BARFF, Richard A.; KNIGHT, Prentice L. Dynamic shift-share analysis.</w:t>
      </w:r>
      <w:r>
        <w:t xml:space="preserve"> </w:t>
      </w:r>
      <w:r>
        <w:rPr>
          <w:b/>
          <w:bCs/>
        </w:rPr>
        <w:t xml:space="preserve">Growth and Change</w:t>
      </w:r>
      <w:r>
        <w:t xml:space="preserve">, v. 19, n. 2, p. 1-10, 1988.</w:t>
      </w:r>
    </w:p>
    <w:p>
      <w:pPr>
        <w:pStyle w:val="BodyText"/>
      </w:pPr>
      <w:r>
        <w:t xml:space="preserve">BERZEG, Korkut. The empirical content of shift-share analysis.</w:t>
      </w:r>
      <w:r>
        <w:t xml:space="preserve"> </w:t>
      </w:r>
      <w:r>
        <w:rPr>
          <w:b/>
          <w:bCs/>
        </w:rPr>
        <w:t xml:space="preserve">Journal of Regional Science</w:t>
      </w:r>
      <w:r>
        <w:t xml:space="preserve">, v. 18, n. 3, p. 463-469, 1978.</w:t>
      </w:r>
    </w:p>
    <w:p>
      <w:pPr>
        <w:pStyle w:val="BodyText"/>
      </w:pPr>
      <w:r>
        <w:t xml:space="preserve">BERZEG, Korkut. A note on statistical approaches to shift-share analysis.</w:t>
      </w:r>
      <w:r>
        <w:t xml:space="preserve"> </w:t>
      </w:r>
      <w:r>
        <w:rPr>
          <w:b/>
          <w:bCs/>
        </w:rPr>
        <w:t xml:space="preserve">Journal of Regional Science</w:t>
      </w:r>
      <w:r>
        <w:t xml:space="preserve">, v. 24, n. 2, p. 277-285, 1984.</w:t>
      </w:r>
    </w:p>
    <w:p>
      <w:pPr>
        <w:pStyle w:val="BodyText"/>
      </w:pPr>
      <w:r>
        <w:t xml:space="preserve">DUNN, Edgar S. A statistical and analytical technique for regional analysis.</w:t>
      </w:r>
      <w:r>
        <w:t xml:space="preserve"> </w:t>
      </w:r>
      <w:r>
        <w:rPr>
          <w:b/>
          <w:bCs/>
        </w:rPr>
        <w:t xml:space="preserve">Papers of the Regional Science Association</w:t>
      </w:r>
      <w:r>
        <w:t xml:space="preserve">, v. 6, p. 97-112, 1960.</w:t>
      </w:r>
    </w:p>
    <w:p>
      <w:pPr>
        <w:pStyle w:val="BodyText"/>
      </w:pPr>
      <w:r>
        <w:t xml:space="preserve">ESTEBAN-MARQUILLAS, Joan M. A reinterpretation of shift-share analysis.</w:t>
      </w:r>
      <w:r>
        <w:t xml:space="preserve"> </w:t>
      </w:r>
      <w:r>
        <w:rPr>
          <w:b/>
          <w:bCs/>
        </w:rPr>
        <w:t xml:space="preserve">Regional and Urban Economics</w:t>
      </w:r>
      <w:r>
        <w:t xml:space="preserve">, v. 2, n. 3, p. 249-255, 1972.</w:t>
      </w:r>
    </w:p>
    <w:p>
      <w:pPr>
        <w:pStyle w:val="BodyText"/>
      </w:pPr>
      <w:r>
        <w:t xml:space="preserve">FLOWERDEW, Robin; LOVETT, Andrew. Compound and generalized Poisson models for interurban migration. In: CONGDON, Peter; BATEY, Peter (org.).</w:t>
      </w:r>
      <w:r>
        <w:t xml:space="preserve"> </w:t>
      </w:r>
      <w:r>
        <w:rPr>
          <w:b/>
          <w:bCs/>
        </w:rPr>
        <w:t xml:space="preserve">Advances in Regional Demography</w:t>
      </w:r>
      <w:r>
        <w:t xml:space="preserve">. London: Belhaven Press, 1989. p. 246-256.</w:t>
      </w:r>
    </w:p>
    <w:p>
      <w:pPr>
        <w:pStyle w:val="BodyText"/>
      </w:pPr>
      <w:r>
        <w:t xml:space="preserve">FUCHS, Victor R. Changes in the location of US manufacturing since 1929.</w:t>
      </w:r>
      <w:r>
        <w:t xml:space="preserve"> </w:t>
      </w:r>
      <w:r>
        <w:rPr>
          <w:b/>
          <w:bCs/>
        </w:rPr>
        <w:t xml:space="preserve">Journal of Regional Science</w:t>
      </w:r>
      <w:r>
        <w:t xml:space="preserve">, v. 1, n. 2, p. 1-17, 1959.</w:t>
      </w:r>
    </w:p>
    <w:p>
      <w:pPr>
        <w:pStyle w:val="BodyText"/>
      </w:pPr>
      <w:r>
        <w:t xml:space="preserve">HAYNES, Kingsley E.; MACHUNDA, Z. B. Considerations in extending shift-share analysis: note.</w:t>
      </w:r>
      <w:r>
        <w:t xml:space="preserve"> </w:t>
      </w:r>
      <w:r>
        <w:rPr>
          <w:b/>
          <w:bCs/>
        </w:rPr>
        <w:t xml:space="preserve">Growth and Change</w:t>
      </w:r>
      <w:r>
        <w:t xml:space="preserve">, v. 18, n. 2, p. 69-78, 1987.</w:t>
      </w:r>
    </w:p>
    <w:p>
      <w:pPr>
        <w:pStyle w:val="BodyText"/>
      </w:pPr>
      <w:r>
        <w:t xml:space="preserve">HERZOG, Henry W.; OLSEN, Richard J. Shift-share analysis revisited: the allocation effect and the stability of regional structure.</w:t>
      </w:r>
      <w:r>
        <w:t xml:space="preserve"> </w:t>
      </w:r>
      <w:r>
        <w:rPr>
          <w:b/>
          <w:bCs/>
        </w:rPr>
        <w:t xml:space="preserve">Journal of Regional Science</w:t>
      </w:r>
      <w:r>
        <w:t xml:space="preserve">, v. 17, n. 3, p. 441-454, 1977.</w:t>
      </w:r>
    </w:p>
    <w:p>
      <w:pPr>
        <w:pStyle w:val="BodyText"/>
      </w:pPr>
      <w:r>
        <w:t xml:space="preserve">HOUSTON, David B. The shift and share analysis of regional growth: a critique.</w:t>
      </w:r>
      <w:r>
        <w:t xml:space="preserve"> </w:t>
      </w:r>
      <w:r>
        <w:rPr>
          <w:b/>
          <w:bCs/>
        </w:rPr>
        <w:t xml:space="preserve">Southern Economic Journal</w:t>
      </w:r>
      <w:r>
        <w:t xml:space="preserve">, v. 33, p. 577-581, 1967.</w:t>
      </w:r>
    </w:p>
    <w:p>
      <w:pPr>
        <w:pStyle w:val="BodyText"/>
      </w:pPr>
      <w:r>
        <w:t xml:space="preserve">KEIL, Stanley R. On the value of homotheticity in the shift-share framework.</w:t>
      </w:r>
      <w:r>
        <w:t xml:space="preserve"> </w:t>
      </w:r>
      <w:r>
        <w:rPr>
          <w:b/>
          <w:bCs/>
        </w:rPr>
        <w:t xml:space="preserve">Growth and Change</w:t>
      </w:r>
      <w:r>
        <w:t xml:space="preserve">, v. 23, n. 4, p. 469-493, 1992.</w:t>
      </w:r>
    </w:p>
    <w:p>
      <w:pPr>
        <w:pStyle w:val="BodyText"/>
      </w:pPr>
      <w:r>
        <w:t xml:space="preserve">KNUDSEN, Daniel C. Generalizing Poisson regression: including a priori information using the method of offsets.</w:t>
      </w:r>
      <w:r>
        <w:t xml:space="preserve"> </w:t>
      </w:r>
      <w:r>
        <w:rPr>
          <w:b/>
          <w:bCs/>
        </w:rPr>
        <w:t xml:space="preserve">The Professional Geographer</w:t>
      </w:r>
      <w:r>
        <w:t xml:space="preserve">, v. 44, p. 202-208, 1992.</w:t>
      </w:r>
    </w:p>
    <w:p>
      <w:pPr>
        <w:pStyle w:val="BodyText"/>
      </w:pPr>
      <w:r>
        <w:t xml:space="preserve">KNUDSEN, Daniel C. Shift-share analysis: further examination of models for the description of economic change.</w:t>
      </w:r>
      <w:r>
        <w:t xml:space="preserve"> </w:t>
      </w:r>
      <w:r>
        <w:rPr>
          <w:b/>
          <w:bCs/>
        </w:rPr>
        <w:t xml:space="preserve">Socio-Economic Planning Sciences</w:t>
      </w:r>
      <w:r>
        <w:t xml:space="preserve">, v. 34, n. 3, p. 177-198, 2000.</w:t>
      </w:r>
    </w:p>
    <w:p>
      <w:pPr>
        <w:pStyle w:val="BodyText"/>
      </w:pPr>
      <w:r>
        <w:t xml:space="preserve">KNUDSEN, Daniel C.; BARFF, Richard. Shift-share analysis as a linear model.</w:t>
      </w:r>
      <w:r>
        <w:t xml:space="preserve"> </w:t>
      </w:r>
      <w:r>
        <w:rPr>
          <w:b/>
          <w:bCs/>
        </w:rPr>
        <w:t xml:space="preserve">Environment and Planning A</w:t>
      </w:r>
      <w:r>
        <w:t xml:space="preserve">, v. 23, n. 3, p. 421-431, 1991.</w:t>
      </w:r>
    </w:p>
    <w:p>
      <w:pPr>
        <w:pStyle w:val="BodyText"/>
      </w:pPr>
      <w:r>
        <w:t xml:space="preserve">KULLBACK, Solomon; LEIBLER, Richard A. On information and sufficiency.</w:t>
      </w:r>
      <w:r>
        <w:t xml:space="preserve"> </w:t>
      </w:r>
      <w:r>
        <w:rPr>
          <w:b/>
          <w:bCs/>
        </w:rPr>
        <w:t xml:space="preserve">The Annals of Mathematical Statistics</w:t>
      </w:r>
      <w:r>
        <w:t xml:space="preserve">, v. 22, n. 1, p. 79-86, 1951.</w:t>
      </w:r>
    </w:p>
    <w:p>
      <w:pPr>
        <w:pStyle w:val="BodyText"/>
      </w:pPr>
      <w:r>
        <w:t xml:space="preserve">LOVETT, Andrew; FLOWERDEW, Robin. Analysis of count data using Poisson regression.</w:t>
      </w:r>
      <w:r>
        <w:t xml:space="preserve"> </w:t>
      </w:r>
      <w:r>
        <w:rPr>
          <w:b/>
          <w:bCs/>
        </w:rPr>
        <w:t xml:space="preserve">Professional Geographer</w:t>
      </w:r>
      <w:r>
        <w:t xml:space="preserve">, v. 41, n. 2, p. 190-198, 1989.</w:t>
      </w:r>
    </w:p>
    <w:p>
      <w:pPr>
        <w:pStyle w:val="BodyText"/>
      </w:pPr>
      <w:r>
        <w:t xml:space="preserve">LOVERIDGE, Scott; SELTING, Anne C. A review and comparison of shift-share identities.</w:t>
      </w:r>
      <w:r>
        <w:t xml:space="preserve"> </w:t>
      </w:r>
      <w:r>
        <w:rPr>
          <w:b/>
          <w:bCs/>
        </w:rPr>
        <w:t xml:space="preserve">International Regional Science Review</w:t>
      </w:r>
      <w:r>
        <w:t xml:space="preserve">, v. 21, n. 1, p. 37-58, 1998.</w:t>
      </w:r>
    </w:p>
    <w:p>
      <w:pPr>
        <w:pStyle w:val="BodyText"/>
      </w:pPr>
      <w:r>
        <w:t xml:space="preserve">MCCULLAGH, Peter; NELDER, John A.</w:t>
      </w:r>
      <w:r>
        <w:t xml:space="preserve"> </w:t>
      </w:r>
      <w:r>
        <w:rPr>
          <w:b/>
          <w:bCs/>
        </w:rPr>
        <w:t xml:space="preserve">Generalized linear models</w:t>
      </w:r>
      <w:r>
        <w:t xml:space="preserve">. London: Chapman and Hall, 1983.</w:t>
      </w:r>
    </w:p>
    <w:p>
      <w:pPr>
        <w:pStyle w:val="BodyText"/>
      </w:pPr>
      <w:r>
        <w:t xml:space="preserve">NAZARA, Suahasil; HEWINGS, Geoffrey J. D. Spatial structure and taxonomy of decomposition in shift-share analysis.</w:t>
      </w:r>
      <w:r>
        <w:t xml:space="preserve"> </w:t>
      </w:r>
      <w:r>
        <w:rPr>
          <w:b/>
          <w:bCs/>
        </w:rPr>
        <w:t xml:space="preserve">Growth and Change</w:t>
      </w:r>
      <w:r>
        <w:t xml:space="preserve">, v. 35, n. 4, p. 476-490, 2004.</w:t>
      </w:r>
    </w:p>
    <w:p>
      <w:pPr>
        <w:pStyle w:val="BodyText"/>
      </w:pPr>
      <w:r>
        <w:t xml:space="preserve">PERLOFF, Harvey S.; DUNN, Edgar S.; LAMPARD, Eric E.; MUTH, Richard F.</w:t>
      </w:r>
      <w:r>
        <w:t xml:space="preserve"> </w:t>
      </w:r>
      <w:r>
        <w:rPr>
          <w:b/>
          <w:bCs/>
        </w:rPr>
        <w:t xml:space="preserve">Regions, resources, and economic growth</w:t>
      </w:r>
      <w:r>
        <w:t xml:space="preserve">. Baltimore: Johns Hopkins University Press, 1960.</w:t>
      </w:r>
    </w:p>
    <w:p>
      <w:pPr>
        <w:pStyle w:val="BodyText"/>
      </w:pPr>
      <w:r>
        <w:t xml:space="preserve">ROSENFELD, Stephen S.</w:t>
      </w:r>
      <w:r>
        <w:t xml:space="preserve"> </w:t>
      </w:r>
      <w:r>
        <w:rPr>
          <w:i/>
          <w:iCs/>
        </w:rPr>
        <w:t xml:space="preserve">(referência a ser completada conforme a fonte primária)</w:t>
      </w:r>
      <w:r>
        <w:t xml:space="preserve">.</w:t>
      </w:r>
    </w:p>
    <w:p>
      <w:pPr>
        <w:pStyle w:val="BodyText"/>
      </w:pPr>
      <w:r>
        <w:t xml:space="preserve">SELTING, Anne C.; LOVERIDGE, Scott.</w:t>
      </w:r>
      <w:r>
        <w:t xml:space="preserve"> </w:t>
      </w:r>
      <w:r>
        <w:rPr>
          <w:b/>
          <w:bCs/>
        </w:rPr>
        <w:t xml:space="preserve">A summary of the literature on shift-share analysis</w:t>
      </w:r>
      <w:r>
        <w:t xml:space="preserve">. Regional Research Institute, West Virginia University, 1992.</w:t>
      </w:r>
    </w:p>
    <w:p>
      <w:r>
        <w:pict>
          <v:rect style="width:0;height:1.5pt" o:hralign="center" o:hrstd="t" o:hr="t"/>
        </w:pict>
      </w:r>
    </w:p>
    <w:p>
      <w:pPr>
        <w:pStyle w:val="FirstParagraph"/>
      </w:pPr>
      <w:r>
        <w:rPr>
          <w:i/>
          <w:iCs/>
        </w:rPr>
        <w:t xml:space="preserve">Nota de transparência: este documento formaliza a extensão de Arcelus (1984) apenas para os componentes de crescimento nacional e composição setorial (Equação 5, Seção 7); o segundo modelo do mesmo autor (Arcelus II, com efeitos regionais endógenos) não foi verificado contra a fonte primária e é descrito apenas conceitualmente. A Seção 10 foi revisada com base no texto integral de Knudsen (2000): as equações do artigo são citadas pela numeração original, e as adaptações da implementação de referência (erros quase-Poisson, recentragem ponderada de</w:t>
      </w:r>
      <w:r>
        <w:rPr>
          <w:i/>
          <w:iCs/>
        </w:rPr>
        <w:t xml:space="preserve"> </w:t>
      </w:r>
      <m:oMath>
        <m:sSub>
          <m:e>
            <m:r>
              <m:t>D</m:t>
            </m:r>
          </m:e>
          <m:sub>
            <m:r>
              <m:t>r</m:t>
            </m:r>
          </m:sub>
        </m:sSub>
      </m:oMath>
      <w:r>
        <w:rPr>
          <w:i/>
          <w:iCs/>
        </w:rPr>
        <w:t xml:space="preserve"> </w:t>
      </w:r>
      <w:r>
        <w:rPr>
          <w:i/>
          <w:iCs/>
        </w:rPr>
        <w:t xml:space="preserve">e conversão em empregos) estão identificadas como tais na Seção 10.2 e na Seção 14. A referência a Rosenfeld (1959), citada na literatura secundária como um dos primeiros a apontar o defeito do efeito competitivo clássico, não pôde ser completada com periódico, volume e página exatos e é sinalizada como incompleta na lista de referências, em vez de inventada. Todos os valores numéricos das Tabelas 1 a 16 são sintéticos e devem ser validados como tal antes de qualquer circulação do documento; as medidas de ajuste citadas na Seção 10.1 são as reportadas por Knudsen (2000) para dados reais dos Estados Unidos.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2026-10-21T11:27:03Z</dcterms:created>
  <dcterms:modified xsi:type="dcterms:W3CDTF">2026-10-21T11:27:03Z</dcterms:modified>
</cp:coreProperties>
</file>

<file path=docProps/custom.xml><?xml version="1.0" encoding="utf-8"?>
<Properties xmlns="http://schemas.openxmlformats.org/officeDocument/2006/custom-properties" xmlns:vt="http://schemas.openxmlformats.org/officeDocument/2006/docPropsVTypes"/>
</file>