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ype="page"/>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Appendix B: AI Business Cases Obtained via CPRA Request</w:t>
      </w:r>
    </w:p>
    <w:p>
      <w:pPr>
        <w:spacing w:after="120" w:before="80"/>
      </w:pPr>
      <w:r>
        <w:rPr>
          <w:rFonts w:ascii="Arial" w:cs="Arial" w:eastAsia="Arial" w:hAnsi="Arial"/>
          <w:sz w:val="22"/>
          <w:szCs w:val="22"/>
        </w:rPr>
        <w:t xml:space="preserve">The following 50 AI business cases were obtained from Los Angeles County through a California Public Records Act (CPRA) request. Each document is a formal business case submitted by a county department to the </w:t>
      </w:r>
      <w:r>
        <w:rPr>
          <w:rFonts w:ascii="Arial" w:cs="Arial" w:eastAsia="Arial" w:hAnsi="Arial"/>
          <w:b/>
          <w:bCs/>
          <w:sz w:val="22"/>
          <w:szCs w:val="22"/>
        </w:rPr>
        <w:t xml:space="preserve">GenAI Governance Board</w:t>
      </w:r>
      <w:r>
        <w:rPr>
          <w:rFonts w:ascii="Arial" w:cs="Arial" w:eastAsia="Arial" w:hAnsi="Arial"/>
          <w:sz w:val="22"/>
          <w:szCs w:val="22"/>
        </w:rPr>
        <w:t xml:space="preserve"> (chaired by CIO Peter Loo) as part of the review process established under Technology Directive TD 24-04. The cases represent </w:t>
      </w:r>
      <w:r>
        <w:rPr>
          <w:rFonts w:ascii="Arial" w:cs="Arial" w:eastAsia="Arial" w:hAnsi="Arial"/>
          <w:b/>
          <w:bCs/>
          <w:sz w:val="22"/>
          <w:szCs w:val="22"/>
        </w:rPr>
        <w:t xml:space="preserve">low-risk AI deployments</w:t>
      </w:r>
      <w:r>
        <w:rPr>
          <w:rFonts w:ascii="Arial" w:cs="Arial" w:eastAsia="Arial" w:hAnsi="Arial"/>
          <w:sz w:val="22"/>
          <w:szCs w:val="22"/>
        </w:rPr>
        <w:t xml:space="preserve"> that received approval without escalation to a full algorithmic impact assessment. They are catalogued here as primary source evidence of the scope and character of AI adoption across county departments as of 2025–2026.</w:t>
      </w:r>
    </w:p>
    <w:p>
      <w:pPr>
        <w:spacing w:after="120" w:before="80"/>
      </w:pPr>
      <w:r>
        <w:rPr>
          <w:rFonts w:ascii="Arial" w:cs="Arial" w:eastAsia="Arial" w:hAnsi="Arial"/>
          <w:sz w:val="22"/>
          <w:szCs w:val="22"/>
        </w:rPr>
        <w:t xml:space="preserve">Departments are sorted alphabetically. Where multiple cases exist for one department, each system is listed separately. </w:t>
      </w:r>
      <w:r>
        <w:rPr>
          <w:rFonts w:ascii="Arial" w:cs="Arial" w:eastAsia="Arial" w:hAnsi="Arial"/>
          <w:b/>
          <w:bCs/>
          <w:sz w:val="22"/>
          <w:szCs w:val="22"/>
        </w:rPr>
        <w:t xml:space="preserve">DCFS</w:t>
      </w:r>
      <w:r>
        <w:rPr>
          <w:rFonts w:ascii="Arial" w:cs="Arial" w:eastAsia="Arial" w:hAnsi="Arial"/>
          <w:sz w:val="22"/>
          <w:szCs w:val="22"/>
        </w:rPr>
        <w:t xml:space="preserve"> = Dept. of Children and Family Services; </w:t>
      </w:r>
      <w:r>
        <w:rPr>
          <w:rFonts w:ascii="Arial" w:cs="Arial" w:eastAsia="Arial" w:hAnsi="Arial"/>
          <w:b/>
          <w:bCs/>
          <w:sz w:val="22"/>
          <w:szCs w:val="22"/>
        </w:rPr>
        <w:t xml:space="preserve">DPSS</w:t>
      </w:r>
      <w:r>
        <w:rPr>
          <w:rFonts w:ascii="Arial" w:cs="Arial" w:eastAsia="Arial" w:hAnsi="Arial"/>
          <w:sz w:val="22"/>
          <w:szCs w:val="22"/>
        </w:rPr>
        <w:t xml:space="preserve"> = Dept. of Public Social Services; </w:t>
      </w:r>
      <w:r>
        <w:rPr>
          <w:rFonts w:ascii="Arial" w:cs="Arial" w:eastAsia="Arial" w:hAnsi="Arial"/>
          <w:b/>
          <w:bCs/>
          <w:sz w:val="22"/>
          <w:szCs w:val="22"/>
        </w:rPr>
        <w:t xml:space="preserve">JCOD</w:t>
      </w:r>
      <w:r>
        <w:rPr>
          <w:rFonts w:ascii="Arial" w:cs="Arial" w:eastAsia="Arial" w:hAnsi="Arial"/>
          <w:sz w:val="22"/>
          <w:szCs w:val="22"/>
        </w:rPr>
        <w:t xml:space="preserve"> = Justice, Care and Opportunities Dept.; </w:t>
      </w:r>
      <w:r>
        <w:rPr>
          <w:rFonts w:ascii="Arial" w:cs="Arial" w:eastAsia="Arial" w:hAnsi="Arial"/>
          <w:b/>
          <w:bCs/>
          <w:sz w:val="22"/>
          <w:szCs w:val="22"/>
        </w:rPr>
        <w:t xml:space="preserve">RRCC</w:t>
      </w:r>
      <w:r>
        <w:rPr>
          <w:rFonts w:ascii="Arial" w:cs="Arial" w:eastAsia="Arial" w:hAnsi="Arial"/>
          <w:sz w:val="22"/>
          <w:szCs w:val="22"/>
        </w:rPr>
        <w:t xml:space="preserve"> = Registrar-Recorder/County Clerk.</w:t>
      </w:r>
    </w:p>
    <w:p>
      <w:pPr>
        <w:spacing w:after="0" w:before="120"/>
      </w:pPr>
    </w:p>
    <w:p>
      <w:pPr>
        <w:spacing w:after="60" w:before="240"/>
      </w:pPr>
      <w:r>
        <w:rPr>
          <w:rFonts w:ascii="Times New Roman" w:cs="Times New Roman" w:eastAsia="Times New Roman" w:hAnsi="Times New Roman"/>
          <w:b/>
          <w:bCs/>
          <w:sz w:val="20"/>
          <w:szCs w:val="20"/>
        </w:rPr>
        <w:t xml:space="preserve">Table B.1. </w:t>
      </w:r>
      <w:r>
        <w:rPr>
          <w:rFonts w:ascii="Times New Roman" w:cs="Times New Roman" w:eastAsia="Times New Roman" w:hAnsi="Times New Roman"/>
          <w:i/>
          <w:iCs/>
          <w:sz w:val="20"/>
          <w:szCs w:val="20"/>
        </w:rPr>
        <w:t xml:space="preserve">AI business cases submitted to the LA County GenAI Governance Board, obtained via CPRA (n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4200"/>
        <w:gridCol w:w="1200"/>
      </w:tblGrid>
      <w:tr>
        <w:tc>
          <w:tcPr>
            <w:tcW w:type="dxa" w:w="396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Department</w:t>
            </w:r>
          </w:p>
        </w:tc>
        <w:tc>
          <w:tcPr>
            <w:tcW w:type="dxa" w:w="42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AI Tool / System</w:t>
            </w:r>
          </w:p>
        </w:tc>
        <w:tc>
          <w:tcPr>
            <w:tcW w:type="dxa" w:w="1200"/>
            <w:tcBorders>
              <w:top w:val="single" w:color="000000" w:sz="12"/>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bCs/>
                <w:sz w:val="19"/>
                <w:szCs w:val="19"/>
              </w:rPr>
              <w:t xml:space="preserve">Year</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Auditor-Controller</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Clearview AI — Facial Recognition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Auditor-Controller</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Board of Supervisors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Copilot Chat &amp; Copilot Studio</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Board of Supervisors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Copilot Studio — Customer Service Chatbot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Board of Supervisors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Wordly AI — Language Translation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Chief Executive Office</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Document Summarization (GenAI)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Chief Executive Office</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LegalBert — California Code Categorization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Children and Family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BlueVector / Google Translate</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Children and Family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Economic Opportunity</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Copilot Studio</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Human Resources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AI-Assisted Resume Screening</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Health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 Chat &amp; Copilot Studio</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Health</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Healthvana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Health</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SOPIE — Clinical Data Abstraction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Parks and Recreation</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Parks and Recreation</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UMS AI Rewrite Tool</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Parks and Recreation</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Synthesia AI — Video Generation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Social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AWS Contact Lens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Social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Magic Notes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Social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BlueVector / Google Translate</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Social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Box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Social Services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Armada Commander Connect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Bluebeam Revu 21 — AI-Assisted Markup</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ChatGPT Team</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Copilot Agent Builder</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Grammarly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Metadata Management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Polly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Urbanlogiq — Data Visualization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AWS and GCP AI Services</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Public Works</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Bentley Blyncsy</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Regional Planning</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Copilot Chat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Dept. of Regional Planning</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Archistar 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Fire Department</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NICE Inform AI — Call Transcription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Fire Department</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Internal Services Dept.</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AI Automation Testing</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Internal Services Dept.</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CAB Document Translation Service</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Justice, Care and Opportunities Dept.</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Library</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ChatGPT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Library</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Claude (Anthropic)</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Library</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Motor Vehicle Administration</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Registrar-Recorder / County Clerk</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GenAI-Based Q&amp;A Bot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Registrar-Recorder / County Clerk</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Anthropic Claude — GenAI Assistant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Registrar-Recorder / County Clerk</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365 Copilot GenAI</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Sheriff's Department</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Alcatraz AI — Facial Authentication</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Treasurer and Tax Collector</w:t>
            </w:r>
          </w:p>
        </w:tc>
        <w:tc>
          <w:tcPr>
            <w:tcW w:type="dxa" w:w="4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Microsoft Copilot</w:t>
            </w:r>
          </w:p>
        </w:tc>
        <w:tc>
          <w:tcPr>
            <w:tcW w:type="dxa" w:w="1200"/>
            <w:tcBorders>
              <w:top w:val="none" w:color="FFFFFF" w:sz="0"/>
              <w:left w:val="none" w:color="FFFFFF" w:sz="0"/>
              <w:bottom w:val="single" w:color="999999" w:sz="4"/>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2025</w:t>
            </w:r>
          </w:p>
        </w:tc>
      </w:tr>
      <w:tr>
        <w:tc>
          <w:tcPr>
            <w:tcW w:type="dxa" w:w="396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Treasurer and Tax Collector</w:t>
            </w:r>
          </w:p>
        </w:tc>
        <w:tc>
          <w:tcPr>
            <w:tcW w:type="dxa" w:w="42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Helpdesk ChatBot</w:t>
            </w:r>
          </w:p>
        </w:tc>
        <w:tc>
          <w:tcPr>
            <w:tcW w:type="dxa" w:w="1200"/>
            <w:tcBorders>
              <w:top w:val="none" w:color="FFFFFF" w:sz="0"/>
              <w:left w:val="none" w:color="FFFFFF" w:sz="0"/>
              <w:bottom w:val="single" w:color="000000" w:sz="12"/>
              <w:right w:val="none" w:color="FFFFFF" w:sz="0"/>
            </w:tcBorders>
            <w:shd w:fill="FFFFFF" w:val="clear"/>
            <w:tcMar>
              <w:top w:type="dxa" w:w="80"/>
              <w:left w:type="dxa" w:w="80"/>
              <w:bottom w:type="dxa" w:w="80"/>
              <w:right w:type="dxa" w:w="80"/>
            </w:tcMar>
          </w:tcPr>
          <w:p>
            <w:pPr>
              <w:spacing w:after="0" w:before="0"/>
            </w:pPr>
            <w:r>
              <w:rPr>
                <w:rFonts w:ascii="Times New Roman" w:cs="Times New Roman" w:eastAsia="Times New Roman" w:hAnsi="Times New Roman"/>
                <w:b w:val="false"/>
                <w:bCs w:val="false"/>
                <w:sz w:val="19"/>
                <w:szCs w:val="19"/>
              </w:rPr>
              <w:t xml:space="preserve">2026</w:t>
            </w:r>
          </w:p>
        </w:tc>
      </w:tr>
    </w:tbl>
    <w:p>
      <w:pPr>
        <w:spacing w:after="80" w:before="160"/>
      </w:pPr>
    </w:p>
    <w:p>
      <w:pPr>
        <w:pStyle w:val="Heading3"/>
        <w:spacing w:after="60" w:before="200"/>
      </w:pPr>
      <w:r>
        <w:rPr>
          <w:rFonts w:ascii="Arial" w:cs="Arial" w:eastAsia="Arial" w:hAnsi="Arial"/>
          <w:b/>
          <w:bCs/>
          <w:sz w:val="24"/>
          <w:szCs w:val="24"/>
        </w:rPr>
        <w:t xml:space="preserve">Observations</w:t>
      </w:r>
    </w:p>
    <w:p>
      <w:pPr>
        <w:spacing w:after="120" w:before="80"/>
      </w:pPr>
      <w:r>
        <w:rPr>
          <w:rFonts w:ascii="Arial" w:cs="Arial" w:eastAsia="Arial" w:hAnsi="Arial"/>
          <w:b/>
          <w:bCs/>
          <w:sz w:val="22"/>
          <w:szCs w:val="22"/>
        </w:rPr>
        <w:t xml:space="preserve">Breadth of adoption. </w:t>
      </w:r>
      <w:r>
        <w:rPr>
          <w:rFonts w:ascii="Arial" w:cs="Arial" w:eastAsia="Arial" w:hAnsi="Arial"/>
          <w:sz w:val="22"/>
          <w:szCs w:val="22"/>
        </w:rPr>
        <w:t xml:space="preserve">Nineteen distinct departments submitted at least one business case, ranging from the Fire Department and Sheriff's Department to the Library and the Justice, Care and Opportunities Dept. (JCOD). This confirms that AI procurement is not confined to technology-facing agencies.</w:t>
      </w:r>
    </w:p>
    <w:p>
      <w:pPr>
        <w:spacing w:after="120" w:before="80"/>
      </w:pPr>
      <w:r>
        <w:rPr>
          <w:rFonts w:ascii="Arial" w:cs="Arial" w:eastAsia="Arial" w:hAnsi="Arial"/>
          <w:b/>
          <w:bCs/>
          <w:sz w:val="22"/>
          <w:szCs w:val="22"/>
        </w:rPr>
        <w:t xml:space="preserve">Concentration of tools. </w:t>
      </w:r>
      <w:r>
        <w:rPr>
          <w:rFonts w:ascii="Arial" w:cs="Arial" w:eastAsia="Arial" w:hAnsi="Arial"/>
          <w:sz w:val="22"/>
          <w:szCs w:val="22"/>
        </w:rPr>
        <w:t xml:space="preserve">Microsoft 365 Copilot and its variants (Copilot Chat, Copilot Studio, Copilot Agent Builder) account for the majority of cases, reflecting the county's enterprise Microsoft agreement. ChatGPT and Anthropic's Claude appear in cases from the Library and Registrar-Recorder, indicating that departments are also procuring consumer and API-based tools outside the Microsoft ecosystem.</w:t>
      </w:r>
    </w:p>
    <w:p>
      <w:pPr>
        <w:spacing w:after="120" w:before="80"/>
      </w:pPr>
      <w:r>
        <w:rPr>
          <w:rFonts w:ascii="Arial" w:cs="Arial" w:eastAsia="Arial" w:hAnsi="Arial"/>
          <w:b/>
          <w:bCs/>
          <w:sz w:val="22"/>
          <w:szCs w:val="22"/>
        </w:rPr>
        <w:t xml:space="preserve">Facial recognition and biometric tools. </w:t>
      </w:r>
      <w:r>
        <w:rPr>
          <w:rFonts w:ascii="Arial" w:cs="Arial" w:eastAsia="Arial" w:hAnsi="Arial"/>
          <w:sz w:val="22"/>
          <w:szCs w:val="22"/>
        </w:rPr>
        <w:t xml:space="preserve">Two cases — Clearview AI (Auditor-Controller) and Alcatraz AI facial authentication (Sheriff's Department) — involve biometric identification systems. These are the highest-sensitivity tools in the dataset and would be expected to receive elevated scrutiny under any mature AI governance framework.</w:t>
      </w:r>
    </w:p>
    <w:p>
      <w:pPr>
        <w:spacing w:after="120" w:before="80"/>
      </w:pPr>
      <w:r>
        <w:rPr>
          <w:rFonts w:ascii="Arial" w:cs="Arial" w:eastAsia="Arial" w:hAnsi="Arial"/>
          <w:b/>
          <w:bCs/>
          <w:sz w:val="22"/>
          <w:szCs w:val="22"/>
        </w:rPr>
        <w:t xml:space="preserve">Care-first infrastructure. </w:t>
      </w:r>
      <w:r>
        <w:rPr>
          <w:rFonts w:ascii="Arial" w:cs="Arial" w:eastAsia="Arial" w:hAnsi="Arial"/>
          <w:sz w:val="22"/>
          <w:szCs w:val="22"/>
        </w:rPr>
        <w:t xml:space="preserve">JCOD's Microsoft 365 Copilot case is the only submission from a department within the care-first governance apparatus. The absence of cases from ODR, DYD, ATI, or CFCI-affiliated bodies is itself a finding: AI procurement is occurring across the county, but the care-first system is not yet a visible participant in the AI governance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Appendix B: AI Business Cases — CPRA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2026-05-13T18:29:47.081Z</dcterms:created>
  <dcterms:modified xsi:type="dcterms:W3CDTF">2026-05-13T18:29:47.082Z</dcterms:modified>
</cp:coreProperties>
</file>

<file path=docProps/custom.xml><?xml version="1.0" encoding="utf-8"?>
<Properties xmlns="http://schemas.openxmlformats.org/officeDocument/2006/custom-properties" xmlns:vt="http://schemas.openxmlformats.org/officeDocument/2006/docPropsVTypes"/>
</file>