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Início aula</w:t>
        <w:br w:type="textWrapping"/>
        <w:br w:type="textWrapping"/>
        <w:t xml:space="preserve">Exemplo 1: Testando ligar o led RGB: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5245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Exemplo 2 Semáforo com a “impressão de contínuo”: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024313" cy="369675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69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Exemplo 3 - Código lapidado com o tempo ajustado:</w:t>
      </w:r>
      <w:r w:rsidDel="00000000" w:rsidR="00000000" w:rsidRPr="00000000">
        <w:rPr/>
        <w:drawing>
          <wp:inline distB="114300" distT="114300" distL="114300" distR="114300">
            <wp:extent cx="2933700" cy="38093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0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 prática: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52913" cy="40904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409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Exemplo 4 Sensor de aproximação: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